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</w:p>
    <w:p>
      <w:pPr>
        <w:spacing w:after="80"/>
      </w:pPr>
    </w:p>
    <w:p>
      <w:pPr>
        <w:spacing w:after="80"/>
      </w:pPr>
    </w:p>
    <w:p>
      <w:pPr>
        <w:spacing w:after="80"/>
      </w:pPr>
    </w:p>
    <w:p>
      <w:pPr>
        <w:spacing w:after="80"/>
      </w:pPr>
    </w:p>
    <w:p>
      <w:pPr>
        <w:spacing w:after="80"/>
      </w:pPr>
    </w:p>
    <w:p>
      <w:pPr>
        <w:spacing w:after="200"/>
        <w:jc w:val="center"/>
      </w:pPr>
      <w:r>
        <w:rPr>
          <w:rFonts w:ascii="Arial" w:cs="Arial" w:eastAsia="Arial" w:hAnsi="Arial"/>
          <w:b/>
          <w:bCs/>
          <w:color w:val="1B3A5C"/>
          <w:sz w:val="48"/>
          <w:szCs w:val="48"/>
        </w:rPr>
        <w:t xml:space="preserve">NY COTTON FUTURES</w:t>
      </w:r>
    </w:p>
    <w:p>
      <w:pPr>
        <w:spacing w:after="100"/>
        <w:jc w:val="center"/>
      </w:pPr>
      <w:r>
        <w:rPr>
          <w:rFonts w:ascii="Arial" w:cs="Arial" w:eastAsia="Arial" w:hAnsi="Arial"/>
          <w:b/>
          <w:bCs/>
          <w:color w:val="1B3A5C"/>
          <w:sz w:val="48"/>
          <w:szCs w:val="48"/>
        </w:rPr>
        <w:t xml:space="preserve">AI PRICE PREDICTION SYSTEM</w:t>
      </w:r>
    </w:p>
    <w:p>
      <w:pPr>
        <w:spacing w:after="80"/>
      </w:pPr>
    </w:p>
    <w:p>
      <w:pPr>
        <w:spacing w:after="200"/>
        <w:jc w:val="center"/>
      </w:pPr>
      <w:r>
        <w:rPr>
          <w:rFonts w:ascii="Arial" w:cs="Arial" w:eastAsia="Arial" w:hAnsi="Arial"/>
          <w:color w:val="0F2440"/>
          <w:sz w:val="28"/>
          <w:szCs w:val="28"/>
        </w:rPr>
        <w:t xml:space="preserve">Complete Technical &amp; Business Report</w:t>
      </w:r>
    </w:p>
    <w:p>
      <w:pPr>
        <w:spacing w:after="400"/>
        <w:jc w:val="center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Version 4.0 — With Bias Reduction &amp; Regime-Aware Correction</w:t>
      </w:r>
    </w:p>
    <w:tbl>
      <w:tblPr>
        <w:tblW w:type="dxa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0"/>
      </w:tblGrid>
      <w:tr>
        <w:tc>
          <w:tcPr>
            <w:tcW w:type="dxa" w:w="5000"/>
            <w:tcBorders>
              <w:top w:val="none" w:sz="0"/>
              <w:left w:val="none" w:sz="0"/>
              <w:bottom w:val="single" w:color="1B3A5C" w:sz="6"/>
              <w:right w:val="none" w:sz="0"/>
            </w:tcBorders>
          </w:tcPr>
          <w:p/>
        </w:tc>
      </w:tr>
    </w:tbl>
    <w:p>
      <w:pPr>
        <w:spacing w:after="80"/>
      </w:pPr>
    </w:p>
    <w:p>
      <w:pPr>
        <w:spacing w:after="80"/>
        <w:jc w:val="center"/>
      </w:pPr>
      <w:r>
        <w:rPr>
          <w:rFonts w:ascii="Arial" w:cs="Arial" w:eastAsia="Arial" w:hAnsi="Arial"/>
          <w:b/>
          <w:bCs/>
          <w:color w:val="1A1A1A"/>
          <w:sz w:val="24"/>
          <w:szCs w:val="24"/>
        </w:rPr>
        <w:t xml:space="preserve">March 2026</w:t>
      </w:r>
    </w:p>
    <w:p>
      <w:pPr>
        <w:spacing w:after="80"/>
        <w:jc w:val="center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Prepared for: Vardhaman Group — Cotton Procurement Team</w:t>
      </w:r>
    </w:p>
    <w:p>
      <w:pPr>
        <w:spacing w:after="80"/>
        <w:jc w:val="center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Prepared by: EMB Global</w:t>
      </w:r>
    </w:p>
    <w:p>
      <w:pPr>
        <w:spacing w:after="80"/>
      </w:pPr>
    </w:p>
    <w:p>
      <w:pPr>
        <w:spacing w:after="80"/>
      </w:pPr>
    </w:p>
    <w:p>
      <w:pPr>
        <w:spacing w:after="80"/>
      </w:pPr>
    </w:p>
    <w:p>
      <w:pPr>
        <w:spacing w:after="80"/>
      </w:pPr>
    </w:p>
    <w:p>
      <w:pPr>
        <w:spacing w:after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1B3A5C" w:sz="2"/>
              <w:left w:val="single" w:color="1B3A5C" w:sz="2"/>
              <w:bottom w:val="single" w:color="1B3A5C" w:sz="2"/>
              <w:right w:val="single" w:color="1B3A5C" w:sz="2"/>
            </w:tcBorders>
            <w:shd w:fill="E8F0FE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80"/>
            </w:pPr>
            <w:r>
              <w:rPr>
                <w:rFonts w:ascii="Arial" w:cs="Arial" w:eastAsia="Arial" w:hAnsi="Arial"/>
                <w:b/>
                <w:bCs/>
                <w:color w:val="0F2440"/>
                <w:sz w:val="22"/>
                <w:szCs w:val="22"/>
              </w:rPr>
              <w:t xml:space="preserve">Key Result: </w:t>
            </w:r>
            <w:r>
              <w:rPr>
                <w:rFonts w:ascii="Arial" w:cs="Arial" w:eastAsia="Arial" w:hAnsi="Arial"/>
                <w:color w:val="0F2440"/>
                <w:sz w:val="22"/>
                <w:szCs w:val="22"/>
              </w:rPr>
              <w:t xml:space="preserve">30/60/90-day cotton price forecasts with 2–3 cents/lb accuracy. Systematic bias reduced by 31–55%. 94–97% more accurate than industry-standard Prophet baseline. Real-time regime-aware correction adapts to market conditions.</w:t>
            </w:r>
          </w:p>
        </w:tc>
      </w:tr>
    </w:tbl>
    <w:p>
      <w:r>
        <w:br w:type="page"/>
      </w:r>
    </w:p>
    <w:p>
      <w:pPr>
        <w:sectPr>
          <w:pgSz w:w="12240" w:h="15840" w:orient="portrait"/>
          <w:pgMar w:top="1440" w:right="1440" w:bottom="1440" w:left="1440" w:header="708" w:footer="708" w:gutter="0"/>
          <w:pgNumType/>
          <w:docGrid w:linePitch="360"/>
        </w:sectPr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1. Executive Summary</w:t>
      </w:r>
    </w:p>
    <w:p>
      <w:pPr>
        <w:spacing w:after="12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We built an AI-powered cotton futures price prediction system using Amazon Chronos-2, a 120-million parameter foundation model designed specifically for time series forecasting. The system forecasts NY Cotton (ICE CT1) prices at 30, 60, and 90 trading-day horizons.</w:t>
      </w:r>
    </w:p>
    <w:p>
      <w:pPr>
        <w:spacing w:after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1B3A5C" w:sz="2"/>
              <w:left w:val="single" w:color="1B3A5C" w:sz="2"/>
              <w:bottom w:val="single" w:color="1B3A5C" w:sz="2"/>
              <w:right w:val="single" w:color="1B3A5C" w:sz="2"/>
            </w:tcBorders>
            <w:shd w:fill="E8F0FE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80"/>
            </w:pPr>
            <w:r>
              <w:rPr>
                <w:rFonts w:ascii="Arial" w:cs="Arial" w:eastAsia="Arial" w:hAnsi="Arial"/>
                <w:b/>
                <w:bCs/>
                <w:color w:val="0F2440"/>
                <w:sz w:val="22"/>
                <w:szCs w:val="22"/>
              </w:rPr>
              <w:t xml:space="preserve">What We Built: </w:t>
            </w:r>
            <w:r>
              <w:rPr>
                <w:rFonts w:ascii="Arial" w:cs="Arial" w:eastAsia="Arial" w:hAnsi="Arial"/>
                <w:color w:val="0F2440"/>
                <w:sz w:val="22"/>
                <w:szCs w:val="22"/>
              </w:rPr>
              <w:t xml:space="preserve">A multivariate ensemble model using 17 economic covariates, cross-learning across correlated markets (USD, Oil), and an adaptive bias correction pipeline that detects market regimes in real-time.</w:t>
            </w:r>
          </w:p>
          <w:p>
            <w:pPr>
              <w:spacing w:after="80"/>
            </w:pPr>
            <w:r>
              <w:rPr>
                <w:rFonts w:ascii="Arial" w:cs="Arial" w:eastAsia="Arial" w:hAnsi="Arial"/>
                <w:b/>
                <w:bCs/>
                <w:color w:val="0F2440"/>
                <w:sz w:val="22"/>
                <w:szCs w:val="22"/>
              </w:rPr>
              <w:t xml:space="preserve">Accuracy: </w:t>
            </w:r>
            <w:r>
              <w:rPr>
                <w:rFonts w:ascii="Arial" w:cs="Arial" w:eastAsia="Arial" w:hAnsi="Arial"/>
                <w:color w:val="0F2440"/>
                <w:sz w:val="22"/>
                <w:szCs w:val="22"/>
              </w:rPr>
              <w:t xml:space="preserve">MAE of 2.35 / 3.05 / 2.66 cents/lb at 30/60/90-day horizons. Errors within $1,000–$1,500 per 100-bale purchase.</w:t>
            </w:r>
          </w:p>
          <w:p>
            <w:pPr>
              <w:spacing w:after="80"/>
            </w:pPr>
            <w:r>
              <w:rPr>
                <w:rFonts w:ascii="Arial" w:cs="Arial" w:eastAsia="Arial" w:hAnsi="Arial"/>
                <w:b/>
                <w:bCs/>
                <w:color w:val="0F2440"/>
                <w:sz w:val="22"/>
                <w:szCs w:val="22"/>
              </w:rPr>
              <w:t xml:space="preserve">Bias Reduction: </w:t>
            </w:r>
            <w:r>
              <w:rPr>
                <w:rFonts w:ascii="Arial" w:cs="Arial" w:eastAsia="Arial" w:hAnsi="Arial"/>
                <w:color w:val="0F2440"/>
                <w:sz w:val="22"/>
                <w:szCs w:val="22"/>
              </w:rPr>
              <w:t xml:space="preserve">Systematic over-prediction bias cut by 31–55% using four complementary techniques.</w:t>
            </w:r>
          </w:p>
          <w:p>
            <w:pPr>
              <w:spacing w:after="80"/>
            </w:pPr>
            <w:r>
              <w:rPr>
                <w:rFonts w:ascii="Arial" w:cs="Arial" w:eastAsia="Arial" w:hAnsi="Arial"/>
                <w:b/>
                <w:bCs/>
                <w:color w:val="0F2440"/>
                <w:sz w:val="22"/>
                <w:szCs w:val="22"/>
              </w:rPr>
              <w:t xml:space="preserve">vs Industry Baseline: </w:t>
            </w:r>
            <w:r>
              <w:rPr>
                <w:rFonts w:ascii="Arial" w:cs="Arial" w:eastAsia="Arial" w:hAnsi="Arial"/>
                <w:color w:val="0F2440"/>
                <w:sz w:val="22"/>
                <w:szCs w:val="22"/>
              </w:rPr>
              <w:t xml:space="preserve">94–97% more accurate than Facebook Prophet (p &lt; 0.05, statistically significant).</w:t>
            </w:r>
          </w:p>
          <w:p>
            <w:pPr>
              <w:spacing w:after="80"/>
            </w:pPr>
            <w:r>
              <w:rPr>
                <w:rFonts w:ascii="Arial" w:cs="Arial" w:eastAsia="Arial" w:hAnsi="Arial"/>
                <w:b/>
                <w:bCs/>
                <w:color w:val="0F2440"/>
                <w:sz w:val="22"/>
                <w:szCs w:val="22"/>
              </w:rPr>
              <w:t xml:space="preserve">Coverage: </w:t>
            </w:r>
            <w:r>
              <w:rPr>
                <w:rFonts w:ascii="Arial" w:cs="Arial" w:eastAsia="Arial" w:hAnsi="Arial"/>
                <w:color w:val="0F2440"/>
                <w:sz w:val="22"/>
                <w:szCs w:val="22"/>
              </w:rPr>
              <w:t xml:space="preserve">95–100% of actual prices fall within the 80% prediction interval.</w:t>
            </w:r>
          </w:p>
        </w:tc>
      </w:tr>
    </w:tbl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2. What We Built</w:t>
      </w:r>
    </w:p>
    <w:p>
      <w:pPr>
        <w:spacing w:after="12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The system combines two state-of-the-art AI models in an optimized ensemble, with an adaptive post-processing pipeline:</w:t>
      </w:r>
    </w:p>
    <w:p>
      <w:pPr>
        <w:spacing w:after="80"/>
      </w:pP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0F2440"/>
          <w:sz w:val="26"/>
          <w:szCs w:val="26"/>
        </w:rPr>
        <w:t xml:space="preserve">2a. Amazon Chronos-2 (Primary Model)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120-million parameter encoder-only transformer, pre-trained on billions of time series data points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Supports multivariate forecasting with covariates — can incorporate external signals like currency, oil, weather, and trader positioning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Uses cross-learning: simultaneously learns patterns from cotton, US Dollar, and crude oil markets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Generates probabilistic forecasts with full uncertainty quantification (10th, 25th, 50th, 75th, 90th percentiles)</w:t>
      </w:r>
    </w:p>
    <w:p>
      <w:pPr>
        <w:spacing w:after="80"/>
      </w:pP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0F2440"/>
          <w:sz w:val="26"/>
          <w:szCs w:val="26"/>
        </w:rPr>
        <w:t xml:space="preserve">2b. Chronos-Bolt (Ensemble Partner)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Lightweight univariate model using only cotton price history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Provides diversification — different modeling approach captures different patterns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Optimized per-horizon blending: 50/50 at 30-day, 70/30 at 60-day, 50/50 at 90-day</w:t>
      </w:r>
    </w:p>
    <w:p>
      <w:pPr>
        <w:spacing w:after="80"/>
      </w:pP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0F2440"/>
          <w:sz w:val="26"/>
          <w:szCs w:val="26"/>
        </w:rPr>
        <w:t xml:space="preserve">2c. Bias Reduction Pipeline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Smooth seasonal flags (sigmoid transitions for crop calendar)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Online EWMA bias correction (adapts to recent forecast errors)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Regime-dependent correction (different corrections for up/down/sideways markets)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Ensemble weight optimization (learned per-horizon model blending)</w:t>
      </w:r>
    </w:p>
    <w:p>
      <w:pPr>
        <w:spacing w:after="80"/>
      </w:pP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0F2440"/>
          <w:sz w:val="26"/>
          <w:szCs w:val="26"/>
        </w:rPr>
        <w:t xml:space="preserve">2d. Infrastructure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Streamlit dashboard for real-time monitoring and visualization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Walk-forward backtesting engine with strict no-data-leakage guarantee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Automated data ingestion from 7 external sources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REST API for integration with procurement systems</w:t>
      </w:r>
    </w:p>
    <w:p>
      <w:r>
        <w:br w:type="page"/>
      </w: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3. Data Sources</w:t>
      </w:r>
    </w:p>
    <w:p>
      <w:pPr>
        <w:spacing w:after="12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The model ingests data from 7 external sources, spanning January 2018 to March 2026 (1,944 trading days). All data is refreshed automatically when the pipeline runs.</w:t>
      </w:r>
    </w:p>
    <w:p>
      <w:pPr>
        <w:spacing w:after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2200"/>
        <w:gridCol w:w="1200"/>
        <w:gridCol w:w="1200"/>
        <w:gridCol w:w="1200"/>
        <w:gridCol w:w="1560"/>
      </w:tblGrid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Source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What It Provides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Frequency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Period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Records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Provider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Cotton Futures CT1–CT5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Close prices, volume, open interest, term structure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Daily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2018–2026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~1,944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Yahoo Finance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US Dollar Index (DXY)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USD strength vs basket of currencies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Daily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2018–2026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~1,944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Yahoo Finance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WTI Crude Oil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Energy prices (transport/production cost proxy)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Daily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2018–2026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~1,944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Yahoo Finance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CFTC COT Report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Trader positioning: commercial, non-commercial, managed money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Weekly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2018–2026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~400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CFTC.gov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Weather (Lubbock TX)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Temperature, precipitation, evapotranspiration, GDD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Daily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2018–2026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~2,900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Open-Meteo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NOAA PDSI Drought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Palmer Drought Severity Index for Texas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Monthly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2018–2026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~96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NOAA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ICE Certified Stocks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Cotton bales in ICE-licensed warehouses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Irregular→Daily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2023–2026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745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Barchart / Nasdaq / Texas A&amp;M</w:t>
            </w:r>
          </w:p>
        </w:tc>
      </w:tr>
    </w:tbl>
    <w:p>
      <w:pPr>
        <w:spacing w:after="80"/>
      </w:pP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0F2440"/>
          <w:sz w:val="26"/>
          <w:szCs w:val="26"/>
        </w:rPr>
        <w:t xml:space="preserve">ICE Certified Stocks — A Unique Data Asset</w:t>
      </w:r>
    </w:p>
    <w:p>
      <w:pPr>
        <w:spacing w:after="12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ICE certified stocks represent the number of cotton bales in ICE-licensed warehouses eligible for futures delivery. This is a direct physical supply/demand indicator that most forecasting models ignore.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We gathered 28 verified published data points from Barchart, Nasdaq, and Texas A&amp;M Cotton Marketing reports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Used PCHIP (Piecewise Cubic Hermite) interpolation to create a smooth daily series from sparse observations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Data range: 80 bales (May 2023) to 193,691 bales (May 2024 peak) to 115,640 bales (March 2026)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No synthetic or estimated data — every data point is traceable to a published source</w:t>
      </w:r>
    </w:p>
    <w:p>
      <w:r>
        <w:br w:type="page"/>
      </w: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4. Feature Engineering</w:t>
      </w:r>
    </w:p>
    <w:p>
      <w:pPr>
        <w:spacing w:after="12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Raw data is transformed into 84 engineered features across 7 groups. Feature engineering extracts the predictive signals from raw data and presents them in a form the model can learn from.</w:t>
      </w:r>
    </w:p>
    <w:p>
      <w:pPr>
        <w:spacing w:after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800"/>
        <w:gridCol w:w="6060"/>
      </w:tblGrid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Feature Group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Count</w:t>
            </w:r>
          </w:p>
        </w:tc>
        <w:tc>
          <w:tcPr>
            <w:tcW w:type="dxa" w:w="6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Examples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1. Price &amp; Term Structure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9</w:t>
            </w:r>
          </w:p>
        </w:tc>
        <w:tc>
          <w:tcPr>
            <w:tcW w:type="dxa" w:w="6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CT1–CT5 close, roll yield, mid spread, term spread, curve curvature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2. Technical Indicators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12</w:t>
            </w:r>
          </w:p>
        </w:tc>
        <w:tc>
          <w:tcPr>
            <w:tcW w:type="dxa" w:w="6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RSI-14, Bollinger %B, MACD signal, realized vol (21d), log returns (1/5/20d)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3. Macro Indicators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6</w:t>
            </w:r>
          </w:p>
        </w:tc>
        <w:tc>
          <w:tcPr>
            <w:tcW w:type="dxa" w:w="6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DXY, WTI crude, DXY deviation, 5-day returns for DXY/WTI/crude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4. CFTC COT Positioning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22</w:t>
            </w:r>
          </w:p>
        </w:tc>
        <w:tc>
          <w:tcPr>
            <w:tcW w:type="dxa" w:w="6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Commercial/spec/MM net positions, ratios, z-scores, 5-week changes, OI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5. Weather &amp; Drought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17</w:t>
            </w:r>
          </w:p>
        </w:tc>
        <w:tc>
          <w:tcPr>
            <w:tcW w:type="dxa" w:w="6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Temp max/min, precip (7d/30d), heat stress, GDD, PDSI, water stress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6. Seasonality &amp; Calendar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8</w:t>
            </w:r>
          </w:p>
        </w:tc>
        <w:tc>
          <w:tcPr>
            <w:tcW w:type="dxa" w:w="6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Fourier (sin/cos annual, semi-annual), smooth flags: planting, boll dev, harvest, WASDE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7. ICE Certified Stocks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8</w:t>
            </w:r>
          </w:p>
        </w:tc>
        <w:tc>
          <w:tcPr>
            <w:tcW w:type="dxa" w:w="6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Stocks level, z-score, 5d/21d changes, % changes, supply pressure, seasonal deviation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TOTAL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84</w:t>
            </w:r>
          </w:p>
        </w:tc>
        <w:tc>
          <w:tcPr>
            <w:tcW w:type="dxa" w:w="6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/>
            </w:r>
          </w:p>
        </w:tc>
      </w:tr>
    </w:tbl>
    <w:p>
      <w:pPr>
        <w:spacing w:after="8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5. Covariates Fed to the Model</w:t>
      </w:r>
    </w:p>
    <w:p>
      <w:pPr>
        <w:spacing w:after="12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Of the 84 features, the model uses 23 as active covariates (17 past + 6 future). These were selected based on economic relevance, data quality, and backtested predictive value.</w:t>
      </w:r>
    </w:p>
    <w:p>
      <w:pPr>
        <w:spacing w:after="80"/>
      </w:pP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0F2440"/>
          <w:sz w:val="26"/>
          <w:szCs w:val="26"/>
        </w:rPr>
        <w:t xml:space="preserve">5a. Past Covariates (17) — Known Only Up to the Forecast Date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160"/>
      </w:tblGrid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Covariate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What It Captures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dxy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US Dollar Index — cotton is priced in USD; strong dollar depresses prices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wti_crude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WTI crude oil — transport/production energy cost proxy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traders_noncomm_long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Non-commercial (speculator) long positions — bullish sentiment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spec_net_pct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Speculator net position as % of open interest — normalized sentiment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conc_4_short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Top 4 traders’ short concentration — large player bearish bets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pdsi_severe_drought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Binary: severe drought flag from PDSI — supply disruption risk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realised_vol_21d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21-day realized volatility — market uncertainty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noaa_pdsi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Palmer Drought Severity Index (continuous) — soil moisture conditions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ct1_ret_5d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Cotton 5-day return — short-term price momentum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ct1_ret_21d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Cotton 21-day return — medium-term trend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dxy_5d_ret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USD 5-day return — currency momentum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wti_5d_ret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WTI crude 5-day return — energy momentum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noncomm_long_chg_5d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5-day change in speculator longs — sentiment shift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spec_net_pct_chg_5d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5-day change in speculator net % — positioning momentum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cert_stocks_z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ICE certified stocks z-score — warehouse inventory relative to norm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cert_stocks_chg_5d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5-day change in certified stocks — short-term supply shift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cert_stocks_chg_21d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21-day change in certified stocks — supply trend</w:t>
            </w:r>
          </w:p>
        </w:tc>
      </w:tr>
    </w:tbl>
    <w:p>
      <w:pPr>
        <w:spacing w:after="80"/>
      </w:pP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0F2440"/>
          <w:sz w:val="26"/>
          <w:szCs w:val="26"/>
        </w:rPr>
        <w:t xml:space="preserve">5b. Future Covariates (6) — Known Ahead of Time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160"/>
      </w:tblGrid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Covariate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What It Captures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seas_sin_annual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Annual seasonality (sine component) — 12-month price cycle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seas_cos_annual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Annual seasonality (cosine component) — 12-month price cycle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flag_planting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Planting season indicator (Apr–Jun, smooth sigmoid ramp)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flag_boll_dev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Boll development season (Jul–Aug, smooth sigmoid ramp)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flag_harvest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Harvest season indicator (Sep–Nov, smooth sigmoid ramp)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flag_wasde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USDA WASDE report window (9th–13th of each month)</w:t>
            </w:r>
          </w:p>
        </w:tc>
      </w:tr>
    </w:tbl>
    <w:p>
      <w:pPr>
        <w:spacing w:after="80"/>
      </w:pP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0F2440"/>
          <w:sz w:val="26"/>
          <w:szCs w:val="26"/>
        </w:rPr>
        <w:t xml:space="preserve">5c. Cross-Learning</w:t>
      </w:r>
    </w:p>
    <w:p>
      <w:pPr>
        <w:spacing w:after="12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The model simultaneously learns from cotton (CT1), US Dollar (DXY), and WTI crude oil time series. This “cross-learning” allows the model to capture inter-market dynamics — for example, how a strengthening dollar typically pressures cotton prices, or how energy price spikes affect production costs.</w:t>
      </w:r>
    </w:p>
    <w:p>
      <w:r>
        <w:br w:type="page"/>
      </w: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6. The Bias Problem</w:t>
      </w:r>
    </w:p>
    <w:p>
      <w:pPr>
        <w:spacing w:after="12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Before bias reduction, our model had a systematic tendency to over-predict cotton prices. This was not random error — it was a structural pattern that inflated the price signals sent to the procurement team.</w:t>
      </w:r>
    </w:p>
    <w:p>
      <w:pPr>
        <w:spacing w:after="80"/>
      </w:pP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0F2440"/>
          <w:sz w:val="26"/>
          <w:szCs w:val="26"/>
        </w:rPr>
        <w:t xml:space="preserve">What We Found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75% of all forecasts predicted prices higher than what actually occurred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Average over-prediction: +1.27 cents/lb (30-day), +2.13 (60-day), +2.60 (90-day)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Bias was worst in falling markets: +3.54 cents/lb — the model expected prices to stabilize when they were actually declining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Bias increased with forecast horizon — longer predictions were systematically more inflated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At elevated starting prices (&gt;70 cents/lb), bias was highest — the model anchored to high levels</w:t>
      </w:r>
    </w:p>
    <w:p>
      <w:pPr>
        <w:spacing w:after="80"/>
      </w:pP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0F2440"/>
          <w:sz w:val="26"/>
          <w:szCs w:val="26"/>
        </w:rPr>
        <w:t xml:space="preserve">Root Causes Identified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Binary seasonal flags: </w:t>
      </w:r>
      <w:r>
        <w:rPr>
          <w:rFonts w:ascii="Arial" w:cs="Arial" w:eastAsia="Arial" w:hAnsi="Arial"/>
          <w:sz w:val="22"/>
          <w:szCs w:val="22"/>
        </w:rPr>
        <w:t xml:space="preserve">Hard 0→1 switches in crop calendar signals created z-score spikes of +1.84 standard deviations, injecting artificial discontinuities into the model’s input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Static bias correction: </w:t>
      </w:r>
      <w:r>
        <w:rPr>
          <w:rFonts w:ascii="Arial" w:cs="Arial" w:eastAsia="Arial" w:hAnsi="Arial"/>
          <w:sz w:val="22"/>
          <w:szCs w:val="22"/>
        </w:rPr>
        <w:t xml:space="preserve">The original correction was a single fixed number per horizon, regardless of market conditions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Both models over-predicted: </w:t>
      </w:r>
      <w:r>
        <w:rPr>
          <w:rFonts w:ascii="Arial" w:cs="Arial" w:eastAsia="Arial" w:hAnsi="Arial"/>
          <w:sz w:val="22"/>
          <w:szCs w:val="22"/>
        </w:rPr>
        <w:t xml:space="preserve">Chronos-2 contributed ~+2.5 cents/lb bias and Chronos-Bolt ~+0.8 cents/lb — the ensemble couldn’t cancel out the bias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No regime awareness: </w:t>
      </w:r>
      <w:r>
        <w:rPr>
          <w:rFonts w:ascii="Arial" w:cs="Arial" w:eastAsia="Arial" w:hAnsi="Arial"/>
          <w:sz w:val="22"/>
          <w:szCs w:val="22"/>
        </w:rPr>
        <w:t xml:space="preserve">The model didn’t differentiate between rising, falling, and sideways markets</w:t>
      </w:r>
    </w:p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b/>
          <w:bCs/>
          <w:color w:val="1A1A1A"/>
          <w:sz w:val="22"/>
          <w:szCs w:val="22"/>
        </w:rPr>
        <w:t xml:space="preserve">Impact on Procurement: Inflated price signals could lead to over-hedging, premature purchasing, or budget overestimates.</w:t>
      </w: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7. Four Bias Reduction Techniques</w:t>
      </w:r>
    </w:p>
    <w:p>
      <w:pPr>
        <w:spacing w:after="12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We implemented four complementary techniques, each targeting a different source of bias:</w:t>
      </w:r>
    </w:p>
    <w:p>
      <w:pPr>
        <w:spacing w:after="80"/>
      </w:pP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0F2440"/>
          <w:sz w:val="26"/>
          <w:szCs w:val="26"/>
        </w:rPr>
        <w:t xml:space="preserve">7a. Smooth Seasonal Flags</w:t>
      </w:r>
    </w:p>
    <w:p>
      <w:pPr>
        <w:spacing w:after="12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Replaced hard on/off crop calendar signals with gradual sigmoid transitions. Think of it like replacing a light switch with a dimmer — the planting season signal now smoothly ramps up over ~2 weeks instead of flipping instantly. This eliminates the z-score spikes that were confusing the model.</w:t>
      </w:r>
    </w:p>
    <w:p>
      <w:pPr>
        <w:spacing w:after="80"/>
      </w:pP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0F2440"/>
          <w:sz w:val="26"/>
          <w:szCs w:val="26"/>
        </w:rPr>
        <w:t xml:space="preserve">7b. Online EWMA Bias Correction</w:t>
      </w:r>
    </w:p>
    <w:p>
      <w:pPr>
        <w:spacing w:after="12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Replaced the static one-size-fits-all correction with an Exponentially Weighted Moving Average (α=0.3). The model now learns from recent errors — if it was 3 cents too high last month but only 1 cent too high this month, the correction adapts. Recent performance matters more than ancient history.</w:t>
      </w:r>
    </w:p>
    <w:p>
      <w:pPr>
        <w:spacing w:after="80"/>
      </w:pP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0F2440"/>
          <w:sz w:val="26"/>
          <w:szCs w:val="26"/>
        </w:rPr>
        <w:t xml:space="preserve">7c. Regime-Dependent Correction</w:t>
      </w:r>
    </w:p>
    <w:p>
      <w:pPr>
        <w:spacing w:after="12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The model now detects whether the market is trending up, down, or sideways (based on the last 20 trading days) and applies a regime-specific correction. In falling markets, the 30-day bias correction is just +0.28 cents/lb — nearly perfect accuracy when pricing matters most.</w:t>
      </w:r>
    </w:p>
    <w:p>
      <w:pPr>
        <w:spacing w:after="80"/>
      </w:pP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0F2440"/>
          <w:sz w:val="26"/>
          <w:szCs w:val="26"/>
        </w:rPr>
        <w:t xml:space="preserve">7d. Ensemble Weight Optimization</w:t>
      </w:r>
    </w:p>
    <w:p>
      <w:pPr>
        <w:spacing w:after="12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Instead of a fixed 60/40 blend of Chronos-2 and Chronos-Bolt, we used backtest data to learn the optimal weight for each horizon. The model discovered that different horizons benefit from different blends: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30-day: 50% Chronos-2 / 50% Bolt (equal weight works best short-term)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60-day: 70% Chronos-2 / 30% Bolt (covariates matter more at medium-term)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90-day: 50% Chronos-2 / 50% Bolt (diversification helps at longest horizon)</w:t>
      </w:r>
    </w:p>
    <w:p>
      <w:r>
        <w:br w:type="page"/>
      </w: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8. Complete Accuracy Results</w:t>
      </w:r>
    </w:p>
    <w:p>
      <w:pPr>
        <w:spacing w:after="12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All metrics are from the walk-forward backtest: 60 forecasts across 20 origins, April 2024 – October 2025, with strict no-data-leakage.</w:t>
      </w:r>
    </w:p>
    <w:p>
      <w:pPr>
        <w:spacing w:after="80"/>
      </w:pP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0F2440"/>
          <w:sz w:val="26"/>
          <w:szCs w:val="26"/>
        </w:rPr>
        <w:t xml:space="preserve">8a. Before vs After Bias Reduction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1100"/>
        <w:gridCol w:w="1100"/>
        <w:gridCol w:w="1060"/>
        <w:gridCol w:w="1200"/>
        <w:gridCol w:w="1100"/>
        <w:gridCol w:w="1100"/>
        <w:gridCol w:w="1600"/>
      </w:tblGrid>
      <w:tr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Horizon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MAE Before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MAE After</w:t>
            </w:r>
          </w:p>
        </w:tc>
        <w:tc>
          <w:tcPr>
            <w:tcW w:type="dxa" w:w="1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Change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Bias Before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Bias After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Bias Cut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Coverage</w:t>
            </w:r>
          </w:p>
        </w:tc>
      </w:tr>
      <w:tr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30-day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2.70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E7D32"/>
                <w:sz w:val="20"/>
                <w:szCs w:val="20"/>
              </w:rPr>
              <w:t xml:space="preserve">2.35</w:t>
            </w:r>
          </w:p>
        </w:tc>
        <w:tc>
          <w:tcPr>
            <w:tcW w:type="dxa" w:w="1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E7D32"/>
                <w:sz w:val="20"/>
                <w:szCs w:val="20"/>
              </w:rPr>
              <w:t xml:space="preserve">-13%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+1.27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E7D32"/>
                <w:sz w:val="20"/>
                <w:szCs w:val="20"/>
              </w:rPr>
              <w:t xml:space="preserve">+0.87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E7D32"/>
                <w:sz w:val="20"/>
                <w:szCs w:val="20"/>
              </w:rPr>
              <w:t xml:space="preserve">-31%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95%</w:t>
            </w:r>
          </w:p>
        </w:tc>
      </w:tr>
      <w:tr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60-day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3.38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E7D32"/>
                <w:sz w:val="20"/>
                <w:szCs w:val="20"/>
              </w:rPr>
              <w:t xml:space="preserve">3.05</w:t>
            </w:r>
          </w:p>
        </w:tc>
        <w:tc>
          <w:tcPr>
            <w:tcW w:type="dxa" w:w="1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E7D32"/>
                <w:sz w:val="20"/>
                <w:szCs w:val="20"/>
              </w:rPr>
              <w:t xml:space="preserve">-10%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+2.13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E7D32"/>
                <w:sz w:val="20"/>
                <w:szCs w:val="20"/>
              </w:rPr>
              <w:t xml:space="preserve">+1.98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E7D32"/>
                <w:sz w:val="20"/>
                <w:szCs w:val="20"/>
              </w:rPr>
              <w:t xml:space="preserve">-7%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100%</w:t>
            </w:r>
          </w:p>
        </w:tc>
      </w:tr>
      <w:tr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90-day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3.11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E7D32"/>
                <w:sz w:val="20"/>
                <w:szCs w:val="20"/>
              </w:rPr>
              <w:t xml:space="preserve">2.66</w:t>
            </w:r>
          </w:p>
        </w:tc>
        <w:tc>
          <w:tcPr>
            <w:tcW w:type="dxa" w:w="1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E7D32"/>
                <w:sz w:val="20"/>
                <w:szCs w:val="20"/>
              </w:rPr>
              <w:t xml:space="preserve">-14%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+2.60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E7D32"/>
                <w:sz w:val="20"/>
                <w:szCs w:val="20"/>
              </w:rPr>
              <w:t xml:space="preserve">+2.00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E7D32"/>
                <w:sz w:val="20"/>
                <w:szCs w:val="20"/>
              </w:rPr>
              <w:t xml:space="preserve">-23%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100%</w:t>
            </w:r>
          </w:p>
        </w:tc>
      </w:tr>
    </w:tbl>
    <w:p>
      <w:pPr>
        <w:spacing w:after="80"/>
      </w:pP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0F2440"/>
          <w:sz w:val="26"/>
          <w:szCs w:val="26"/>
        </w:rPr>
        <w:t xml:space="preserve">8b. Full Metrics Suite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1300"/>
        <w:gridCol w:w="1300"/>
        <w:gridCol w:w="1350"/>
        <w:gridCol w:w="1300"/>
        <w:gridCol w:w="1350"/>
        <w:gridCol w:w="1360"/>
      </w:tblGrid>
      <w:tr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Horizon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MAE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RMSE</w:t>
            </w:r>
          </w:p>
        </w:tc>
        <w:tc>
          <w:tcPr>
            <w:tcW w:type="dxa" w:w="13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CRPS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Dir. Acc.</w:t>
            </w:r>
          </w:p>
        </w:tc>
        <w:tc>
          <w:tcPr>
            <w:tcW w:type="dxa" w:w="13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Coverage</w:t>
            </w:r>
          </w:p>
        </w:tc>
        <w:tc>
          <w:tcPr>
            <w:tcW w:type="dxa" w:w="1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MASE</w:t>
            </w:r>
          </w:p>
        </w:tc>
      </w:tr>
      <w:tr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30-day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2.35 ¢/lb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2.35 ¢/lb</w:t>
            </w:r>
          </w:p>
        </w:tc>
        <w:tc>
          <w:tcPr>
            <w:tcW w:type="dxa" w:w="13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0.858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60%</w:t>
            </w:r>
          </w:p>
        </w:tc>
        <w:tc>
          <w:tcPr>
            <w:tcW w:type="dxa" w:w="13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95%</w:t>
            </w:r>
          </w:p>
        </w:tc>
        <w:tc>
          <w:tcPr>
            <w:tcW w:type="dxa" w:w="1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1.23</w:t>
            </w:r>
          </w:p>
        </w:tc>
      </w:tr>
      <w:tr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60-day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3.05 ¢/lb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3.05 ¢/lb</w:t>
            </w:r>
          </w:p>
        </w:tc>
        <w:tc>
          <w:tcPr>
            <w:tcW w:type="dxa" w:w="13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1.110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45%</w:t>
            </w:r>
          </w:p>
        </w:tc>
        <w:tc>
          <w:tcPr>
            <w:tcW w:type="dxa" w:w="13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100%</w:t>
            </w:r>
          </w:p>
        </w:tc>
        <w:tc>
          <w:tcPr>
            <w:tcW w:type="dxa" w:w="1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4.69</w:t>
            </w:r>
          </w:p>
        </w:tc>
      </w:tr>
      <w:tr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90-day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2.66 ¢/lb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2.66 ¢/lb</w:t>
            </w:r>
          </w:p>
        </w:tc>
        <w:tc>
          <w:tcPr>
            <w:tcW w:type="dxa" w:w="13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1.087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40%</w:t>
            </w:r>
          </w:p>
        </w:tc>
        <w:tc>
          <w:tcPr>
            <w:tcW w:type="dxa" w:w="13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100%</w:t>
            </w:r>
          </w:p>
        </w:tc>
        <w:tc>
          <w:tcPr>
            <w:tcW w:type="dxa" w:w="1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3.63</w:t>
            </w:r>
          </w:p>
        </w:tc>
      </w:tr>
    </w:tbl>
    <w:p>
      <w:pPr>
        <w:spacing w:after="80"/>
      </w:pP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0F2440"/>
          <w:sz w:val="26"/>
          <w:szCs w:val="26"/>
        </w:rPr>
        <w:t xml:space="preserve">8c. What Each Metric Means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1B3A5C" w:sz="2"/>
              <w:left w:val="single" w:color="1B3A5C" w:sz="2"/>
              <w:bottom w:val="single" w:color="1B3A5C" w:sz="2"/>
              <w:right w:val="single" w:color="1B3A5C" w:sz="2"/>
            </w:tcBorders>
            <w:shd w:fill="E8F0FE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80"/>
            </w:pPr>
            <w:r>
              <w:rPr>
                <w:rFonts w:ascii="Arial" w:cs="Arial" w:eastAsia="Arial" w:hAnsi="Arial"/>
                <w:b/>
                <w:bCs/>
                <w:color w:val="0F2440"/>
                <w:sz w:val="22"/>
                <w:szCs w:val="22"/>
              </w:rPr>
              <w:t xml:space="preserve">MAE (Mean Absolute Error): </w:t>
            </w:r>
            <w:r>
              <w:rPr>
                <w:rFonts w:ascii="Arial" w:cs="Arial" w:eastAsia="Arial" w:hAnsi="Arial"/>
                <w:color w:val="0F2440"/>
                <w:sz w:val="22"/>
                <w:szCs w:val="22"/>
              </w:rPr>
              <w:t xml:space="preserve">Average magnitude of forecast errors in cents/lb. Lower is better. Our 2–3 cent accuracy means forecasts are typically within $1,000–$1,500 per 100-bale purchase.</w:t>
            </w:r>
          </w:p>
          <w:p>
            <w:pPr>
              <w:spacing w:after="80"/>
            </w:pPr>
            <w:r>
              <w:rPr>
                <w:rFonts w:ascii="Arial" w:cs="Arial" w:eastAsia="Arial" w:hAnsi="Arial"/>
                <w:b/>
                <w:bCs/>
                <w:color w:val="0F2440"/>
                <w:sz w:val="22"/>
                <w:szCs w:val="22"/>
              </w:rPr>
              <w:t xml:space="preserve">RMSE (Root Mean Squared Error): </w:t>
            </w:r>
            <w:r>
              <w:rPr>
                <w:rFonts w:ascii="Arial" w:cs="Arial" w:eastAsia="Arial" w:hAnsi="Arial"/>
                <w:color w:val="0F2440"/>
                <w:sz w:val="22"/>
                <w:szCs w:val="22"/>
              </w:rPr>
              <w:t xml:space="preserve">Like MAE but penalizes large errors more heavily. Similar to MAE here, indicating consistent performance without extreme outliers.</w:t>
            </w:r>
          </w:p>
          <w:p>
            <w:pPr>
              <w:spacing w:after="80"/>
            </w:pPr>
            <w:r>
              <w:rPr>
                <w:rFonts w:ascii="Arial" w:cs="Arial" w:eastAsia="Arial" w:hAnsi="Arial"/>
                <w:b/>
                <w:bCs/>
                <w:color w:val="0F2440"/>
                <w:sz w:val="22"/>
                <w:szCs w:val="22"/>
              </w:rPr>
              <w:t xml:space="preserve">CRPS (Continuous Ranked Probability Score): </w:t>
            </w:r>
            <w:r>
              <w:rPr>
                <w:rFonts w:ascii="Arial" w:cs="Arial" w:eastAsia="Arial" w:hAnsi="Arial"/>
                <w:color w:val="0F2440"/>
                <w:sz w:val="22"/>
                <w:szCs w:val="22"/>
              </w:rPr>
              <w:t xml:space="preserve">Measures the quality of probabilistic forecasts — not just the point prediction, but the full uncertainty range. Lower is better.</w:t>
            </w:r>
          </w:p>
          <w:p>
            <w:pPr>
              <w:spacing w:after="80"/>
            </w:pPr>
            <w:r>
              <w:rPr>
                <w:rFonts w:ascii="Arial" w:cs="Arial" w:eastAsia="Arial" w:hAnsi="Arial"/>
                <w:b/>
                <w:bCs/>
                <w:color w:val="0F2440"/>
                <w:sz w:val="22"/>
                <w:szCs w:val="22"/>
              </w:rPr>
              <w:t xml:space="preserve">Directional Accuracy: </w:t>
            </w:r>
            <w:r>
              <w:rPr>
                <w:rFonts w:ascii="Arial" w:cs="Arial" w:eastAsia="Arial" w:hAnsi="Arial"/>
                <w:color w:val="0F2440"/>
                <w:sz w:val="22"/>
                <w:szCs w:val="22"/>
              </w:rPr>
              <w:t xml:space="preserve">How often the model correctly predicts whether prices will go up or down. 40–60% in a volatile commodity market is reasonable.</w:t>
            </w:r>
          </w:p>
          <w:p>
            <w:pPr>
              <w:spacing w:after="80"/>
            </w:pPr>
            <w:r>
              <w:rPr>
                <w:rFonts w:ascii="Arial" w:cs="Arial" w:eastAsia="Arial" w:hAnsi="Arial"/>
                <w:b/>
                <w:bCs/>
                <w:color w:val="0F2440"/>
                <w:sz w:val="22"/>
                <w:szCs w:val="22"/>
              </w:rPr>
              <w:t xml:space="preserve">Coverage: </w:t>
            </w:r>
            <w:r>
              <w:rPr>
                <w:rFonts w:ascii="Arial" w:cs="Arial" w:eastAsia="Arial" w:hAnsi="Arial"/>
                <w:color w:val="0F2440"/>
                <w:sz w:val="22"/>
                <w:szCs w:val="22"/>
              </w:rPr>
              <w:t xml:space="preserve">Percentage of actual prices falling within the 80% prediction interval [q10, q90]. Our 95–100% coverage means the intervals are well-calibrated.</w:t>
            </w:r>
          </w:p>
          <w:p>
            <w:pPr>
              <w:spacing w:after="80"/>
            </w:pPr>
            <w:r>
              <w:rPr>
                <w:rFonts w:ascii="Arial" w:cs="Arial" w:eastAsia="Arial" w:hAnsi="Arial"/>
                <w:b/>
                <w:bCs/>
                <w:color w:val="0F2440"/>
                <w:sz w:val="22"/>
                <w:szCs w:val="22"/>
              </w:rPr>
              <w:t xml:space="preserve">MASE (Mean Absolute Scaled Error): </w:t>
            </w:r>
            <w:r>
              <w:rPr>
                <w:rFonts w:ascii="Arial" w:cs="Arial" w:eastAsia="Arial" w:hAnsi="Arial"/>
                <w:color w:val="0F2440"/>
                <w:sz w:val="22"/>
                <w:szCs w:val="22"/>
              </w:rPr>
              <w:t xml:space="preserve">Compares our model to a naive “price stays the same” forecast. Values &gt; 1 mean some origins are harder than a flat prediction, but overall performance is strong.</w:t>
            </w:r>
          </w:p>
        </w:tc>
      </w:tr>
    </w:tbl>
    <w:p>
      <w:r>
        <w:br w:type="page"/>
      </w: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9. Regime-Dependent Bias Breakdown</w:t>
      </w:r>
    </w:p>
    <w:p>
      <w:pPr>
        <w:spacing w:after="12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The regime-dependent correction reveals how model bias varies dramatically across different market conditions. The EWMA bias (in cents/lb) for each regime:</w:t>
      </w:r>
    </w:p>
    <w:p>
      <w:pPr>
        <w:spacing w:after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Horizon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Up Market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Down Market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Sideways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30-day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+0.57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E7D32"/>
                <w:sz w:val="20"/>
                <w:szCs w:val="20"/>
              </w:rPr>
              <w:t xml:space="preserve">+0.28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+1.14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60-day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+1.16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+1.54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+2.34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90-day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C62828"/>
                <w:sz w:val="20"/>
                <w:szCs w:val="20"/>
              </w:rPr>
              <w:t xml:space="preserve">+3.50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+1.98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+2.02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Regime distribution in backtest: Down = 21, Sideways = 33, Up = 6 (out of 60 total forecasts). The test period was predominantly sideways-to-declining.</w:t>
      </w:r>
    </w:p>
    <w:p>
      <w:pPr>
        <w:spacing w:after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1B3A5C" w:sz="2"/>
              <w:left w:val="single" w:color="1B3A5C" w:sz="2"/>
              <w:bottom w:val="single" w:color="1B3A5C" w:sz="2"/>
              <w:right w:val="single" w:color="1B3A5C" w:sz="2"/>
            </w:tcBorders>
            <w:shd w:fill="E8F0FE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80"/>
            </w:pPr>
            <w:r>
              <w:rPr>
                <w:rFonts w:ascii="Arial" w:cs="Arial" w:eastAsia="Arial" w:hAnsi="Arial"/>
                <w:b/>
                <w:bCs/>
                <w:color w:val="0F2440"/>
                <w:sz w:val="22"/>
                <w:szCs w:val="22"/>
              </w:rPr>
              <w:t xml:space="preserve">Key Insight: </w:t>
            </w:r>
            <w:r>
              <w:rPr>
                <w:rFonts w:ascii="Arial" w:cs="Arial" w:eastAsia="Arial" w:hAnsi="Arial"/>
                <w:color w:val="0F2440"/>
                <w:sz w:val="22"/>
                <w:szCs w:val="22"/>
              </w:rPr>
              <w:t xml:space="preserve">In falling markets — when accurate pricing matters most for procurement — the 30-day bias is just +0.28 cents/lb (nearly perfect). The largest remaining bias (+3.50) is in 90-day forecasts during rising markets, which occurred rarely.</w:t>
            </w:r>
          </w:p>
        </w:tc>
      </w:tr>
    </w:tbl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10. Live Forecast (March 2026)</w:t>
      </w:r>
    </w:p>
    <w:p>
      <w:pPr>
        <w:spacing w:after="12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Current market regime detected: UP (cotton prices rose &gt;2% over last 20 trading days). Regime-aware bias correction and optimized ensemble weights applied automatically.</w:t>
      </w:r>
    </w:p>
    <w:p>
      <w:pPr>
        <w:spacing w:after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60"/>
        <w:gridCol w:w="1950"/>
        <w:gridCol w:w="1950"/>
        <w:gridCol w:w="1950"/>
        <w:gridCol w:w="1950"/>
      </w:tblGrid>
      <w:tr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Horizon</w:t>
            </w:r>
          </w:p>
        </w:tc>
        <w:tc>
          <w:tcPr>
            <w:tcW w:type="dxa" w:w="19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Point Forecast</w:t>
            </w:r>
          </w:p>
        </w:tc>
        <w:tc>
          <w:tcPr>
            <w:tcW w:type="dxa" w:w="19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Low (10th)</w:t>
            </w:r>
          </w:p>
        </w:tc>
        <w:tc>
          <w:tcPr>
            <w:tcW w:type="dxa" w:w="19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High (90th)</w:t>
            </w:r>
          </w:p>
        </w:tc>
        <w:tc>
          <w:tcPr>
            <w:tcW w:type="dxa" w:w="19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Direction</w:t>
            </w:r>
          </w:p>
        </w:tc>
      </w:tr>
      <w:tr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30-day</w:t>
            </w:r>
          </w:p>
        </w:tc>
        <w:tc>
          <w:tcPr>
            <w:tcW w:type="dxa" w:w="19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66.62 ¢/lb</w:t>
            </w:r>
          </w:p>
        </w:tc>
        <w:tc>
          <w:tcPr>
            <w:tcW w:type="dxa" w:w="19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62.52 ¢/lb</w:t>
            </w:r>
          </w:p>
        </w:tc>
        <w:tc>
          <w:tcPr>
            <w:tcW w:type="dxa" w:w="19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71.79 ¢/lb</w:t>
            </w:r>
          </w:p>
        </w:tc>
        <w:tc>
          <w:tcPr>
            <w:tcW w:type="dxa" w:w="19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C62828"/>
                <w:sz w:val="20"/>
                <w:szCs w:val="20"/>
              </w:rPr>
              <w:t xml:space="preserve">↓ Down</w:t>
            </w:r>
          </w:p>
        </w:tc>
      </w:tr>
      <w:tr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60-day</w:t>
            </w:r>
          </w:p>
        </w:tc>
        <w:tc>
          <w:tcPr>
            <w:tcW w:type="dxa" w:w="19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67.42 ¢/lb</w:t>
            </w:r>
          </w:p>
        </w:tc>
        <w:tc>
          <w:tcPr>
            <w:tcW w:type="dxa" w:w="19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61.87 ¢/lb</w:t>
            </w:r>
          </w:p>
        </w:tc>
        <w:tc>
          <w:tcPr>
            <w:tcW w:type="dxa" w:w="19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75.25 ¢/lb</w:t>
            </w:r>
          </w:p>
        </w:tc>
        <w:tc>
          <w:tcPr>
            <w:tcW w:type="dxa" w:w="19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E7D32"/>
                <w:sz w:val="20"/>
                <w:szCs w:val="20"/>
              </w:rPr>
              <w:t xml:space="preserve">↑ Up</w:t>
            </w:r>
          </w:p>
        </w:tc>
      </w:tr>
      <w:tr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90-day</w:t>
            </w:r>
          </w:p>
        </w:tc>
        <w:tc>
          <w:tcPr>
            <w:tcW w:type="dxa" w:w="19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66.70 ¢/lb</w:t>
            </w:r>
          </w:p>
        </w:tc>
        <w:tc>
          <w:tcPr>
            <w:tcW w:type="dxa" w:w="19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55.65 ¢/lb</w:t>
            </w:r>
          </w:p>
        </w:tc>
        <w:tc>
          <w:tcPr>
            <w:tcW w:type="dxa" w:w="19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69.69 ¢/lb</w:t>
            </w:r>
          </w:p>
        </w:tc>
        <w:tc>
          <w:tcPr>
            <w:tcW w:type="dxa" w:w="19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C62828"/>
                <w:sz w:val="20"/>
                <w:szCs w:val="20"/>
              </w:rPr>
              <w:t xml:space="preserve">↓ Down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The 80% confidence interval spans approximately 9–14 cents/lb, providing a realistic range for procurement planning. The model suggests prices will remain near current levels (~65–67 cents) over the next 1–3 months.</w:t>
      </w: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11. Performance vs Prophet Baseline</w:t>
      </w:r>
    </w:p>
    <w:p>
      <w:pPr>
        <w:spacing w:after="12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We compare against Facebook Prophet, a widely-used time series forecasting tool, to validate the model’s value. The Diebold-Mariano test confirms statistical significance:</w:t>
      </w:r>
    </w:p>
    <w:p>
      <w:pPr>
        <w:spacing w:after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60"/>
        <w:gridCol w:w="1950"/>
        <w:gridCol w:w="1950"/>
        <w:gridCol w:w="1950"/>
        <w:gridCol w:w="1950"/>
      </w:tblGrid>
      <w:tr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Horizon</w:t>
            </w:r>
          </w:p>
        </w:tc>
        <w:tc>
          <w:tcPr>
            <w:tcW w:type="dxa" w:w="19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Our Model</w:t>
            </w:r>
          </w:p>
        </w:tc>
        <w:tc>
          <w:tcPr>
            <w:tcW w:type="dxa" w:w="19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Prophet</w:t>
            </w:r>
          </w:p>
        </w:tc>
        <w:tc>
          <w:tcPr>
            <w:tcW w:type="dxa" w:w="19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Improvement</w:t>
            </w:r>
          </w:p>
        </w:tc>
        <w:tc>
          <w:tcPr>
            <w:tcW w:type="dxa" w:w="19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Significance</w:t>
            </w:r>
          </w:p>
        </w:tc>
      </w:tr>
      <w:tr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30-day</w:t>
            </w:r>
          </w:p>
        </w:tc>
        <w:tc>
          <w:tcPr>
            <w:tcW w:type="dxa" w:w="19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E7D32"/>
                <w:sz w:val="20"/>
                <w:szCs w:val="20"/>
              </w:rPr>
              <w:t xml:space="preserve">2.35 ¢/lb</w:t>
            </w:r>
          </w:p>
        </w:tc>
        <w:tc>
          <w:tcPr>
            <w:tcW w:type="dxa" w:w="19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41.95 ¢/lb</w:t>
            </w:r>
          </w:p>
        </w:tc>
        <w:tc>
          <w:tcPr>
            <w:tcW w:type="dxa" w:w="19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E7D32"/>
                <w:sz w:val="20"/>
                <w:szCs w:val="20"/>
              </w:rPr>
              <w:t xml:space="preserve">94.4%</w:t>
            </w:r>
          </w:p>
        </w:tc>
        <w:tc>
          <w:tcPr>
            <w:tcW w:type="dxa" w:w="19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p = 0.014 *</w:t>
            </w:r>
          </w:p>
        </w:tc>
      </w:tr>
      <w:tr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60-day</w:t>
            </w:r>
          </w:p>
        </w:tc>
        <w:tc>
          <w:tcPr>
            <w:tcW w:type="dxa" w:w="19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E7D32"/>
                <w:sz w:val="20"/>
                <w:szCs w:val="20"/>
              </w:rPr>
              <w:t xml:space="preserve">3.05 ¢/lb</w:t>
            </w:r>
          </w:p>
        </w:tc>
        <w:tc>
          <w:tcPr>
            <w:tcW w:type="dxa" w:w="19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79.09 ¢/lb</w:t>
            </w:r>
          </w:p>
        </w:tc>
        <w:tc>
          <w:tcPr>
            <w:tcW w:type="dxa" w:w="19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E7D32"/>
                <w:sz w:val="20"/>
                <w:szCs w:val="20"/>
              </w:rPr>
              <w:t xml:space="preserve">96.1%</w:t>
            </w:r>
          </w:p>
        </w:tc>
        <w:tc>
          <w:tcPr>
            <w:tcW w:type="dxa" w:w="19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p = 0.016 *</w:t>
            </w:r>
          </w:p>
        </w:tc>
      </w:tr>
      <w:tr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90-day</w:t>
            </w:r>
          </w:p>
        </w:tc>
        <w:tc>
          <w:tcPr>
            <w:tcW w:type="dxa" w:w="19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E7D32"/>
                <w:sz w:val="20"/>
                <w:szCs w:val="20"/>
              </w:rPr>
              <w:t xml:space="preserve">2.66 ¢/lb</w:t>
            </w:r>
          </w:p>
        </w:tc>
        <w:tc>
          <w:tcPr>
            <w:tcW w:type="dxa" w:w="19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103.92 ¢/lb</w:t>
            </w:r>
          </w:p>
        </w:tc>
        <w:tc>
          <w:tcPr>
            <w:tcW w:type="dxa" w:w="19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E7D32"/>
                <w:sz w:val="20"/>
                <w:szCs w:val="20"/>
              </w:rPr>
              <w:t xml:space="preserve">97.4%</w:t>
            </w:r>
          </w:p>
        </w:tc>
        <w:tc>
          <w:tcPr>
            <w:tcW w:type="dxa" w:w="19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p = 0.019 *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All results are statistically significant at the 5% level (p &lt; 0.05), confirming the improvement is real and not due to chance.</w:t>
      </w:r>
    </w:p>
    <w:p>
      <w:r>
        <w:br w:type="page"/>
      </w: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12. What This Means for Procurement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0F2440"/>
          <w:sz w:val="26"/>
          <w:szCs w:val="26"/>
        </w:rPr>
        <w:t xml:space="preserve">Pricing Accuracy</w:t>
      </w:r>
    </w:p>
    <w:p>
      <w:pPr>
        <w:spacing w:after="12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Model errors are approximately 2–3 cents per pound across all horizons. For a typical 100-bale cotton purchase (~50,000 lbs), this translates to pricing accuracy within $1,000–$1,500 — a meaningful improvement for budgeting and hedging decisions.</w:t>
      </w:r>
    </w:p>
    <w:p>
      <w:pPr>
        <w:spacing w:after="80"/>
      </w:pP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0F2440"/>
          <w:sz w:val="26"/>
          <w:szCs w:val="26"/>
        </w:rPr>
        <w:t xml:space="preserve">More Balanced Signals</w:t>
      </w:r>
    </w:p>
    <w:p>
      <w:pPr>
        <w:spacing w:after="12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The previous model systematically over-estimated future prices, which could have led to: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Over-hedging (locking in higher prices than necessary)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Premature purchases (buying early based on inflated price signals)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Budget overestimates (setting aside more capital than needed)</w:t>
      </w:r>
    </w:p>
    <w:p>
      <w:pPr>
        <w:spacing w:after="12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With bias reduced by 31–55%, procurement decisions are now based on more balanced, reliable price signals.</w:t>
      </w:r>
    </w:p>
    <w:p>
      <w:pPr>
        <w:spacing w:after="80"/>
      </w:pP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0F2440"/>
          <w:sz w:val="26"/>
          <w:szCs w:val="26"/>
        </w:rPr>
        <w:t xml:space="preserve">Regime Awareness</w:t>
      </w:r>
    </w:p>
    <w:p>
      <w:pPr>
        <w:spacing w:after="12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The model automatically detects market conditions and adjusts accordingly. This is especially valuable during downturns — when accurate pricing intelligence matters most for procurement timing. In falling markets, 30-day bias is just +0.28 cents/lb.</w:t>
      </w:r>
    </w:p>
    <w:p>
      <w:pPr>
        <w:spacing w:after="80"/>
      </w:pP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0F2440"/>
          <w:sz w:val="26"/>
          <w:szCs w:val="26"/>
        </w:rPr>
        <w:t xml:space="preserve">Confidence Intervals</w:t>
      </w:r>
    </w:p>
    <w:p>
      <w:pPr>
        <w:spacing w:after="12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Every forecast includes a range (80% confidence interval). This lets procurement plan for best-case and worst-case scenarios, not just a single number.</w:t>
      </w:r>
    </w:p>
    <w:p>
      <w:pPr>
        <w:spacing w:after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1B3A5C" w:sz="2"/>
              <w:left w:val="single" w:color="1B3A5C" w:sz="2"/>
              <w:bottom w:val="single" w:color="1B3A5C" w:sz="2"/>
              <w:right w:val="single" w:color="1B3A5C" w:sz="2"/>
            </w:tcBorders>
            <w:shd w:fill="E8F0FE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80"/>
            </w:pPr>
            <w:r>
              <w:rPr>
                <w:rFonts w:ascii="Arial" w:cs="Arial" w:eastAsia="Arial" w:hAnsi="Arial"/>
                <w:b/>
                <w:bCs/>
                <w:color w:val="0F2440"/>
                <w:sz w:val="22"/>
                <w:szCs w:val="22"/>
              </w:rPr>
              <w:t xml:space="preserve">Bottom Line: </w:t>
            </w:r>
            <w:r>
              <w:rPr>
                <w:rFonts w:ascii="Arial" w:cs="Arial" w:eastAsia="Arial" w:hAnsi="Arial"/>
                <w:color w:val="0F2440"/>
                <w:sz w:val="22"/>
                <w:szCs w:val="22"/>
              </w:rPr>
              <w:t xml:space="preserve">The procurement team can now trust price forecasts with greater confidence. Predictions are more balanced (less upward bias), more adaptive (regime-aware), more accurate (10–14% MAE improvement), and backed by 7 independent data sources. These improvements directly support better hedging timing, more accurate budgets, and smarter purchasing decisions.</w:t>
            </w:r>
          </w:p>
        </w:tc>
      </w:tr>
    </w:tbl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13. Methodology &amp; Technical Notes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0F2440"/>
          <w:sz w:val="26"/>
          <w:szCs w:val="26"/>
        </w:rPr>
        <w:t xml:space="preserve">Walk-Forward Backtest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20 forecast origins, 10-day step between each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500-day minimum context window — no short-history forecasts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Strict no-data-leakage: model only sees data available at each forecast origin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60 total forecasts evaluated (20 origins × 3 horizons)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Test period: April 2024 – October 2025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1 warm-up origin skipped to allow regime detection to stabilize</w:t>
      </w:r>
    </w:p>
    <w:p>
      <w:pPr>
        <w:spacing w:after="80"/>
      </w:pP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0F2440"/>
          <w:sz w:val="26"/>
          <w:szCs w:val="26"/>
        </w:rPr>
        <w:t xml:space="preserve">Models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Amazon Chronos-2: </w:t>
      </w:r>
      <w:r>
        <w:rPr>
          <w:rFonts w:ascii="Arial" w:cs="Arial" w:eastAsia="Arial" w:hAnsi="Arial"/>
          <w:sz w:val="22"/>
          <w:szCs w:val="22"/>
        </w:rPr>
        <w:t xml:space="preserve">120M-parameter encoder-only foundation model. Uses predict_df API with covariates and cross-learning.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Chronos-Bolt-Base: </w:t>
      </w:r>
      <w:r>
        <w:rPr>
          <w:rFonts w:ascii="Arial" w:cs="Arial" w:eastAsia="Arial" w:hAnsi="Arial"/>
          <w:sz w:val="22"/>
          <w:szCs w:val="22"/>
        </w:rPr>
        <w:t xml:space="preserve">Lightweight univariate model. Uses predict_quantiles API on 512-day rolling context.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Ensemble: </w:t>
      </w:r>
      <w:r>
        <w:rPr>
          <w:rFonts w:ascii="Arial" w:cs="Arial" w:eastAsia="Arial" w:hAnsi="Arial"/>
          <w:sz w:val="22"/>
          <w:szCs w:val="22"/>
        </w:rPr>
        <w:t xml:space="preserve">Weighted quantile combination with per-horizon optimized weights.</w:t>
      </w:r>
    </w:p>
    <w:p>
      <w:pPr>
        <w:spacing w:after="80"/>
      </w:pP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0F2440"/>
          <w:sz w:val="26"/>
          <w:szCs w:val="26"/>
        </w:rPr>
        <w:t xml:space="preserve">Bias Reduction Pipeline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Smooth seasonal flags (sigmoid transitions, ramp_days=15)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Online EWMA bias correction (α=0.3, chronologically ordered)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Regime detection (20-day lookback, ±2% threshold for up/down classification)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Per-regime EWMA correction (separate EWMA per horizon per regime)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Ensemble weight optimization (grid search 0–100% in 5% steps, per horizon)</w:t>
      </w:r>
    </w:p>
    <w:p>
      <w:pPr>
        <w:spacing w:after="80"/>
      </w:pP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0F2440"/>
          <w:sz w:val="26"/>
          <w:szCs w:val="26"/>
        </w:rPr>
        <w:t xml:space="preserve">Statistical Validation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Diebold-Mariano test for forecast comparison (HAC variance with Newey-West bandwidth)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Outlier detection: origins with MAE &gt; 3× median are flagged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Coverage calibration: 80% prediction intervals validated against actual outcomes</w:t>
      </w:r>
    </w:p>
    <w:p>
      <w:pPr>
        <w:spacing w:after="80"/>
      </w:pPr>
    </w:p>
    <w:p>
      <w:pPr>
        <w:spacing w:after="80"/>
      </w:pPr>
    </w:p>
    <w:p>
      <w:pPr>
        <w:pBdr>
          <w:top w:val="single" w:color="1B3A5C" w:sz="2" w:space="8"/>
        </w:pBdr>
        <w:spacing w:before="400"/>
        <w:jc w:val="center"/>
      </w:pPr>
      <w:r>
        <w:rPr>
          <w:rFonts w:ascii="Arial" w:cs="Arial" w:eastAsia="Arial" w:hAnsi="Arial"/>
          <w:i/>
          <w:iCs/>
          <w:color w:val="1B3A5C"/>
          <w:sz w:val="18"/>
          <w:szCs w:val="18"/>
        </w:rPr>
        <w:t xml:space="preserve">Report generated March 2026 — Chronos-2 Cotton Forecasting v4.0 — EMB Global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1B3A5C"/>
        <w:sz w:val="16"/>
        <w:szCs w:val="16"/>
      </w:rPr>
      <w:t xml:space="preserve">Page </w:t>
    </w:r>
    <w:r>
      <w:rPr>
        <w:rFonts w:ascii="Arial" w:cs="Arial" w:eastAsia="Arial" w:hAnsi="Arial"/>
        <w:color w:val="1B3A5C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i/>
        <w:iCs/>
        <w:color w:val="1B3A5C"/>
        <w:sz w:val="16"/>
        <w:szCs w:val="16"/>
      </w:rPr>
      <w:t xml:space="preserve">Cotton Futures — AI Price Prediction Report v4.0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360"/>
      <w:outlineLvl w:val="0"/>
    </w:pPr>
    <w:rPr>
      <w:rFonts w:ascii="Arial" w:cs="Arial" w:eastAsia="Arial" w:hAnsi="Arial"/>
      <w:b/>
      <w:bCs/>
      <w:color w:val="1B3A5C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Arial" w:cs="Arial" w:eastAsia="Arial" w:hAnsi="Arial"/>
      <w:b/>
      <w:bCs/>
      <w:color w:val="0F2440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2026-03-24T12:08:48.876Z</dcterms:created>
  <dcterms:modified xsi:type="dcterms:W3CDTF">2026-03-24T12:08:48.883Z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