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RBI Regulatory Demo Corpus – Implementation Brief</w:t>
      </w:r>
    </w:p>
    <w:p>
      <w:pPr>
        <w:jc w:val="center"/>
      </w:pPr>
      <w:r>
        <w:rPr>
          <w:i/>
        </w:rPr>
        <w:t>For the RBI Model Assurance Copilot | Verified-source implementation guidance</w:t>
      </w:r>
    </w:p>
    <w:p>
      <w:r>
        <w:t>Purpose: give Claude Code a source-grounded specification for adding a small RBI regulatory demonstration corpus to the existing project without redesigning the architecture or overstating regulatory coverage.</w:t>
      </w:r>
    </w:p>
    <w:p>
      <w:pPr>
        <w:pStyle w:val="Heading1"/>
      </w:pPr>
      <w:r>
        <w:t>1. Non-negotiable implementation principles</w:t>
      </w:r>
    </w:p>
    <w:p>
      <w:pPr>
        <w:pStyle w:val="ListBullet"/>
      </w:pPr>
      <w:r>
        <w:t>Use only RBI-published material or material directly traceable to an official RBI publication. Do not infer requirements from document titles.</w:t>
      </w:r>
    </w:p>
    <w:p>
      <w:pPr>
        <w:pStyle w:val="ListBullet"/>
      </w:pPr>
      <w:r>
        <w:t>Do not fabricate RBI clauses, paragraph numbers, URLs, applicability rules, regulatory status, or citations.</w:t>
      </w:r>
    </w:p>
    <w:p>
      <w:pPr>
        <w:pStyle w:val="ListBullet"/>
      </w:pPr>
      <w:r>
        <w:t>Do not claim complete RBI coverage. This is a curated demonstration corpus.</w:t>
      </w:r>
    </w:p>
    <w:p>
      <w:pPr>
        <w:pStyle w:val="ListBullet"/>
      </w:pPr>
      <w:r>
        <w:t>Preserve document title, publication date, update date where applicable, RBI reference number, official source URL, applicability, and section/paragraph reference.</w:t>
      </w:r>
    </w:p>
    <w:p>
      <w:pPr>
        <w:pStyle w:val="ListBullet"/>
      </w:pPr>
      <w:r>
        <w:t>Prefer current consolidated RBI instruments. If an older source is superseded, record that status instead of treating it as current.</w:t>
      </w:r>
    </w:p>
    <w:p>
      <w:pPr>
        <w:pStyle w:val="ListBullet"/>
      </w:pPr>
      <w:r>
        <w:t>Keep binding directions separate from advisory/recommendatory material.</w:t>
      </w:r>
    </w:p>
    <w:p>
      <w:pPr>
        <w:pStyle w:val="ListBullet"/>
      </w:pPr>
      <w:r>
        <w:t>Requirements that cannot be assessed from current evidence must not become PASS or FAIL merely because evidence is missing. Use existing NOT_FOUND/PENDING semantics or a dedicated attestation state only if safely supported.</w:t>
      </w:r>
    </w:p>
    <w:p>
      <w:pPr>
        <w:pStyle w:val="ListBullet"/>
      </w:pPr>
      <w:r>
        <w:t>The LLM must never determine compliance status. Status remains deterministic and evidence-driven.</w:t>
      </w:r>
    </w:p>
    <w:p>
      <w:pPr>
        <w:pStyle w:val="ListBullet"/>
      </w:pPr>
      <w:r>
        <w:t>Do not redesign the React UI. Only small additive notices/labels may be used.</w:t>
      </w:r>
    </w:p>
    <w:p>
      <w:pPr>
        <w:pStyle w:val="ListBullet"/>
      </w:pPr>
      <w:r>
        <w:t>Keep all changes on post-completion-improvements. Do not merge, rebase, push, or modify main. Do not commit in this pass.</w:t>
      </w:r>
    </w:p>
    <w:p>
      <w:pPr>
        <w:pStyle w:val="Heading1"/>
      </w:pPr>
      <w:r>
        <w:t>2. Recommended core RBI corpus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Priority</w:t>
            </w:r>
          </w:p>
        </w:tc>
        <w:tc>
          <w:tcPr>
            <w:tcW w:type="dxa" w:w="2016"/>
          </w:tcPr>
          <w:p>
            <w:r>
              <w:t>RBI instrument</w:t>
            </w:r>
          </w:p>
        </w:tc>
        <w:tc>
          <w:tcPr>
            <w:tcW w:type="dxa" w:w="2016"/>
          </w:tcPr>
          <w:p>
            <w:r>
              <w:t>Type / relevance</w:t>
            </w:r>
          </w:p>
        </w:tc>
        <w:tc>
          <w:tcPr>
            <w:tcW w:type="dxa" w:w="2016"/>
          </w:tcPr>
          <w:p>
            <w:r>
              <w:t>Demo purpose</w:t>
            </w:r>
          </w:p>
        </w:tc>
        <w:tc>
          <w:tcPr>
            <w:tcW w:type="dxa" w:w="2016"/>
          </w:tcPr>
          <w:p>
            <w:r>
              <w:t>Assessment mode</w:t>
            </w:r>
          </w:p>
        </w:tc>
      </w:tr>
      <w:tr>
        <w:tc>
          <w:tcPr>
            <w:tcW w:type="dxa" w:w="2016"/>
            <w:vAlign w:val="top"/>
          </w:tcPr>
          <w:p>
            <w:r>
              <w:t>1</w:t>
            </w:r>
          </w:p>
        </w:tc>
        <w:tc>
          <w:tcPr>
            <w:tcW w:type="dxa" w:w="2016"/>
            <w:vAlign w:val="top"/>
          </w:tcPr>
          <w:p>
            <w:r>
              <w:t>Master Direction – RBI (Non-Banking Financial Company – Scale Based Regulation) Directions, 2023</w:t>
            </w:r>
          </w:p>
        </w:tc>
        <w:tc>
          <w:tcPr>
            <w:tcW w:type="dxa" w:w="2016"/>
            <w:vAlign w:val="top"/>
          </w:tcPr>
          <w:p>
            <w:r>
              <w:t>Binding; NBFC applicability</w:t>
            </w:r>
          </w:p>
        </w:tc>
        <w:tc>
          <w:tcPr>
            <w:tcW w:type="dxa" w:w="2016"/>
            <w:vAlign w:val="top"/>
          </w:tcPr>
          <w:p>
            <w:r>
              <w:t>Entity profile / NBFC-layer applicability</w:t>
            </w:r>
          </w:p>
        </w:tc>
        <w:tc>
          <w:tcPr>
            <w:tcW w:type="dxa" w:w="2016"/>
            <w:vAlign w:val="top"/>
          </w:tcPr>
          <w:p>
            <w:r>
              <w:t>Applicability + evidence</w:t>
            </w:r>
          </w:p>
        </w:tc>
      </w:tr>
      <w:tr>
        <w:tc>
          <w:tcPr>
            <w:tcW w:type="dxa" w:w="2016"/>
            <w:vAlign w:val="top"/>
          </w:tcPr>
          <w:p>
            <w:r>
              <w:t>2</w:t>
            </w:r>
          </w:p>
        </w:tc>
        <w:tc>
          <w:tcPr>
            <w:tcW w:type="dxa" w:w="2016"/>
            <w:vAlign w:val="top"/>
          </w:tcPr>
          <w:p>
            <w:r>
              <w:t>Master Direction on Outsourcing of Information Technology Services, 2023</w:t>
            </w:r>
          </w:p>
        </w:tc>
        <w:tc>
          <w:tcPr>
            <w:tcW w:type="dxa" w:w="2016"/>
            <w:vAlign w:val="top"/>
          </w:tcPr>
          <w:p>
            <w:r>
              <w:t>Binding; applies to NBFCs</w:t>
            </w:r>
          </w:p>
        </w:tc>
        <w:tc>
          <w:tcPr>
            <w:tcW w:type="dxa" w:w="2016"/>
            <w:vAlign w:val="top"/>
          </w:tcPr>
          <w:p>
            <w:r>
              <w:t>External model/vendor governance</w:t>
            </w:r>
          </w:p>
        </w:tc>
        <w:tc>
          <w:tcPr>
            <w:tcW w:type="dxa" w:w="2016"/>
            <w:vAlign w:val="top"/>
          </w:tcPr>
          <w:p>
            <w:r>
              <w:t>Mostly attestation/evidence</w:t>
            </w:r>
          </w:p>
        </w:tc>
      </w:tr>
      <w:tr>
        <w:tc>
          <w:tcPr>
            <w:tcW w:type="dxa" w:w="2016"/>
            <w:vAlign w:val="top"/>
          </w:tcPr>
          <w:p>
            <w:r>
              <w:t>3</w:t>
            </w:r>
          </w:p>
        </w:tc>
        <w:tc>
          <w:tcPr>
            <w:tcW w:type="dxa" w:w="2016"/>
            <w:vAlign w:val="top"/>
          </w:tcPr>
          <w:p>
            <w:r>
              <w:t>Directions on Managing Risks and Code of Conduct in Outsourcing of Financial Services by NBFCs, 2017</w:t>
            </w:r>
          </w:p>
        </w:tc>
        <w:tc>
          <w:tcPr>
            <w:tcW w:type="dxa" w:w="2016"/>
            <w:vAlign w:val="top"/>
          </w:tcPr>
          <w:p>
            <w:r>
              <w:t>Binding; NBFC outsourcing</w:t>
            </w:r>
          </w:p>
        </w:tc>
        <w:tc>
          <w:tcPr>
            <w:tcW w:type="dxa" w:w="2016"/>
            <w:vAlign w:val="top"/>
          </w:tcPr>
          <w:p>
            <w:r>
              <w:t>Vendor/LSP/model-provider oversight</w:t>
            </w:r>
          </w:p>
        </w:tc>
        <w:tc>
          <w:tcPr>
            <w:tcW w:type="dxa" w:w="2016"/>
            <w:vAlign w:val="top"/>
          </w:tcPr>
          <w:p>
            <w:r>
              <w:t>Mostly attestation/evidence</w:t>
            </w:r>
          </w:p>
        </w:tc>
      </w:tr>
      <w:tr>
        <w:tc>
          <w:tcPr>
            <w:tcW w:type="dxa" w:w="2016"/>
            <w:vAlign w:val="top"/>
          </w:tcPr>
          <w:p>
            <w:r>
              <w:t>4</w:t>
            </w:r>
          </w:p>
        </w:tc>
        <w:tc>
          <w:tcPr>
            <w:tcW w:type="dxa" w:w="2016"/>
            <w:vAlign w:val="top"/>
          </w:tcPr>
          <w:p>
            <w:r>
              <w:t>Master Directions on Fraud Risk Management in NBFCs (including HFCs), 2024</w:t>
            </w:r>
          </w:p>
        </w:tc>
        <w:tc>
          <w:tcPr>
            <w:tcW w:type="dxa" w:w="2016"/>
            <w:vAlign w:val="top"/>
          </w:tcPr>
          <w:p>
            <w:r>
              <w:t>Binding; NBFC fraud governance</w:t>
            </w:r>
          </w:p>
        </w:tc>
        <w:tc>
          <w:tcPr>
            <w:tcW w:type="dxa" w:w="2016"/>
            <w:vAlign w:val="top"/>
          </w:tcPr>
          <w:p>
            <w:r>
              <w:t>Fraud-risk use case + monitoring/governance</w:t>
            </w:r>
          </w:p>
        </w:tc>
        <w:tc>
          <w:tcPr>
            <w:tcW w:type="dxa" w:w="2016"/>
            <w:vAlign w:val="top"/>
          </w:tcPr>
          <w:p>
            <w:r>
              <w:t>Mixed</w:t>
            </w:r>
          </w:p>
        </w:tc>
      </w:tr>
      <w:tr>
        <w:tc>
          <w:tcPr>
            <w:tcW w:type="dxa" w:w="2016"/>
            <w:vAlign w:val="top"/>
          </w:tcPr>
          <w:p>
            <w:r>
              <w:t>5</w:t>
            </w:r>
          </w:p>
        </w:tc>
        <w:tc>
          <w:tcPr>
            <w:tcW w:type="dxa" w:w="2016"/>
            <w:vAlign w:val="top"/>
          </w:tcPr>
          <w:p>
            <w:r>
              <w:t>Reserve Bank of India (Digital Lending) Directions, 2025</w:t>
            </w:r>
          </w:p>
        </w:tc>
        <w:tc>
          <w:tcPr>
            <w:tcW w:type="dxa" w:w="2016"/>
            <w:vAlign w:val="top"/>
          </w:tcPr>
          <w:p>
            <w:r>
              <w:t>Binding; digital lending</w:t>
            </w:r>
          </w:p>
        </w:tc>
        <w:tc>
          <w:tcPr>
            <w:tcW w:type="dxa" w:w="2016"/>
            <w:vAlign w:val="top"/>
          </w:tcPr>
          <w:p>
            <w:r>
              <w:t>LSP due diligence, borrower protection, data/technology</w:t>
            </w:r>
          </w:p>
        </w:tc>
        <w:tc>
          <w:tcPr>
            <w:tcW w:type="dxa" w:w="2016"/>
            <w:vAlign w:val="top"/>
          </w:tcPr>
          <w:p>
            <w:r>
              <w:t>Mixed</w:t>
            </w:r>
          </w:p>
        </w:tc>
      </w:tr>
      <w:tr>
        <w:tc>
          <w:tcPr>
            <w:tcW w:type="dxa" w:w="2016"/>
            <w:vAlign w:val="top"/>
          </w:tcPr>
          <w:p>
            <w:r>
              <w:t>6</w:t>
            </w:r>
          </w:p>
        </w:tc>
        <w:tc>
          <w:tcPr>
            <w:tcW w:type="dxa" w:w="2016"/>
            <w:vAlign w:val="top"/>
          </w:tcPr>
          <w:p>
            <w:r>
              <w:t>Master Direction on Information Technology Framework for the NBFC Sector, 2017</w:t>
            </w:r>
          </w:p>
        </w:tc>
        <w:tc>
          <w:tcPr>
            <w:tcW w:type="dxa" w:w="2016"/>
            <w:vAlign w:val="top"/>
          </w:tcPr>
          <w:p>
            <w:r>
              <w:t>Binding; NBFC IT governance</w:t>
            </w:r>
          </w:p>
        </w:tc>
        <w:tc>
          <w:tcPr>
            <w:tcW w:type="dxa" w:w="2016"/>
            <w:vAlign w:val="top"/>
          </w:tcPr>
          <w:p>
            <w:r>
              <w:t>IT governance, auditability, security/BCP</w:t>
            </w:r>
          </w:p>
        </w:tc>
        <w:tc>
          <w:tcPr>
            <w:tcW w:type="dxa" w:w="2016"/>
            <w:vAlign w:val="top"/>
          </w:tcPr>
          <w:p>
            <w:r>
              <w:t>Mostly attestation/evidence</w:t>
            </w:r>
          </w:p>
        </w:tc>
      </w:tr>
      <w:tr>
        <w:tc>
          <w:tcPr>
            <w:tcW w:type="dxa" w:w="2016"/>
            <w:vAlign w:val="top"/>
          </w:tcPr>
          <w:p>
            <w:r>
              <w:t>7</w:t>
            </w:r>
          </w:p>
        </w:tc>
        <w:tc>
          <w:tcPr>
            <w:tcW w:type="dxa" w:w="2016"/>
            <w:vAlign w:val="top"/>
          </w:tcPr>
          <w:p>
            <w:r>
              <w:t>NBFC-specific Credit Information Reporting Directions, 2025</w:t>
            </w:r>
          </w:p>
        </w:tc>
        <w:tc>
          <w:tcPr>
            <w:tcW w:type="dxa" w:w="2016"/>
            <w:vAlign w:val="top"/>
          </w:tcPr>
          <w:p>
            <w:r>
              <w:t>Binding; credit information</w:t>
            </w:r>
          </w:p>
        </w:tc>
        <w:tc>
          <w:tcPr>
            <w:tcW w:type="dxa" w:w="2016"/>
            <w:vAlign w:val="top"/>
          </w:tcPr>
          <w:p>
            <w:r>
              <w:t>Credit-data quality/reporting governance</w:t>
            </w:r>
          </w:p>
        </w:tc>
        <w:tc>
          <w:tcPr>
            <w:tcW w:type="dxa" w:w="2016"/>
            <w:vAlign w:val="top"/>
          </w:tcPr>
          <w:p>
            <w:r>
              <w:t>Mostly evidence/attestation</w:t>
            </w:r>
          </w:p>
        </w:tc>
      </w:tr>
    </w:tbl>
    <w:p>
      <w:r>
        <w:t>Current-status note: RBI issued an NBFC-specific Credit Information Reporting Directions instrument on November 28, 2025. For an NBFC demo, verify and use the current NBFC-specific version rather than assuming the January 6, 2025 generic instrument is the final NBFC source.</w:t>
      </w:r>
    </w:p>
    <w:p>
      <w:pPr>
        <w:pStyle w:val="Heading1"/>
      </w:pPr>
      <w:r>
        <w:t>3. Secondary / targeted sources</w:t>
      </w:r>
    </w:p>
    <w:tbl>
      <w:tblPr>
        <w:tblStyle w:val="TableGrid"/>
        <w:tblW w:type="auto" w:w="0"/>
        <w:tblLook w:firstColumn="1" w:firstRow="1" w:lastColumn="0" w:lastRow="0" w:noHBand="0" w:noVBand="1" w:val="04A0"/>
      </w:tblPr>
      <w:tblGrid>
        <w:gridCol w:w="5040"/>
        <w:gridCol w:w="5040"/>
      </w:tblGrid>
      <w:tr>
        <w:tc>
          <w:tcPr>
            <w:tcW w:type="dxa" w:w="5040"/>
          </w:tcPr>
          <w:p>
            <w:r>
              <w:t>Source</w:t>
            </w:r>
          </w:p>
        </w:tc>
        <w:tc>
          <w:tcPr>
            <w:tcW w:type="dxa" w:w="5040"/>
          </w:tcPr>
          <w:p>
            <w:r>
              <w:t>How to use it</w:t>
            </w:r>
          </w:p>
        </w:tc>
      </w:tr>
      <w:tr>
        <w:tc>
          <w:tcPr>
            <w:tcW w:type="dxa" w:w="5040"/>
          </w:tcPr>
          <w:p>
            <w:r>
              <w:t>Master Direction – Know Your Customer (KYC) Direction, 2016, as amended</w:t>
            </w:r>
          </w:p>
        </w:tc>
        <w:tc>
          <w:tcPr>
            <w:tcW w:type="dxa" w:w="5040"/>
          </w:tcPr>
          <w:p>
            <w:r>
              <w:t>Use for a targeted KYC/data-governance demonstration. Do not claim model analytics prove KYC compliance.</w:t>
            </w:r>
          </w:p>
        </w:tc>
      </w:tr>
      <w:tr>
        <w:tc>
          <w:tcPr>
            <w:tcW w:type="dxa" w:w="5040"/>
          </w:tcPr>
          <w:p>
            <w:r>
              <w:t>Master Direction – RBI (Regulatory Framework for Microfinance Loans) Directions, 2022</w:t>
            </w:r>
          </w:p>
        </w:tc>
        <w:tc>
          <w:tcPr>
            <w:tcW w:type="dxa" w:w="5040"/>
          </w:tcPr>
          <w:p>
            <w:r>
              <w:t>Use for an applicable borrower-protection/responsible-lending example. Do not apply it to generic NBFC lending.</w:t>
            </w:r>
          </w:p>
        </w:tc>
      </w:tr>
      <w:tr>
        <w:tc>
          <w:tcPr>
            <w:tcW w:type="dxa" w:w="5040"/>
          </w:tcPr>
          <w:p>
            <w:r>
              <w:t>Master Direction – RBI (Interest Rate on Advances) Directions, 2016, as applicable</w:t>
            </w:r>
          </w:p>
        </w:tc>
        <w:tc>
          <w:tcPr>
            <w:tcW w:type="dxa" w:w="5040"/>
          </w:tcPr>
          <w:p>
            <w:r>
              <w:t>Keep as reference/future requirement family unless applicability and current version are verified.</w:t>
            </w:r>
          </w:p>
        </w:tc>
      </w:tr>
    </w:tbl>
    <w:p>
      <w:pPr>
        <w:pStyle w:val="Heading1"/>
      </w:pPr>
      <w:r>
        <w:t>4. Requirement families to extract from the verified sources</w:t>
      </w:r>
    </w:p>
    <w:p>
      <w:r>
        <w:t>The following are requirement families, not invented RBI clauses. Claude Code must locate the exact section/paragraph in the official source before creating each requirement record.</w:t>
      </w:r>
    </w:p>
    <w:p>
      <w:pPr>
        <w:pStyle w:val="Heading2"/>
      </w:pPr>
      <w:r>
        <w:t>SBR / NBFC applicability</w:t>
      </w:r>
    </w:p>
    <w:p>
      <w:pPr>
        <w:pStyle w:val="ListBullet2"/>
      </w:pPr>
      <w:r>
        <w:t>Represent NBFC Base, Middle, Upper and Top Layer only where supported by the source.</w:t>
      </w:r>
    </w:p>
    <w:p>
      <w:pPr>
        <w:pStyle w:val="ListBullet2"/>
      </w:pPr>
      <w:r>
        <w:t>Use progressive application of regulations where the source says so.</w:t>
      </w:r>
    </w:p>
    <w:p>
      <w:pPr>
        <w:pStyle w:val="ListBullet2"/>
      </w:pPr>
      <w:r>
        <w:t>Do not infer a synthetic entity's layer unless the demo explicitly supplies it.</w:t>
      </w:r>
    </w:p>
    <w:p>
      <w:pPr>
        <w:pStyle w:val="Heading2"/>
      </w:pPr>
      <w:r>
        <w:t>IT outsourcing</w:t>
      </w:r>
    </w:p>
    <w:p>
      <w:pPr>
        <w:pStyle w:val="ListBullet2"/>
      </w:pPr>
      <w:r>
        <w:t>Capture risk assessment/due diligence, contractual controls, monitoring/oversight, audit/access rights, data/security considerations and exit strategy where supported.</w:t>
      </w:r>
    </w:p>
    <w:p>
      <w:pPr>
        <w:pStyle w:val="ListBullet2"/>
      </w:pPr>
      <w:r>
        <w:t>Use the external RESTAdapter story as a vendor/outsourcing evidence path only when an outsourcing arrangement is declared.</w:t>
      </w:r>
    </w:p>
    <w:p>
      <w:pPr>
        <w:pStyle w:val="ListBullet2"/>
      </w:pPr>
      <w:r>
        <w:t>Do not claim the RESTAdapter itself proves contractual or governance compliance.</w:t>
      </w:r>
    </w:p>
    <w:p>
      <w:pPr>
        <w:pStyle w:val="Heading2"/>
      </w:pPr>
      <w:r>
        <w:t>Financial-services outsourcing by NBFCs</w:t>
      </w:r>
    </w:p>
    <w:p>
      <w:pPr>
        <w:pStyle w:val="ListBullet2"/>
      </w:pPr>
      <w:r>
        <w:t>Capture material outsourcing risk, due diligence, oversight, customer protection, access to records/information and regulated-entity accountability.</w:t>
      </w:r>
    </w:p>
    <w:p>
      <w:pPr>
        <w:pStyle w:val="ListBullet2"/>
      </w:pPr>
      <w:r>
        <w:t>Use this as the strongest regulatory grounding for the external/vendor model-assurance story.</w:t>
      </w:r>
    </w:p>
    <w:p>
      <w:pPr>
        <w:pStyle w:val="ListBullet2"/>
      </w:pPr>
      <w:r>
        <w:t>Outsourcing does not remove the NBFC's regulatory/customer obligations.</w:t>
      </w:r>
    </w:p>
    <w:p>
      <w:pPr>
        <w:pStyle w:val="Heading2"/>
      </w:pPr>
      <w:r>
        <w:t>Fraud risk management</w:t>
      </w:r>
    </w:p>
    <w:p>
      <w:pPr>
        <w:pStyle w:val="ListBullet2"/>
      </w:pPr>
      <w:r>
        <w:t>Add a fraud-risk requirement family that can consume existing monitoring/evidence architecture.</w:t>
      </w:r>
    </w:p>
    <w:p>
      <w:pPr>
        <w:pStyle w:val="ListBullet2"/>
      </w:pPr>
      <w:r>
        <w:t>Where supported, represent governance, fraud-risk management, monitoring/early-warning, investigation and escalation evidence.</w:t>
      </w:r>
    </w:p>
    <w:p>
      <w:pPr>
        <w:pStyle w:val="ListBullet2"/>
      </w:pPr>
      <w:r>
        <w:t>Do not claim the existing credit model is a fraud model. Fraud detection remains an extension unless separately tested.</w:t>
      </w:r>
    </w:p>
    <w:p>
      <w:pPr>
        <w:pStyle w:val="Heading2"/>
      </w:pPr>
      <w:r>
        <w:t>Digital lending</w:t>
      </w:r>
    </w:p>
    <w:p>
      <w:pPr>
        <w:pStyle w:val="ListBullet2"/>
      </w:pPr>
      <w:r>
        <w:t>Use the 2025 consolidated Directions as the current source rather than the older 2022 guideline.</w:t>
      </w:r>
    </w:p>
    <w:p>
      <w:pPr>
        <w:pStyle w:val="ListBullet2"/>
      </w:pPr>
      <w:r>
        <w:t>Capture LSP due diligence, borrower creditworthiness, disclosures, grievance redressal and technology/data requirements where supported.</w:t>
      </w:r>
    </w:p>
    <w:p>
      <w:pPr>
        <w:pStyle w:val="ListBullet2"/>
      </w:pPr>
      <w:r>
        <w:t>Only automate data/consent checks when the required evidence actually exists; otherwise use attestation/NOT_FOUND.</w:t>
      </w:r>
    </w:p>
    <w:p>
      <w:pPr>
        <w:pStyle w:val="Heading2"/>
      </w:pPr>
      <w:r>
        <w:t>NBFC IT framework</w:t>
      </w:r>
    </w:p>
    <w:p>
      <w:pPr>
        <w:pStyle w:val="ListBullet2"/>
      </w:pPr>
      <w:r>
        <w:t>Capture IT governance, information security, IT operations, IS audit, business continuity/availability and related governance evidence where applicable.</w:t>
      </w:r>
    </w:p>
    <w:p>
      <w:pPr>
        <w:pStyle w:val="ListBullet2"/>
      </w:pPr>
      <w:r>
        <w:t>Treat these primarily as organizational-control requirements, not as automatically proven by model analytics.</w:t>
      </w:r>
    </w:p>
    <w:p>
      <w:pPr>
        <w:pStyle w:val="Heading2"/>
      </w:pPr>
      <w:r>
        <w:t>Credit information reporting</w:t>
      </w:r>
    </w:p>
    <w:p>
      <w:pPr>
        <w:pStyle w:val="ListBullet2"/>
      </w:pPr>
      <w:r>
        <w:t>Use the current NBFC-specific 2025 direction where applicable.</w:t>
      </w:r>
    </w:p>
    <w:p>
      <w:pPr>
        <w:pStyle w:val="ListBullet2"/>
      </w:pPr>
      <w:r>
        <w:t>Focus on data accuracy/quality, reporting governance, security/confidentiality, correction/rectification, consumer access/grievance and reporting evidence where supported.</w:t>
      </w:r>
    </w:p>
    <w:p>
      <w:pPr>
        <w:pStyle w:val="ListBullet2"/>
      </w:pPr>
      <w:r>
        <w:t>Do not claim model training data is equivalent to compliant credit-information reporting.</w:t>
      </w:r>
    </w:p>
    <w:p>
      <w:pPr>
        <w:pStyle w:val="Heading2"/>
      </w:pPr>
      <w:r>
        <w:t>KYC</w:t>
      </w:r>
    </w:p>
    <w:p>
      <w:pPr>
        <w:pStyle w:val="ListBullet2"/>
      </w:pPr>
      <w:r>
        <w:t>Use the current amended KYC Direction for customer identification, CDD, ongoing due diligence and related audit/control concepts.</w:t>
      </w:r>
    </w:p>
    <w:p>
      <w:pPr>
        <w:pStyle w:val="ListBullet2"/>
      </w:pPr>
      <w:r>
        <w:t>Do not implement KYC compliance from model features alone.</w:t>
      </w:r>
    </w:p>
    <w:p>
      <w:pPr>
        <w:pStyle w:val="Heading2"/>
      </w:pPr>
      <w:r>
        <w:t>Microfinance</w:t>
      </w:r>
    </w:p>
    <w:p>
      <w:pPr>
        <w:pStyle w:val="ListBullet2"/>
      </w:pPr>
      <w:r>
        <w:t>Use the 2022 framework only for applicable microfinance entities/loans.</w:t>
      </w:r>
    </w:p>
    <w:p>
      <w:pPr>
        <w:pStyle w:val="ListBullet2"/>
      </w:pPr>
      <w:r>
        <w:t>A useful evidence family is household-level income and indebtedness assessment.</w:t>
      </w:r>
    </w:p>
    <w:p>
      <w:pPr>
        <w:pStyle w:val="ListBullet2"/>
      </w:pPr>
      <w:r>
        <w:t>Do not apply microfinance requirements to the generic synthetic bank unless its entity/loan profile says they apply.</w:t>
      </w:r>
    </w:p>
    <w:p>
      <w:pPr>
        <w:pStyle w:val="Heading1"/>
      </w:pPr>
      <w:r>
        <w:t>5. Requirement record schema</w:t>
      </w:r>
    </w:p>
    <w:p>
      <w:r>
        <w:t>If compatible with the existing manifest/requirements architecture, each requirement should preserve:</w:t>
      </w:r>
    </w:p>
    <w:p>
      <w:pPr>
        <w:pStyle w:val="ListBullet"/>
      </w:pPr>
      <w:r>
        <w:t>requirement_id; document_id; title</w:t>
      </w:r>
    </w:p>
    <w:p>
      <w:pPr>
        <w:pStyle w:val="ListBullet"/>
      </w:pPr>
      <w:r>
        <w:t>instrument_type: binding | advisory | committee_report (as applicable)</w:t>
      </w:r>
    </w:p>
    <w:p>
      <w:pPr>
        <w:pStyle w:val="ListBullet"/>
      </w:pPr>
      <w:r>
        <w:t>regulatory_status: current | historical | superseded | draft | other verified status</w:t>
      </w:r>
    </w:p>
    <w:p>
      <w:pPr>
        <w:pStyle w:val="ListBullet"/>
      </w:pPr>
      <w:r>
        <w:t>publication_date; updated_date; RBI reference/circular identifier</w:t>
      </w:r>
    </w:p>
    <w:p>
      <w:pPr>
        <w:pStyle w:val="ListBullet"/>
      </w:pPr>
      <w:r>
        <w:t>source_url (official RBI URL); section_or_paragraph</w:t>
      </w:r>
    </w:p>
    <w:p>
      <w:pPr>
        <w:pStyle w:val="ListBullet"/>
      </w:pPr>
      <w:r>
        <w:t>requirement_text (concise faithful paraphrase unless exact text is necessary)</w:t>
      </w:r>
    </w:p>
    <w:p>
      <w:pPr>
        <w:pStyle w:val="ListBullet"/>
      </w:pPr>
      <w:r>
        <w:t>applicability / applies_when</w:t>
      </w:r>
    </w:p>
    <w:p>
      <w:pPr>
        <w:pStyle w:val="ListBullet"/>
      </w:pPr>
      <w:r>
        <w:t>evidence_type; assessment_mode: automated | attestation | informational</w:t>
      </w:r>
    </w:p>
    <w:p>
      <w:pPr>
        <w:pStyle w:val="ListBullet"/>
      </w:pPr>
      <w:r>
        <w:t>evidence_binding; superseded_by only when verified; notes/limitations</w:t>
      </w:r>
    </w:p>
    <w:p>
      <w:pPr>
        <w:pStyle w:val="Heading1"/>
      </w:pPr>
      <w:r>
        <w:t>6. Mapping to the existing assurance architecture</w:t>
      </w:r>
    </w:p>
    <w:tbl>
      <w:tblPr>
        <w:tblStyle w:val="TableGrid"/>
        <w:tblW w:type="auto" w:w="0"/>
        <w:tblLook w:firstColumn="1" w:firstRow="1" w:lastColumn="0" w:lastRow="0" w:noHBand="0" w:noVBand="1" w:val="04A0"/>
      </w:tblPr>
      <w:tblGrid>
        <w:gridCol w:w="5040"/>
        <w:gridCol w:w="5040"/>
      </w:tblGrid>
      <w:tr>
        <w:tc>
          <w:tcPr>
            <w:tcW w:type="dxa" w:w="5040"/>
          </w:tcPr>
          <w:p>
            <w:r>
              <w:t>Layer</w:t>
            </w:r>
          </w:p>
        </w:tc>
        <w:tc>
          <w:tcPr>
            <w:tcW w:type="dxa" w:w="5040"/>
          </w:tcPr>
          <w:p>
            <w:r>
              <w:t>Use</w:t>
            </w:r>
          </w:p>
        </w:tc>
      </w:tr>
      <w:tr>
        <w:tc>
          <w:tcPr>
            <w:tcW w:type="dxa" w:w="5040"/>
          </w:tcPr>
          <w:p>
            <w:r>
              <w:t>Model output</w:t>
            </w:r>
          </w:p>
        </w:tc>
        <w:tc>
          <w:tcPr>
            <w:tcW w:type="dxa" w:w="5040"/>
          </w:tcPr>
          <w:p>
            <w:r>
              <w:t>Existing adapters and predictions; do not change label semantics.</w:t>
            </w:r>
          </w:p>
        </w:tc>
      </w:tr>
      <w:tr>
        <w:tc>
          <w:tcPr>
            <w:tcW w:type="dxa" w:w="5040"/>
          </w:tcPr>
          <w:p>
            <w:r>
              <w:t>Analytics</w:t>
            </w:r>
          </w:p>
        </w:tc>
        <w:tc>
          <w:tcPr>
            <w:tcW w:type="dxa" w:w="5040"/>
          </w:tcPr>
          <w:p>
            <w:r>
              <w:t>Existing explainability, fairness, feature drift, prediction drift and monitoring.</w:t>
            </w:r>
          </w:p>
        </w:tc>
      </w:tr>
      <w:tr>
        <w:tc>
          <w:tcPr>
            <w:tcW w:type="dxa" w:w="5040"/>
          </w:tcPr>
          <w:p>
            <w:r>
              <w:t>Evidence</w:t>
            </w:r>
          </w:p>
        </w:tc>
        <w:tc>
          <w:tcPr>
            <w:tcW w:type="dxa" w:w="5040"/>
          </w:tcPr>
          <w:p>
            <w:r>
              <w:t>Keep model_id, model_version, assurance_run_id, provenance and window identifiers.</w:t>
            </w:r>
          </w:p>
        </w:tc>
      </w:tr>
      <w:tr>
        <w:tc>
          <w:tcPr>
            <w:tcW w:type="dxa" w:w="5040"/>
          </w:tcPr>
          <w:p>
            <w:r>
              <w:t>Regulatory evidence</w:t>
            </w:r>
          </w:p>
        </w:tc>
        <w:tc>
          <w:tcPr>
            <w:tcW w:type="dxa" w:w="5040"/>
          </w:tcPr>
          <w:p>
            <w:r>
              <w:t>RBI requirements plus verified source metadata. Never let the LLM create compliance status.</w:t>
            </w:r>
          </w:p>
        </w:tc>
      </w:tr>
      <w:tr>
        <w:tc>
          <w:tcPr>
            <w:tcW w:type="dxa" w:w="5040"/>
          </w:tcPr>
          <w:p>
            <w:r>
              <w:t>Applicability</w:t>
            </w:r>
          </w:p>
        </w:tc>
        <w:tc>
          <w:tcPr>
            <w:tcW w:type="dxa" w:w="5040"/>
          </w:tcPr>
          <w:p>
            <w:r>
              <w:t>Entity profile such as entity_type=NBFC, NBFC layer, digital_lending, microfinance and outsourcing/vendor flags.</w:t>
            </w:r>
          </w:p>
        </w:tc>
      </w:tr>
      <w:tr>
        <w:tc>
          <w:tcPr>
            <w:tcW w:type="dxa" w:w="5040"/>
          </w:tcPr>
          <w:p>
            <w:r>
              <w:t>Assessment</w:t>
            </w:r>
          </w:p>
        </w:tc>
        <w:tc>
          <w:tcPr>
            <w:tcW w:type="dxa" w:w="5040"/>
          </w:tcPr>
          <w:p>
            <w:r>
              <w:t>Deterministic rules only where current evidence supports them. Otherwise NOT_FOUND/PENDING/attestation.</w:t>
            </w:r>
          </w:p>
        </w:tc>
      </w:tr>
      <w:tr>
        <w:tc>
          <w:tcPr>
            <w:tcW w:type="dxa" w:w="5040"/>
          </w:tcPr>
          <w:p>
            <w:r>
              <w:t>Narrative</w:t>
            </w:r>
          </w:p>
        </w:tc>
        <w:tc>
          <w:tcPr>
            <w:tcW w:type="dxa" w:w="5040"/>
          </w:tcPr>
          <w:p>
            <w:r>
              <w:t>LLM may explain retrieved evidence and findings, but may not invent requirements or determine PASS/FAIL.</w:t>
            </w:r>
          </w:p>
        </w:tc>
      </w:tr>
    </w:tbl>
    <w:p>
      <w:pPr>
        <w:pStyle w:val="Heading1"/>
      </w:pPr>
      <w:r>
        <w:t>7. Demo scenarios</w:t>
      </w:r>
    </w:p>
    <w:p>
      <w:pPr>
        <w:pStyle w:val="ListNumber"/>
      </w:pPr>
      <w:r>
        <w:t>External model/vendor: Synthetic Bank XGBoost remains behind RESTAdapter; show how outsourcing evidence can be assessed without moving the model into the platform.</w:t>
      </w:r>
    </w:p>
    <w:p>
      <w:pPr>
        <w:pStyle w:val="ListNumber"/>
      </w:pPr>
      <w:r>
        <w:t>NBFC applicability: declare a synthetic NBFC profile and show only matching requirements are assessed.</w:t>
      </w:r>
    </w:p>
    <w:p>
      <w:pPr>
        <w:pStyle w:val="ListNumber"/>
      </w:pPr>
      <w:r>
        <w:t>Digital lending: demonstrate a small set of verified requirements around LSP oversight, borrower creditworthiness/disclosures and technology/data controls. Missing operational evidence remains NOT_FOUND/attestation.</w:t>
      </w:r>
    </w:p>
    <w:p>
      <w:pPr>
        <w:pStyle w:val="ListNumber"/>
      </w:pPr>
      <w:r>
        <w:t>Fraud-risk: reuse existing monitoring/evidence architecture to show how the platform could support a fraud-risk model, but label fraud as an extension unless a fraud model is actually tested.</w:t>
      </w:r>
    </w:p>
    <w:p>
      <w:pPr>
        <w:pStyle w:val="ListNumber"/>
      </w:pPr>
      <w:r>
        <w:t>Credit-data governance: show that credit-information requirements are a distinct regulatory evidence family from fairness/drift/explainability.</w:t>
      </w:r>
    </w:p>
    <w:p>
      <w:pPr>
        <w:pStyle w:val="ListNumber"/>
      </w:pPr>
      <w:r>
        <w:t>Stale-source demonstration: if an older source is verified as superseded, retain it only as historical/stale evidence with a verified superseded_by relationship.</w:t>
      </w:r>
    </w:p>
    <w:p>
      <w:pPr>
        <w:pStyle w:val="Heading1"/>
      </w:pPr>
      <w:r>
        <w:t>8. What NOT to implement</w:t>
      </w:r>
    </w:p>
    <w:p>
      <w:pPr>
        <w:pStyle w:val="ListBullet"/>
      </w:pPr>
      <w:r>
        <w:t>No full RBI web crawler or automatic RBI-site ingestion.</w:t>
      </w:r>
    </w:p>
    <w:p>
      <w:pPr>
        <w:pStyle w:val="ListBullet"/>
      </w:pPr>
      <w:r>
        <w:t>No fake PDFs, placeholder regulatory text, guessed paragraph numbers or guessed URLs.</w:t>
      </w:r>
    </w:p>
    <w:p>
      <w:pPr>
        <w:pStyle w:val="ListBullet"/>
      </w:pPr>
      <w:r>
        <w:t>No compliance PASS based only on a model feature/chart.</w:t>
      </w:r>
    </w:p>
    <w:p>
      <w:pPr>
        <w:pStyle w:val="ListBullet"/>
      </w:pPr>
      <w:r>
        <w:t>No employee accounts, authentication, persistence or production audit database.</w:t>
      </w:r>
    </w:p>
    <w:p>
      <w:pPr>
        <w:pStyle w:val="ListBullet"/>
      </w:pPr>
      <w:r>
        <w:t>No automatic retraining recommendation.</w:t>
      </w:r>
    </w:p>
    <w:p>
      <w:pPr>
        <w:pStyle w:val="ListBullet"/>
      </w:pPr>
      <w:r>
        <w:t>No claim of complete RBI coverage.</w:t>
      </w:r>
    </w:p>
    <w:p>
      <w:pPr>
        <w:pStyle w:val="ListBullet"/>
      </w:pPr>
      <w:r>
        <w:t>No claim that every red transaction means model failure or employee misconduct.</w:t>
      </w:r>
    </w:p>
    <w:p>
      <w:pPr>
        <w:pStyle w:val="ListBullet"/>
      </w:pPr>
      <w:r>
        <w:t>No major UI redesign.</w:t>
      </w:r>
    </w:p>
    <w:p>
      <w:pPr>
        <w:pStyle w:val="ListBullet"/>
      </w:pPr>
      <w:r>
        <w:t>Do not modify app/config/thresholds.py, app/drift/, app/monitoring/, app/explainability/capability.py or LLM safety enforcement unless a directly identified defect requires it.</w:t>
      </w:r>
    </w:p>
    <w:p>
      <w:pPr>
        <w:pStyle w:val="Heading1"/>
      </w:pPr>
      <w:r>
        <w:t>9. Verified source register</w:t>
      </w:r>
    </w:p>
    <w:tbl>
      <w:tblPr>
        <w:tblStyle w:val="TableGrid"/>
        <w:tblW w:type="auto" w:w="0"/>
        <w:tblLook w:firstColumn="1" w:firstRow="1" w:lastColumn="0" w:lastRow="0" w:noHBand="0" w:noVBand="1" w:val="04A0"/>
      </w:tblPr>
      <w:tblGrid>
        <w:gridCol w:w="3360"/>
        <w:gridCol w:w="3360"/>
        <w:gridCol w:w="3360"/>
      </w:tblGrid>
      <w:tr>
        <w:tc>
          <w:tcPr>
            <w:tcW w:type="dxa" w:w="3360"/>
          </w:tcPr>
          <w:p>
            <w:r>
              <w:t>Source</w:t>
            </w:r>
          </w:p>
        </w:tc>
        <w:tc>
          <w:tcPr>
            <w:tcW w:type="dxa" w:w="3360"/>
          </w:tcPr>
          <w:p>
            <w:r>
              <w:t>Official RBI URL</w:t>
            </w:r>
          </w:p>
        </w:tc>
        <w:tc>
          <w:tcPr>
            <w:tcW w:type="dxa" w:w="3360"/>
          </w:tcPr>
          <w:p>
            <w:r>
              <w:t>Why it is included</w:t>
            </w:r>
          </w:p>
        </w:tc>
      </w:tr>
      <w:tr>
        <w:tc>
          <w:tcPr>
            <w:tcW w:type="dxa" w:w="3360"/>
          </w:tcPr>
          <w:p>
            <w:r>
              <w:t>NBFC Scale Based Regulation Directions, 2023</w:t>
            </w:r>
          </w:p>
        </w:tc>
        <w:tc>
          <w:tcPr>
            <w:tcW w:type="dxa" w:w="3360"/>
          </w:tcPr>
          <w:p>
            <w:r>
              <w:t>https://www.rbi.org.in/Scripts/BS_ViewMasDirections.aspx?id=10690</w:t>
            </w:r>
          </w:p>
        </w:tc>
        <w:tc>
          <w:tcPr>
            <w:tcW w:type="dxa" w:w="3360"/>
          </w:tcPr>
          <w:p>
            <w:r>
              <w:t>NBFC layers and progressive applicability.</w:t>
            </w:r>
          </w:p>
        </w:tc>
      </w:tr>
      <w:tr>
        <w:tc>
          <w:tcPr>
            <w:tcW w:type="dxa" w:w="3360"/>
          </w:tcPr>
          <w:p>
            <w:r>
              <w:t>Outsourcing of Information Technology Services Directions, 2023</w:t>
            </w:r>
          </w:p>
        </w:tc>
        <w:tc>
          <w:tcPr>
            <w:tcW w:type="dxa" w:w="3360"/>
          </w:tcPr>
          <w:p>
            <w:r>
              <w:t>https://systemhealth.rbi.org.in/Scripts/BS_ViewMasDirections.aspx_id%3D12486.html</w:t>
            </w:r>
          </w:p>
        </w:tc>
        <w:tc>
          <w:tcPr>
            <w:tcW w:type="dxa" w:w="3360"/>
          </w:tcPr>
          <w:p>
            <w:r>
              <w:t>Applies to NBFCs; IT outsourcing risk, contracts, oversight, audit/access, cross-border and exit.</w:t>
            </w:r>
          </w:p>
        </w:tc>
      </w:tr>
      <w:tr>
        <w:tc>
          <w:tcPr>
            <w:tcW w:type="dxa" w:w="3360"/>
          </w:tcPr>
          <w:p>
            <w:r>
              <w:t>Information Technology Framework for the NBFC Sector, 2017</w:t>
            </w:r>
          </w:p>
        </w:tc>
        <w:tc>
          <w:tcPr>
            <w:tcW w:type="dxa" w:w="3360"/>
          </w:tcPr>
          <w:p>
            <w:r>
              <w:t>https://systemhealth.rbi.org.in/Scripts/BS_ViewMasDirections.aspx_id%3D10999.html</w:t>
            </w:r>
          </w:p>
        </w:tc>
        <w:tc>
          <w:tcPr>
            <w:tcW w:type="dxa" w:w="3360"/>
          </w:tcPr>
          <w:p>
            <w:r>
              <w:t>NBFC IT governance and controls.</w:t>
            </w:r>
          </w:p>
        </w:tc>
      </w:tr>
      <w:tr>
        <w:tc>
          <w:tcPr>
            <w:tcW w:type="dxa" w:w="3360"/>
          </w:tcPr>
          <w:p>
            <w:r>
              <w:t>Fraud Risk Management in NBFCs, 2024</w:t>
            </w:r>
          </w:p>
        </w:tc>
        <w:tc>
          <w:tcPr>
            <w:tcW w:type="dxa" w:w="3360"/>
          </w:tcPr>
          <w:p>
            <w:r>
              <w:t>https://systemhealth.rbi.org.in/Scripts/BS_ViewMasDirections.aspx_id%3D12704.html</w:t>
            </w:r>
          </w:p>
        </w:tc>
        <w:tc>
          <w:tcPr>
            <w:tcW w:type="dxa" w:w="3360"/>
          </w:tcPr>
          <w:p>
            <w:r>
              <w:t>Current NBFC fraud-risk directions; supersedes 2016 NBFC fraud directions.</w:t>
            </w:r>
          </w:p>
        </w:tc>
      </w:tr>
      <w:tr>
        <w:tc>
          <w:tcPr>
            <w:tcW w:type="dxa" w:w="3360"/>
          </w:tcPr>
          <w:p>
            <w:r>
              <w:t>Digital Lending Directions, 2025</w:t>
            </w:r>
          </w:p>
        </w:tc>
        <w:tc>
          <w:tcPr>
            <w:tcW w:type="dxa" w:w="3360"/>
          </w:tcPr>
          <w:p>
            <w:r>
              <w:t>https://rbi.org.in/Scripts/NotificationUser.aspx?Id=12848</w:t>
            </w:r>
          </w:p>
        </w:tc>
        <w:tc>
          <w:tcPr>
            <w:tcW w:type="dxa" w:w="3360"/>
          </w:tcPr>
          <w:p>
            <w:r>
              <w:t>Current consolidated digital-lending source; LSP, borrower, grievance and technology/data requirements.</w:t>
            </w:r>
          </w:p>
        </w:tc>
      </w:tr>
      <w:tr>
        <w:tc>
          <w:tcPr>
            <w:tcW w:type="dxa" w:w="3360"/>
          </w:tcPr>
          <w:p>
            <w:r>
              <w:t>Outsourcing of Financial Services by NBFCs, 2017</w:t>
            </w:r>
          </w:p>
        </w:tc>
        <w:tc>
          <w:tcPr>
            <w:tcW w:type="dxa" w:w="3360"/>
          </w:tcPr>
          <w:p>
            <w:r>
              <w:t>https://www.rbi.org.in/commonman/Upload/English/Notification/PDFs/ENT87_09112017.PDF</w:t>
            </w:r>
          </w:p>
        </w:tc>
        <w:tc>
          <w:tcPr>
            <w:tcW w:type="dxa" w:w="3360"/>
          </w:tcPr>
          <w:p>
            <w:r>
              <w:t>Material outsourcing, due diligence, customer protection, oversight and access to records.</w:t>
            </w:r>
          </w:p>
        </w:tc>
      </w:tr>
      <w:tr>
        <w:tc>
          <w:tcPr>
            <w:tcW w:type="dxa" w:w="3360"/>
          </w:tcPr>
          <w:p>
            <w:r>
              <w:t>KYC Direction, 2016</w:t>
            </w:r>
          </w:p>
        </w:tc>
        <w:tc>
          <w:tcPr>
            <w:tcW w:type="dxa" w:w="3360"/>
          </w:tcPr>
          <w:p>
            <w:r>
              <w:t>https://systemhealth.rbi.org.in/Scripts/BS_ViewMasDirections.aspx_id%3D11566.html</w:t>
            </w:r>
          </w:p>
        </w:tc>
        <w:tc>
          <w:tcPr>
            <w:tcW w:type="dxa" w:w="3360"/>
          </w:tcPr>
          <w:p>
            <w:r>
              <w:t>Current RBI page showing amended KYC direction; use latest available RBI version.</w:t>
            </w:r>
          </w:p>
        </w:tc>
      </w:tr>
      <w:tr>
        <w:tc>
          <w:tcPr>
            <w:tcW w:type="dxa" w:w="3360"/>
          </w:tcPr>
          <w:p>
            <w:r>
              <w:t>Regulatory Framework for Microfinance Loans, 2022</w:t>
            </w:r>
          </w:p>
        </w:tc>
        <w:tc>
          <w:tcPr>
            <w:tcW w:type="dxa" w:w="3360"/>
          </w:tcPr>
          <w:p>
            <w:r>
              <w:t>https://www.rbi.org.in/commonperson/English/Scripts/FAQs.aspx?Id=3366</w:t>
            </w:r>
          </w:p>
        </w:tc>
        <w:tc>
          <w:tcPr>
            <w:tcW w:type="dxa" w:w="3360"/>
          </w:tcPr>
          <w:p>
            <w:r>
              <w:t>Official RBI FAQ/current reference; underlying Master Direction should be used for clause citations.</w:t>
            </w:r>
          </w:p>
        </w:tc>
      </w:tr>
      <w:tr>
        <w:tc>
          <w:tcPr>
            <w:tcW w:type="dxa" w:w="3360"/>
          </w:tcPr>
          <w:p>
            <w:r>
              <w:t>Credit Information Reporting Directions, 2025</w:t>
            </w:r>
          </w:p>
        </w:tc>
        <w:tc>
          <w:tcPr>
            <w:tcW w:type="dxa" w:w="3360"/>
          </w:tcPr>
          <w:p>
            <w:r>
              <w:t>https://rbi.org.in/Scripts/NotificationUser.aspx?Id=12669&amp;Mode=0</w:t>
            </w:r>
          </w:p>
        </w:tc>
        <w:tc>
          <w:tcPr>
            <w:tcW w:type="dxa" w:w="3360"/>
          </w:tcPr>
          <w:p>
            <w:r>
              <w:t>Generic January 2025 source; verify current NBFC-specific 2025 direction before using as primary NBFC source.</w:t>
            </w:r>
          </w:p>
        </w:tc>
      </w:tr>
    </w:tbl>
    <w:p>
      <w:pPr>
        <w:pStyle w:val="Heading1"/>
      </w:pPr>
      <w:r>
        <w:t>10. Current-status cautions</w:t>
      </w:r>
    </w:p>
    <w:p>
      <w:pPr>
        <w:pStyle w:val="ListBullet"/>
      </w:pPr>
      <w:r>
        <w:t>Digital Lending Directions, 2025 are the current consolidated digital-lending source; do not index the 2022 guideline as current.</w:t>
      </w:r>
    </w:p>
    <w:p>
      <w:pPr>
        <w:pStyle w:val="ListBullet"/>
      </w:pPr>
      <w:r>
        <w:t>Fraud Risk Management in NBFCs, 2024 supersedes the earlier 2016 NBFC fraud directions.</w:t>
      </w:r>
    </w:p>
    <w:p>
      <w:pPr>
        <w:pStyle w:val="ListBullet"/>
      </w:pPr>
      <w:r>
        <w:t>KYC Direction 2016 is amended; use the latest RBI version.</w:t>
      </w:r>
    </w:p>
    <w:p>
      <w:pPr>
        <w:pStyle w:val="ListBullet"/>
      </w:pPr>
      <w:r>
        <w:t>Microfinance requirements have been amended since 2022; verify the current version before encoding thresholds or applicability.</w:t>
      </w:r>
    </w:p>
    <w:p>
      <w:pPr>
        <w:pStyle w:val="ListBullet"/>
      </w:pPr>
      <w:r>
        <w:t>Credit-information requirements changed in 2025 and include an NBFC-specific 2025 direction issued later in the year; verify the current RBI version before implementation.</w:t>
      </w:r>
    </w:p>
    <w:p>
      <w:pPr>
        <w:pStyle w:val="ListBullet"/>
      </w:pPr>
      <w:r>
        <w:t>SBR applicability must come from the source; do not hard-code an NBFC layer for the synthetic entity unless explicitly declared by the demo.</w:t>
      </w:r>
    </w:p>
    <w:p>
      <w:pPr>
        <w:pStyle w:val="Heading1"/>
      </w:pPr>
      <w:r>
        <w:t>11. Acceptance criteria for Claude Code</w:t>
      </w:r>
    </w:p>
    <w:p>
      <w:pPr>
        <w:pStyle w:val="ListBullet"/>
      </w:pPr>
      <w:r>
        <w:t>Every live RBI requirement has a verifiable RBI source URL and section/paragraph reference.</w:t>
      </w:r>
    </w:p>
    <w:p>
      <w:pPr>
        <w:pStyle w:val="ListBullet"/>
      </w:pPr>
      <w:r>
        <w:t>No requirement is created solely from a title or secondary summary.</w:t>
      </w:r>
    </w:p>
    <w:p>
      <w:pPr>
        <w:pStyle w:val="ListBullet"/>
      </w:pPr>
      <w:r>
        <w:t>The corpus is explicitly partial/curated and the UI/report says so.</w:t>
      </w:r>
    </w:p>
    <w:p>
      <w:pPr>
        <w:pStyle w:val="ListBullet"/>
      </w:pPr>
      <w:r>
        <w:t>At least one current binding NBFC source, outsourcing source, digital-lending source and fraud-risk source are represented.</w:t>
      </w:r>
    </w:p>
    <w:p>
      <w:pPr>
        <w:pStyle w:val="ListBullet"/>
      </w:pPr>
      <w:r>
        <w:t>At least one requirement demonstrates applicability logic rather than universal application.</w:t>
      </w:r>
    </w:p>
    <w:p>
      <w:pPr>
        <w:pStyle w:val="ListBullet"/>
      </w:pPr>
      <w:r>
        <w:t>At least one requirement is deliberately attestation/evidence-based rather than falsely automated.</w:t>
      </w:r>
    </w:p>
    <w:p>
      <w:pPr>
        <w:pStyle w:val="ListBullet"/>
      </w:pPr>
      <w:r>
        <w:t>Historical/superseded sources are visibly distinguished from current sources.</w:t>
      </w:r>
    </w:p>
    <w:p>
      <w:pPr>
        <w:pStyle w:val="ListBullet"/>
      </w:pPr>
      <w:r>
        <w:t>Missing regulatory evidence continues to produce NOT_FOUND/PENDING rather than PASS.</w:t>
      </w:r>
    </w:p>
    <w:p>
      <w:pPr>
        <w:pStyle w:val="ListBullet"/>
      </w:pPr>
      <w:r>
        <w:t>LLM-generated narrative never determines regulatory status.</w:t>
      </w:r>
    </w:p>
    <w:p>
      <w:pPr>
        <w:pStyle w:val="ListBullet"/>
      </w:pPr>
      <w:r>
        <w:t>All existing tests remain passing; run targeted tests, then the full pytest suite, git diff --check, frontend build, git status and inspect the final diff.</w:t>
      </w:r>
    </w:p>
    <w:p>
      <w:pPr>
        <w:pStyle w:val="ListBullet"/>
      </w:pPr>
      <w:r>
        <w:t>Do not commit or push.</w:t>
      </w:r>
    </w:p>
    <w:p>
      <w:pPr>
        <w:pStyle w:val="Heading1"/>
      </w:pPr>
      <w:r>
        <w:t>12. Copy-paste instruction for Claude Code</w:t>
      </w:r>
    </w:p>
    <w:p>
      <w:r>
        <w:t>Use this document as the regulatory implementation specification. First inspect the repository's current RBI manifest, requirements, service, RAG and evidence architecture. Verify each source against the official RBI URL above. Extract only the minimum high-value requirements needed for the demo. Preserve source provenance and applicability. Reuse existing analytics/evidence instead of creating parallel logic. If a source cannot be verified or its current applicability is unclear, do not invent the requirement; leave it out or retain NOT_FOUND. Implement only additive, reviewable changes on post-completion-improvements. Do not commit or push.</w:t>
      </w:r>
    </w:p>
    <w:p>
      <w:pPr>
        <w:pStyle w:val="Heading1"/>
      </w:pPr>
      <w:r>
        <w:t>13. Research basis</w:t>
      </w:r>
    </w:p>
    <w:p>
      <w:r>
        <w:t>This brief was prepared from official RBI webpages/notifications located during web research, including RBI material for SBR 2023, IT outsourcing 2023, NBFC IT framework 2017, fraud risk management 2024, digital lending 2025, financial-services outsourcing 2017, KYC, microfinance and credit-information reporting. Regulatory themes are paraphrased rather than reproduced at length.</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