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Arush Manem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manemarush@gmail.com |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10" w:before="3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University of Minnesota, Twin Cities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Bachelor of Science, Honors Program — Data Science and Computer Science (GPA: 3.8)</w:t>
        <w:tab/>
        <w:t xml:space="preserve">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Data Structures &amp; Algorithms (CSCI 4041), Operating Systems (CSCI 4061), Probability &amp; Statistics,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10" w:before="3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Python, OCaml, SQL, PyTorch, Java, C/C++, R, FastAPI, React, Node.js, TypeScript, HTML/CSS, NumPy, Pandas, PySpark, Matplotlib, ETL Pipelines, Machine Learning, REST APIs, Docker, GitHub, Jira, Power BI, PowerShell, DevOps, RStudio, LangChain, ChromaDB, OpenAI API, RAG,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10" w:before="3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UnitedHealth Group (UHG)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Eden Prairie,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Consumer Resolution Center War Room Intern</w:t>
        <w:tab/>
        <w:t xml:space="preserve">June 2026 -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agentic automation pipelines in Python and SQL on Databricks to scale intelligent triage capabilities for the CRC War Room, ultimately saving 1,820 hours of work a year for data analysts and increasing efficiency by 70%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Contributed automation and data infrastructure whose outputs directly enabled the War Room’s 2026 outcomes: 6.2M members impacted and 1.4M calls obviated enterprise-wide, with agentic triage expansion being a driving force of operational scale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real-time dashboards and operational data widgets in Power BI and ServiceNow to surface resolution outcomes and member impact signals across high-volume healthcare workflows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Partnered with Project Managers and Triage Analysts to translate operational bottlenecks into technical requirements, delivering end-to-end automation and data solutions across enterprise problem-solving workflows</w:t>
      </w:r>
    </w:p>
    <w:p w:rsidR="00000000" w:rsidDel="00000000" w:rsidP="00000000" w:rsidRDefault="00000000" w:rsidRPr="00000000" w14:paraId="00000010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HealthPartners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Bloomington,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Software Engineering Intern — Robotic Process Automation</w:t>
        <w:tab/>
        <w:t xml:space="preserve">June 2022 -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scalable automation systems in UiPath/VB.NET to streamline claims processing, QA, and multi-system testing, reducing execution cycles and saving 37,000+ hours per year collectively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developers, business analysts, and stakeholders as part of a team collectively saving $2M+ and producing $3.5M+ in additional revenue; contributed to a 3-year projected ROI of $3.86M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and maintained ETL pipelines to extract, transform, and analyze healthcare claims data (4,000+ records run) for operational analysis, and contributed to automating 1.3M+ tasks previously handled by humans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web testing workflows for UI regression coverage, shortening release cycles and improving deployment efficiency by 90%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Explored AI-assisted orchestration (UiPath Maestro), integrating intelligent decisioning into multi-system processes — early experience with intelligent, distributed automation</w:t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spacing w:after="10" w:before="3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SnapCount</w:t>
      </w:r>
      <w:r w:rsidDel="00000000" w:rsidR="00000000" w:rsidRPr="00000000">
        <w:rPr>
          <w:rFonts w:ascii="Calibri" w:cs="Calibri" w:eastAsia="Calibri" w:hAnsi="Calibri"/>
          <w:i w:val="0"/>
          <w:iCs w:val="0"/>
          <w:sz w:val="19"/>
          <w:szCs w:val="19"/>
          <w:rtl w:val="0"/>
        </w:rPr>
        <w:t xml:space="preserve"> | Python, React, FastAPI, PyTorch, Pandas, Recharts, Google Gemini API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NFL Fantasy Analytics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a full-stack predictive analytics platform using FastAPI and React, integrating robust data processing with a responsive user interface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 automated ETL pipeline to scrape, clean, and cache 5,000+ weekly records using nfl_data_py and Pandas, ensuring real-time data availability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 custom statistical algorithm to quantify defensive metrics and forecast player performance, processing historical variance to generate Start/Sit recommendations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deep learning inference pipeline using PyTorch, replacing legacy rule-based logic with a neural network to forecast player performance based on historical matchups and home-field advantage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Google Gemini LLM via Python to generate context-aware, natural language player recommendations, with robust error handling and retry logic for API rate limits</w:t>
      </w:r>
    </w:p>
    <w:p w:rsidR="00000000" w:rsidDel="00000000" w:rsidP="00000000" w:rsidRDefault="00000000" w:rsidRPr="00000000" w14:paraId="0000001F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Readmission Risk Predictor</w:t>
      </w:r>
      <w:r w:rsidDel="00000000" w:rsidR="00000000" w:rsidRPr="00000000">
        <w:rPr>
          <w:rFonts w:ascii="Calibri" w:cs="Calibri" w:eastAsia="Calibri" w:hAnsi="Calibri"/>
          <w:i w:val="0"/>
          <w:iCs w:val="0"/>
          <w:sz w:val="19"/>
          <w:szCs w:val="19"/>
          <w:rtl w:val="0"/>
        </w:rPr>
        <w:t xml:space="preserve"> | Python, Snowflake, XGBoost, SHAP, Streamlit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30-Day Hospital Readmission ML Platform (team of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 end-to-end readmission-risk platform on Snowflake, running SQL-based EDA and cleaning across 101K+ patient encounters and engineering 17 clinical features (prior utilization, medication changes, discharge disposition, A1C/glucose flags)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Trained and compared logistic regression, random forest, and XGBoost with class-imbalance weighting on an 11% positive class, selecting XGBoost (AUC-ROC 0.68, recall 0.59) with early stopping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Deployed a Streamlit app on Snowflake serving per-patient SHAP waterfall explanations, global feature importance, and automated risk-tiered clinical intervention summaries</w:t>
      </w:r>
    </w:p>
    <w:p w:rsidR="00000000" w:rsidDel="00000000" w:rsidP="00000000" w:rsidRDefault="00000000" w:rsidRPr="00000000" w14:paraId="00000024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AI Operations Assistant</w:t>
      </w:r>
      <w:r w:rsidDel="00000000" w:rsidR="00000000" w:rsidRPr="00000000">
        <w:rPr>
          <w:rFonts w:ascii="Calibri" w:cs="Calibri" w:eastAsia="Calibri" w:hAnsi="Calibri"/>
          <w:i w:val="0"/>
          <w:iCs w:val="0"/>
          <w:sz w:val="19"/>
          <w:szCs w:val="19"/>
          <w:rtl w:val="0"/>
        </w:rPr>
        <w:t xml:space="preserve"> | Python, OpenAI API, ChromaDB, BM25, pytest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Retrieval-Augmented Generation (RAG)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modular RAG pipeline from scratch with PDF ingestion, chunking with overlap, embedding generation (text-embedding-3-small), ChromaDB vector storage, and gpt-4o-mini answer synthesis across a clean multi-layer architecture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hybrid retrieval, fusing BM25 keyword search with dense embeddings via Reciprocal Rank Fusion to recover rare technical tokens that pure semantic search diluted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a retrieval evaluation harness over 20 adversarial and factual test cases measuring Recall@k, MRR (0.873), LLM-as-judge scores, and adversarial refusal rate (100%); raised judge scores from 4.35 → 4.65/5 through iterative prompt engineering on multi-entity synthesis failures</w:t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spacing w:after="10" w:before="3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LEADERSHIP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1040"/>
        </w:tabs>
        <w:spacing w:after="0" w:before="2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Data Science Club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1040"/>
        </w:tabs>
        <w:spacing w:after="4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Active Member</w:t>
        <w:tab/>
        <w:t xml:space="preserve">September 2024 –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Present insights on cutting-edge data analytics methodologies in industry forums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08" w:lineRule="auto"/>
        <w:ind w:left="260" w:right="0" w:hanging="1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Network with insurance leaders and industry professionals through career fairs, workshops, and club meetings</w:t>
      </w:r>
    </w:p>
    <w:sectPr>
      <w:pgSz w:h="15840" w:w="12240" w:orient="portrait"/>
      <w:pgMar w:bottom="360" w:top="36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60" w:hanging="160"/>
      </w:pPr>
      <w:rPr>
        <w:rFonts w:ascii="Calibri" w:cs="Calibri" w:eastAsia="Calibri" w:hAnsi="Calibri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rushmanem/" TargetMode="External"/><Relationship Id="rId7" Type="http://schemas.openxmlformats.org/officeDocument/2006/relationships/hyperlink" Target="https://arushmanem.com" TargetMode="External"/><Relationship Id="rId8" Type="http://schemas.openxmlformats.org/officeDocument/2006/relationships/hyperlink" Target="https://github.com/arushman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