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C07E73" w:rsidRPr="00765F73" w:rsidRDefault="00C07E73" w:rsidP="00C07E73">
      <w:pPr>
        <w:pStyle w:val="Heading1"/>
        <w:rPr>
          <w:lang w:val="en-CA"/>
        </w:rPr>
      </w:pPr>
      <w:r w:rsidRPr="00C07E73">
        <w:t>Introduction</w:t>
      </w:r>
      <w:r w:rsidRPr="00FD3A3E">
        <w:rPr>
          <w:lang w:val="en-CA"/>
        </w:rPr>
        <w:t xml:space="preserve">: </w:t>
      </w:r>
    </w:p>
    <w:p w:rsidR="00D108CA" w:rsidRPr="00032A7F" w:rsidRDefault="00D108CA" w:rsidP="00D108CA">
      <w:pPr>
        <w:spacing w:after="240"/>
        <w:jc w:val="both"/>
        <w:rPr>
          <w:rFonts w:ascii="Times New Roman" w:eastAsia="Times New Roman" w:hAnsi="Times New Roman" w:cs="Times New Roman"/>
          <w:sz w:val="24"/>
          <w:szCs w:val="24"/>
        </w:rPr>
      </w:pPr>
      <w:r w:rsidRPr="00032A7F">
        <w:rPr>
          <w:rFonts w:eastAsia="Times New Roman"/>
          <w:sz w:val="24"/>
          <w:szCs w:val="24"/>
        </w:rPr>
        <w:t xml:space="preserve">Middle ear surgery is traditionally performed through an external incision with </w:t>
      </w:r>
      <w:proofErr w:type="spellStart"/>
      <w:r w:rsidRPr="00032A7F">
        <w:rPr>
          <w:rFonts w:eastAsia="Times New Roman"/>
          <w:sz w:val="24"/>
          <w:szCs w:val="24"/>
        </w:rPr>
        <w:t>visualisation</w:t>
      </w:r>
      <w:proofErr w:type="spellEnd"/>
      <w:r w:rsidRPr="00032A7F">
        <w:rPr>
          <w:rFonts w:eastAsia="Times New Roman"/>
          <w:sz w:val="24"/>
          <w:szCs w:val="24"/>
        </w:rPr>
        <w:t xml:space="preserve"> of delicate anatomical structures using a microscope.  More recently, minimally invasive ear surgical techniques have been developed using endoscopes to access the middle ear through the ear canal without an external incision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[2]</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[3]</w:t>
      </w:r>
      <w:r>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Pr>
          <w:rFonts w:eastAsia="Times New Roman"/>
          <w:sz w:val="24"/>
          <w:szCs w:val="24"/>
        </w:rPr>
        <w:t>cing postoperative morbidity</w:t>
      </w:r>
      <w:r w:rsidRPr="00032A7F">
        <w:rPr>
          <w:rFonts w:eastAsia="Times New Roman"/>
          <w:sz w:val="24"/>
          <w:szCs w:val="24"/>
        </w:rPr>
        <w:t xml:space="preserve">, improving </w:t>
      </w:r>
      <w:proofErr w:type="spellStart"/>
      <w:r w:rsidRPr="00032A7F">
        <w:rPr>
          <w:rFonts w:eastAsia="Times New Roman"/>
          <w:sz w:val="24"/>
          <w:szCs w:val="24"/>
        </w:rPr>
        <w:t>visualisati</w:t>
      </w:r>
      <w:r>
        <w:rPr>
          <w:rFonts w:eastAsia="Times New Roman"/>
          <w:sz w:val="24"/>
          <w:szCs w:val="24"/>
        </w:rPr>
        <w:t>on</w:t>
      </w:r>
      <w:proofErr w:type="spellEnd"/>
      <w:r>
        <w:rPr>
          <w:rFonts w:eastAsia="Times New Roman"/>
          <w:sz w:val="24"/>
          <w:szCs w:val="24"/>
        </w:rPr>
        <w:t xml:space="preserve"> for disease eradication</w:t>
      </w:r>
      <w:r w:rsidRPr="00032A7F">
        <w:rPr>
          <w:rFonts w:eastAsia="Times New Roman"/>
          <w:sz w:val="24"/>
          <w:szCs w:val="24"/>
        </w:rPr>
        <w:t>, including reduction of the rat</w:t>
      </w:r>
      <w:r>
        <w:rPr>
          <w:rFonts w:eastAsia="Times New Roman"/>
          <w:sz w:val="24"/>
          <w:szCs w:val="24"/>
        </w:rPr>
        <w:t>e of residual skin growth (</w:t>
      </w:r>
      <w:proofErr w:type="spellStart"/>
      <w:r>
        <w:rPr>
          <w:rFonts w:eastAsia="Times New Roman"/>
          <w:sz w:val="24"/>
          <w:szCs w:val="24"/>
        </w:rPr>
        <w:t>cholesteatoma</w:t>
      </w:r>
      <w:proofErr w:type="spellEnd"/>
      <w:r>
        <w:rPr>
          <w:rFonts w:eastAsia="Times New Roman"/>
          <w:sz w:val="24"/>
          <w:szCs w:val="24"/>
        </w:rPr>
        <w:t>)</w:t>
      </w:r>
      <w:r w:rsidRPr="00032A7F">
        <w:rPr>
          <w:rFonts w:eastAsia="Times New Roman"/>
          <w:sz w:val="24"/>
          <w:szCs w:val="24"/>
        </w:rPr>
        <w:t>, and improving hearing by facilitating he</w:t>
      </w:r>
      <w:r>
        <w:rPr>
          <w:rFonts w:eastAsia="Times New Roman"/>
          <w:sz w:val="24"/>
          <w:szCs w:val="24"/>
        </w:rPr>
        <w:t xml:space="preserve">aring bone preservation </w:t>
      </w:r>
      <w:r>
        <w:rPr>
          <w:rFonts w:eastAsia="Times New Roman"/>
          <w:sz w:val="24"/>
          <w:szCs w:val="24"/>
        </w:rPr>
        <w:fldChar w:fldCharType="begin" w:fldLock="1"/>
      </w:r>
      <w:r>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[4]</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[5]</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[6]</w:t>
      </w:r>
      <w:r>
        <w:rPr>
          <w:rFonts w:eastAsia="Times New Roman"/>
          <w:sz w:val="24"/>
          <w:szCs w:val="24"/>
        </w:rPr>
        <w:fldChar w:fldCharType="end"/>
      </w:r>
      <w:r w:rsidRPr="00032A7F">
        <w:rPr>
          <w:rFonts w:eastAsia="Times New Roman"/>
          <w:sz w:val="24"/>
          <w:szCs w:val="24"/>
        </w:rPr>
        <w:t>.</w:t>
      </w:r>
    </w:p>
    <w:p w:rsidR="00D108CA" w:rsidRPr="00032A7F" w:rsidRDefault="00D108CA" w:rsidP="00D108CA">
      <w:pPr>
        <w:spacing w:after="240"/>
        <w:jc w:val="both"/>
        <w:rPr>
          <w:rFonts w:ascii="Times New Roman" w:eastAsia="Times New Roman" w:hAnsi="Times New Roman" w:cs="Times New Roman"/>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[7]</w:t>
      </w:r>
      <w:r>
        <w:rPr>
          <w:rFonts w:eastAsia="Times New Roman"/>
          <w:sz w:val="24"/>
          <w:szCs w:val="24"/>
        </w:rPr>
        <w:fldChar w:fldCharType="end"/>
      </w:r>
      <w:r>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[3]</w:t>
      </w:r>
      <w:r>
        <w:rPr>
          <w:rFonts w:eastAsia="Times New Roman"/>
          <w:sz w:val="24"/>
          <w:szCs w:val="24"/>
        </w:rPr>
        <w:fldChar w:fldCharType="end"/>
      </w:r>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[8]</w:t>
      </w:r>
      <w:r>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Pr>
          <w:rFonts w:eastAsia="Times New Roman"/>
          <w:sz w:val="24"/>
          <w:szCs w:val="24"/>
        </w:rPr>
        <w:fldChar w:fldCharType="begin" w:fldLock="1"/>
      </w:r>
      <w:r>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[9]</w:t>
      </w:r>
      <w:r>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r>
        <w:rPr>
          <w:rFonts w:eastAsia="Times New Roman"/>
          <w:sz w:val="24"/>
          <w:szCs w:val="24"/>
        </w:rPr>
        <w:t>facilitate its</w:t>
      </w:r>
      <w:r w:rsidRPr="00032A7F">
        <w:rPr>
          <w:rFonts w:eastAsia="Times New Roman"/>
          <w:sz w:val="24"/>
          <w:szCs w:val="24"/>
        </w:rPr>
        <w:t xml:space="preserve"> </w:t>
      </w:r>
      <w:r>
        <w:rPr>
          <w:rFonts w:eastAsia="Times New Roman"/>
          <w:sz w:val="24"/>
          <w:szCs w:val="24"/>
        </w:rPr>
        <w:t>use</w:t>
      </w:r>
      <w:r w:rsidRPr="00032A7F">
        <w:rPr>
          <w:rFonts w:eastAsia="Times New Roman"/>
          <w:sz w:val="24"/>
          <w:szCs w:val="24"/>
        </w:rPr>
        <w:t>. I</w:t>
      </w:r>
      <w:r>
        <w:rPr>
          <w:rFonts w:eastAsia="Times New Roman"/>
          <w:sz w:val="24"/>
          <w:szCs w:val="24"/>
        </w:rPr>
        <w:t xml:space="preserve">t is proposed that in order to facilitate </w:t>
      </w:r>
      <w:r w:rsidRPr="00032A7F">
        <w:rPr>
          <w:rFonts w:eastAsia="Times New Roman"/>
          <w:sz w:val="24"/>
          <w:szCs w:val="24"/>
        </w:rPr>
        <w:t>TEES, the needs of surgeons and current limitations of tools must be determined.</w:t>
      </w:r>
    </w:p>
    <w:p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D11BB0">
        <w:rPr>
          <w:rFonts w:cs="Arial"/>
        </w:rPr>
        <w:fldChar w:fldCharType="begin" w:fldLock="1"/>
      </w:r>
      <w:r w:rsidR="00ED6017">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D11BB0">
        <w:rPr>
          <w:rFonts w:cs="Arial"/>
        </w:rPr>
        <w:fldChar w:fldCharType="separate"/>
      </w:r>
      <w:r w:rsidR="00D108CA" w:rsidRPr="00D108CA">
        <w:rPr>
          <w:rFonts w:cs="Arial"/>
          <w:noProof/>
        </w:rPr>
        <w:t>[10]</w:t>
      </w:r>
      <w:r w:rsidR="00D11BB0">
        <w:rPr>
          <w:rFonts w:cs="Arial"/>
        </w:rPr>
        <w:fldChar w:fldCharType="end"/>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proofErr w:type="spellStart"/>
      <w:r>
        <w:rPr>
          <w:rFonts w:cs="Arial"/>
        </w:rPr>
        <w:t>Cholesteatoma</w:t>
      </w:r>
      <w:proofErr w:type="spellEnd"/>
      <w:r>
        <w:rPr>
          <w:rFonts w:cs="Arial"/>
        </w:rPr>
        <w:t xml:space="preserve"> resection is considered complete after a final survey with the angled endoscope, which confirms that no </w:t>
      </w:r>
      <w:proofErr w:type="spellStart"/>
      <w:r>
        <w:rPr>
          <w:rFonts w:cs="Arial"/>
        </w:rPr>
        <w:t>cholesteatoma</w:t>
      </w:r>
      <w:proofErr w:type="spellEnd"/>
      <w:r>
        <w:rPr>
          <w:rFonts w:cs="Arial"/>
        </w:rPr>
        <w:t xml:space="preserve"> is left in the hidden recesses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Visualization of deep recesses and hidden structures within the middle ear</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Need bloodless field and need to maintain attention to </w:t>
      </w:r>
      <w:proofErr w:type="spellStart"/>
      <w:r>
        <w:rPr>
          <w:rFonts w:cs="Arial"/>
        </w:rPr>
        <w:t>hemostasis</w:t>
      </w:r>
      <w:proofErr w:type="spellEnd"/>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r w:rsidR="00996213">
        <w:rPr>
          <w:rFonts w:cs="Arial"/>
        </w:rPr>
        <w:t xml:space="preserve"> and to ope</w:t>
      </w:r>
      <w:r w:rsidR="00F23988">
        <w:rPr>
          <w:rFonts w:cs="Arial"/>
        </w:rPr>
        <w:t xml:space="preserve">rate in a clean bloodless field and the limitation of the </w:t>
      </w:r>
      <w:proofErr w:type="spellStart"/>
      <w:r w:rsidR="00F23988">
        <w:rPr>
          <w:rFonts w:cs="Arial"/>
        </w:rPr>
        <w:t>panetti</w:t>
      </w:r>
      <w:proofErr w:type="spellEnd"/>
      <w:r w:rsidR="00F23988">
        <w:rPr>
          <w:rFonts w:cs="Arial"/>
        </w:rPr>
        <w:t xml:space="preserve"> sucker is the possibility of occluding the lumen of the tool but the tool also addresses the need for limiting the number of instrument exchanges during surgery as the surgeon can dissect and aspirate at the same time</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authors, who have more than 15 years of TEES experience suggest that adapting and refining regular </w:t>
      </w:r>
      <w:proofErr w:type="spellStart"/>
      <w:r>
        <w:rPr>
          <w:rFonts w:cs="Arial"/>
        </w:rPr>
        <w:t>microinstruments</w:t>
      </w:r>
      <w:proofErr w:type="spellEnd"/>
      <w:r>
        <w:rPr>
          <w:rFonts w:cs="Arial"/>
        </w:rPr>
        <w:t xml:space="preserve"> to include longer, lender shafts with single or double curvatures, smaller </w:t>
      </w:r>
      <w:proofErr w:type="spellStart"/>
      <w:r>
        <w:rPr>
          <w:rFonts w:cs="Arial"/>
        </w:rPr>
        <w:t>microtips</w:t>
      </w:r>
      <w:proofErr w:type="spellEnd"/>
      <w:r>
        <w:rPr>
          <w:rFonts w:cs="Arial"/>
        </w:rPr>
        <w:t xml:space="preserve"> have been essential for TEES</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TEES requires the standard </w:t>
      </w:r>
      <w:proofErr w:type="spellStart"/>
      <w:r>
        <w:rPr>
          <w:rFonts w:cs="Arial"/>
        </w:rPr>
        <w:t>otologic</w:t>
      </w:r>
      <w:proofErr w:type="spellEnd"/>
      <w:r>
        <w:rPr>
          <w:rFonts w:cs="Arial"/>
        </w:rPr>
        <w:t xml:space="preserve"> </w:t>
      </w:r>
      <w:proofErr w:type="spellStart"/>
      <w:r>
        <w:rPr>
          <w:rFonts w:cs="Arial"/>
        </w:rPr>
        <w:t>microinstruments</w:t>
      </w:r>
      <w:proofErr w:type="spellEnd"/>
      <w:r>
        <w:rPr>
          <w:rFonts w:cs="Arial"/>
        </w:rPr>
        <w:t xml:space="preserve"> that are familiar for </w:t>
      </w:r>
      <w:proofErr w:type="spellStart"/>
      <w:r>
        <w:rPr>
          <w:rFonts w:cs="Arial"/>
        </w:rPr>
        <w:t>otologists</w:t>
      </w:r>
      <w:proofErr w:type="spellEnd"/>
      <w:r>
        <w:rPr>
          <w:rFonts w:cs="Arial"/>
        </w:rPr>
        <w:t xml:space="preserve"> and modified TEES instruments that have curved suction </w:t>
      </w:r>
      <w:proofErr w:type="spellStart"/>
      <w:r>
        <w:rPr>
          <w:rFonts w:cs="Arial"/>
        </w:rPr>
        <w:t>cannulae</w:t>
      </w:r>
      <w:proofErr w:type="spellEnd"/>
      <w:r>
        <w:rPr>
          <w:rFonts w:cs="Arial"/>
        </w:rPr>
        <w:t xml:space="preserve">, curettes, cupped forceps and suction incorporated into the shaft of the round cutting knife – the curve is necessary to work with the 30 deg or 45 deg scopes to ease reaching into the hidden recesses of the middle ear without the need for extra drilling for visualization and instrument handling and to make it possible to remove pathologic conditions around the corner </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Need to modify more instruments to adapt for angled vision endoscopes (30 deg and 45deg) is essential</w:t>
      </w:r>
    </w:p>
    <w:p w:rsidR="00EC136C" w:rsidRPr="003C52DF" w:rsidRDefault="00C6735E" w:rsidP="00EE1BBE">
      <w:pPr>
        <w:pStyle w:val="ListParagraph"/>
        <w:widowControl w:val="0"/>
        <w:numPr>
          <w:ilvl w:val="0"/>
          <w:numId w:val="19"/>
        </w:numPr>
        <w:autoSpaceDE w:val="0"/>
        <w:autoSpaceDN w:val="0"/>
        <w:adjustRightInd w:val="0"/>
        <w:spacing w:after="240"/>
        <w:jc w:val="both"/>
        <w:rPr>
          <w:rFonts w:cs="Arial"/>
        </w:rPr>
      </w:pPr>
      <w:r>
        <w:rPr>
          <w:rFonts w:cs="Arial"/>
        </w:rPr>
        <w:t>Outlines the advanced technologies that have improved otology surgery</w:t>
      </w:r>
    </w:p>
    <w:p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w:t>
      </w:r>
      <w:proofErr w:type="spellStart"/>
      <w:r>
        <w:rPr>
          <w:rFonts w:cs="Arial"/>
        </w:rPr>
        <w:t>transcanal</w:t>
      </w:r>
      <w:proofErr w:type="spellEnd"/>
      <w:r>
        <w:rPr>
          <w:rFonts w:cs="Arial"/>
        </w:rPr>
        <w:t xml:space="preserve"> endoscopic </w:t>
      </w:r>
      <w:proofErr w:type="spellStart"/>
      <w:r>
        <w:rPr>
          <w:rFonts w:cs="Arial"/>
        </w:rPr>
        <w:t>myringoplasty</w:t>
      </w:r>
      <w:proofErr w:type="spellEnd"/>
      <w:r>
        <w:rPr>
          <w:rFonts w:cs="Arial"/>
        </w:rPr>
        <w:t xml:space="preserve">”: </w:t>
      </w:r>
      <w:r w:rsidR="00D11BB0">
        <w:rPr>
          <w:rFonts w:cs="Arial"/>
        </w:rPr>
        <w:fldChar w:fldCharType="begin" w:fldLock="1"/>
      </w:r>
      <w:r w:rsidR="00ED6017">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"[11]", "plainTextFormattedCitation" : "[11]", "previouslyFormattedCitation" : "[11]" }, "properties" : { "noteIndex" : 0 }, "schema" : "https://github.com/citation-style-language/schema/raw/master/csl-citation.json" }</w:instrText>
      </w:r>
      <w:r w:rsidR="00D11BB0">
        <w:rPr>
          <w:rFonts w:cs="Arial"/>
        </w:rPr>
        <w:fldChar w:fldCharType="separate"/>
      </w:r>
      <w:r w:rsidR="00D108CA" w:rsidRPr="00D108CA">
        <w:rPr>
          <w:rFonts w:cs="Arial"/>
          <w:noProof/>
        </w:rPr>
        <w:t>[11]</w:t>
      </w:r>
      <w:r w:rsidR="00D11BB0">
        <w:rPr>
          <w:rFonts w:cs="Arial"/>
        </w:rPr>
        <w:fldChar w:fldCharType="end"/>
      </w:r>
      <w:r w:rsidR="00BF4EA9">
        <w:rPr>
          <w:rFonts w:cs="Arial"/>
        </w:rPr>
        <w:t xml:space="preserve"> – good paper with explanation of TEES </w:t>
      </w:r>
      <w:proofErr w:type="spellStart"/>
      <w:r w:rsidR="00BF4EA9">
        <w:rPr>
          <w:rFonts w:cs="Arial"/>
        </w:rPr>
        <w:t>myringoplasty</w:t>
      </w:r>
      <w:proofErr w:type="spellEnd"/>
    </w:p>
    <w:p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w:t>
      </w:r>
      <w:proofErr w:type="spellStart"/>
      <w:r>
        <w:rPr>
          <w:rFonts w:cs="Arial"/>
        </w:rPr>
        <w:t>myringoplasty</w:t>
      </w:r>
      <w:proofErr w:type="spellEnd"/>
      <w:r>
        <w:rPr>
          <w:rFonts w:cs="Arial"/>
        </w:rPr>
        <w:t xml:space="preserve"> (ear drum reconstruction) the endoscopic approach is: minimally invasive (no skin incision), TEES </w:t>
      </w:r>
      <w:proofErr w:type="spellStart"/>
      <w:r>
        <w:rPr>
          <w:rFonts w:cs="Arial"/>
        </w:rPr>
        <w:t>myringoplasty</w:t>
      </w:r>
      <w:proofErr w:type="spellEnd"/>
      <w:r>
        <w:rPr>
          <w:rFonts w:cs="Arial"/>
        </w:rPr>
        <w:t xml:space="preserve">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w:t>
      </w:r>
      <w:proofErr w:type="spellStart"/>
      <w:r>
        <w:rPr>
          <w:rFonts w:cs="Arial"/>
        </w:rPr>
        <w:t>ossicular</w:t>
      </w:r>
      <w:proofErr w:type="spellEnd"/>
      <w:r>
        <w:rPr>
          <w:rFonts w:cs="Arial"/>
        </w:rPr>
        <w:t xml:space="preserve"> chain, tympanic isthmus (through large perforations), successfully performed </w:t>
      </w:r>
      <w:r>
        <w:rPr>
          <w:rFonts w:cs="Arial"/>
        </w:rPr>
        <w:lastRenderedPageBreak/>
        <w:t xml:space="preserve">simple underlay technique </w:t>
      </w:r>
      <w:r w:rsidR="00BF4EA9">
        <w:rPr>
          <w:rFonts w:cs="Arial"/>
        </w:rPr>
        <w:t xml:space="preserve">or with </w:t>
      </w:r>
      <w:proofErr w:type="spellStart"/>
      <w:r w:rsidR="00BF4EA9">
        <w:rPr>
          <w:rFonts w:cs="Arial"/>
        </w:rPr>
        <w:t>intracanal</w:t>
      </w:r>
      <w:proofErr w:type="spellEnd"/>
      <w:r w:rsidR="00BF4EA9">
        <w:rPr>
          <w:rFonts w:cs="Arial"/>
        </w:rPr>
        <w:t xml:space="preserve"> incision in cases of marginal perforation</w:t>
      </w:r>
    </w:p>
    <w:p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D11BB0">
        <w:rPr>
          <w:rFonts w:cs="Arial"/>
        </w:rPr>
        <w:fldChar w:fldCharType="begin" w:fldLock="1"/>
      </w:r>
      <w:r w:rsidR="00ED6017">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"[12]", "plainTextFormattedCitation" : "[12]", "previouslyFormattedCitation" : "[12]" }, "properties" : { "noteIndex" : 0 }, "schema" : "https://github.com/citation-style-language/schema/raw/master/csl-citation.json" }</w:instrText>
      </w:r>
      <w:r w:rsidR="00D11BB0">
        <w:rPr>
          <w:rFonts w:cs="Arial"/>
        </w:rPr>
        <w:fldChar w:fldCharType="separate"/>
      </w:r>
      <w:r w:rsidR="00D108CA" w:rsidRPr="00D108CA">
        <w:rPr>
          <w:rFonts w:cs="Arial"/>
          <w:noProof/>
        </w:rPr>
        <w:t>[12]</w:t>
      </w:r>
      <w:r w:rsidR="00D11BB0">
        <w:rPr>
          <w:rFonts w:cs="Arial"/>
        </w:rPr>
        <w:fldChar w:fldCharType="end"/>
      </w:r>
    </w:p>
    <w:p w:rsidR="00273C85" w:rsidRDefault="0015289A" w:rsidP="0015289A">
      <w:pPr>
        <w:widowControl w:val="0"/>
        <w:autoSpaceDE w:val="0"/>
        <w:autoSpaceDN w:val="0"/>
        <w:adjustRightInd w:val="0"/>
        <w:spacing w:after="240"/>
        <w:jc w:val="both"/>
        <w:rPr>
          <w:rFonts w:cs="Arial"/>
        </w:rPr>
      </w:pPr>
      <w:r>
        <w:rPr>
          <w:rFonts w:cs="Arial"/>
        </w:rPr>
        <w:t>“</w:t>
      </w:r>
      <w:proofErr w:type="spellStart"/>
      <w:r>
        <w:rPr>
          <w:rFonts w:cs="Arial"/>
        </w:rPr>
        <w:t>Transcanal</w:t>
      </w:r>
      <w:proofErr w:type="spellEnd"/>
      <w:r>
        <w:rPr>
          <w:rFonts w:cs="Arial"/>
        </w:rPr>
        <w:t xml:space="preserve"> Endoscopic Ear Surgery for Pediatric Population with a Narrow External Auditory Canal”</w:t>
      </w:r>
      <w:r w:rsidR="008949B0">
        <w:rPr>
          <w:rFonts w:cs="Arial"/>
        </w:rPr>
        <w:t xml:space="preserve"> </w:t>
      </w:r>
      <w:r w:rsidR="00D11BB0">
        <w:rPr>
          <w:rFonts w:cs="Arial"/>
        </w:rPr>
        <w:fldChar w:fldCharType="begin" w:fldLock="1"/>
      </w:r>
      <w:r w:rsidR="00ED6017">
        <w:rPr>
          <w:rFonts w:cs="Arial"/>
        </w:rPr>
        <w:instrText>ADDIN CSL_CITATION { "citationItems" : [ { "id" : "ITEM-1", "itemData" : { "DOI" : "10.1016/j.ijporl.2015.10.019", "ISSN" : "18728464", "PMID" : "26527072", "abstract" : "Objectives: To retrospectively determine the size of the external auditory canal (EAC) in a pediatric population and to describe our experience with transcanal endoscopic ear surgery (TEES) in this pediatric population which had been successfully treated for middle ear disease using TEES. Methods: We analyzed 31 patients ranging in age from 2 to 13 years old (median: 7.6 years) with middle ear disease who underwent TEES between November 2011 and August 2014. Sixteen of these patients had surgery for cholesteatomas; 11 for chronic otitis media; and 4 for malformation of the middle ear. A preoperative CT scan was performed to evaluate the middle ear disease. Transcanal endoscopic tympanoplasty was performed using a rigid endoscope with a 2.7. mm outer diameter. Transcanal endoscopic atticoantrotomy was also performed, as necessary, on some patients to access pathologies in the antrum. The values of anterior-posterior diameters and superior-inferior diameters of the bony parts of EAC were measured retrospectively based on the preoperative CT scan data. Results: TEES was successfully performed in all 31 pediatric patients without resorting to a retroauricular incision. Twenty-seven patients were evaluated for postoperative hearing levels which were found to fall within an acceptable range and for postoperative air-bone gap (ABG) by pure tone audiometry with a resulting mean of 8.6. dB. The smallest anterior-posterior diameters of the external ear canal ranged from 3.2 to 7.1. mm (5.0. ??. 1.0. mm) and the smallest superior-inferior diameters ranged from 3.4 to 10.3. mm (5.9. ??. 1.3. mm). Conclusion: TEES can be used to safely and effectively treat middle ear disease even in the pediatric population in its narrow EAC.", "author" : [ { "dropping-particle" : "", "family" : "Ito", "given" : "Tsukasa", "non-dropping-particle" : "", "parse-names" : false, "suffix" : "" }, { "dropping-particle" : "", "family" : "Kubota", "given" : "Toshinori", "non-dropping-particle" : "", "parse-names" : false, "suffix" : "" }, { "dropping-particle" : "", "family" : "Watanabe", "given" : "Tomoo", "non-dropping-particle" : "", "parse-names" : false, "suffix" : "" }, { "dropping-particle" : "", "family" : "Futai", "given" : "Kazunori", "non-dropping-particle" : "", "parse-names" : false, "suffix" : "" }, { "dropping-particle" : "", "family" : "Furukawa", "given" : "Takatoshi", "non-dropping-particle" : "", "parse-names" : false, "suffix" : "" }, { "dropping-particle" : "", "family" : "Kakehata", "given" : "Seiji", "non-dropping-particle" : "", "parse-names" : false, "suffix" : "" } ], "container-title" : "International Journal of Pediatric Otorhinolaryngology", "id" : "ITEM-1", "issue" : "12", "issued" : { "date-parts" : [ [ "2015" ] ] }, "page" : "2265-2269", "publisher" : "Elsevier Ireland Ltd", "title" : "Transcanal endoscopic ear surgery for pediatric population with a narrow external auditory canal", "type" : "article-journal", "volume" : "79" }, "uris" : [ "http://www.mendeley.com/documents/?uuid=15050249-ac47-4fb8-8341-94c8454083bf" ] } ], "mendeley" : { "formattedCitation" : "[13]", "plainTextFormattedCitation" : "[13]", "previouslyFormattedCitation" : "[13]" }, "properties" : { "noteIndex" : 0 }, "schema" : "https://github.com/citation-style-language/schema/raw/master/csl-citation.json" }</w:instrText>
      </w:r>
      <w:r w:rsidR="00D11BB0">
        <w:rPr>
          <w:rFonts w:cs="Arial"/>
        </w:rPr>
        <w:fldChar w:fldCharType="separate"/>
      </w:r>
      <w:r w:rsidR="00D108CA" w:rsidRPr="00D108CA">
        <w:rPr>
          <w:rFonts w:cs="Arial"/>
          <w:noProof/>
        </w:rPr>
        <w:t>[13]</w:t>
      </w:r>
      <w:r w:rsidR="00D11BB0">
        <w:rPr>
          <w:rFonts w:cs="Arial"/>
        </w:rPr>
        <w:fldChar w:fldCharType="end"/>
      </w:r>
    </w:p>
    <w:p w:rsidR="0015289A" w:rsidRDefault="0029170C" w:rsidP="0015289A">
      <w:pPr>
        <w:pStyle w:val="ListParagraph"/>
        <w:widowControl w:val="0"/>
        <w:numPr>
          <w:ilvl w:val="0"/>
          <w:numId w:val="22"/>
        </w:numPr>
        <w:autoSpaceDE w:val="0"/>
        <w:autoSpaceDN w:val="0"/>
        <w:adjustRightInd w:val="0"/>
        <w:spacing w:after="240"/>
        <w:jc w:val="both"/>
        <w:rPr>
          <w:rFonts w:cs="Arial"/>
        </w:rPr>
      </w:pPr>
      <w:r>
        <w:rPr>
          <w:rFonts w:cs="Arial"/>
        </w:rPr>
        <w:t>31 pediatric patients, average ear canal diameter 5 +/- 1 mm (anterior-posterior diameter), 5.9 +/- 1.3mm (superior-inferior diameter)</w:t>
      </w:r>
    </w:p>
    <w:p w:rsidR="0029170C" w:rsidRPr="0015289A" w:rsidRDefault="008949B0" w:rsidP="0015289A">
      <w:pPr>
        <w:pStyle w:val="ListParagraph"/>
        <w:widowControl w:val="0"/>
        <w:numPr>
          <w:ilvl w:val="0"/>
          <w:numId w:val="22"/>
        </w:numPr>
        <w:autoSpaceDE w:val="0"/>
        <w:autoSpaceDN w:val="0"/>
        <w:adjustRightInd w:val="0"/>
        <w:spacing w:after="240"/>
        <w:jc w:val="both"/>
        <w:rPr>
          <w:rFonts w:cs="Arial"/>
        </w:rPr>
      </w:pPr>
      <w:r>
        <w:rPr>
          <w:rFonts w:cs="Arial"/>
        </w:rPr>
        <w:t>study shows that TEES can be done safely and effectively on pediatric patients with a narrow EAC using a 2.7mm endoscope</w:t>
      </w:r>
    </w:p>
    <w:p w:rsidR="00C07E73" w:rsidRDefault="00C07E73" w:rsidP="005B641B">
      <w:pPr>
        <w:widowControl w:val="0"/>
        <w:autoSpaceDE w:val="0"/>
        <w:autoSpaceDN w:val="0"/>
        <w:adjustRightInd w:val="0"/>
        <w:spacing w:after="240"/>
        <w:jc w:val="both"/>
        <w:rPr>
          <w:rFonts w:cs="Arial"/>
        </w:rPr>
      </w:pPr>
    </w:p>
    <w:p w:rsidR="00C07E73" w:rsidRDefault="00661894" w:rsidP="00C07E73">
      <w:pPr>
        <w:pStyle w:val="Heading3"/>
      </w:pPr>
      <w:r>
        <w:t>Purpose:</w:t>
      </w:r>
    </w:p>
    <w:p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rsidR="00A2246A" w:rsidRDefault="00A2246A" w:rsidP="00A2246A">
      <w:pPr>
        <w:pStyle w:val="Heading2"/>
        <w:rPr>
          <w:lang w:val="en-CA"/>
        </w:rPr>
      </w:pPr>
      <w:r>
        <w:rPr>
          <w:lang w:val="en-CA"/>
        </w:rPr>
        <w:t>Background:</w:t>
      </w:r>
    </w:p>
    <w:p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D11BB0">
        <w:rPr>
          <w:rFonts w:cs="Times New Roman"/>
          <w:lang w:val="en-CA"/>
        </w:rPr>
        <w:fldChar w:fldCharType="begin" w:fldLock="1"/>
      </w:r>
      <w:r w:rsidR="00ED6017">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[14]</w:t>
      </w:r>
      <w:r w:rsidR="00D11BB0">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D11BB0">
        <w:rPr>
          <w:rFonts w:cs="Times New Roman"/>
          <w:lang w:val="en-CA"/>
        </w:rPr>
        <w:fldChar w:fldCharType="begin" w:fldLock="1"/>
      </w:r>
      <w:r w:rsidR="00ED6017">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"previouslyFormattedCitation" : "[15]"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[15]</w:t>
      </w:r>
      <w:r w:rsidR="00D11BB0">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D11BB0">
        <w:rPr>
          <w:rFonts w:cs="Times New Roman"/>
          <w:lang w:val="en-CA"/>
        </w:rPr>
        <w:fldChar w:fldCharType="begin" w:fldLock="1"/>
      </w:r>
      <w:r w:rsidR="00ED6017">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"[16]", "plainTextFormattedCitation" : "[16]", "previouslyFormattedCitation" : "[16]"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[16]</w:t>
      </w:r>
      <w:r w:rsidR="00D11BB0">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A2246A" w:rsidRPr="00661894" w:rsidRDefault="00A2246A" w:rsidP="00A2246A">
      <w:pPr>
        <w:pStyle w:val="Heading2"/>
        <w:rPr>
          <w:lang w:val="en-CA"/>
        </w:rPr>
      </w:pPr>
      <w:r>
        <w:rPr>
          <w:lang w:val="en-CA"/>
        </w:rPr>
        <w:t>Method:</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w:t>
      </w:r>
      <w:r>
        <w:rPr>
          <w:rFonts w:cs="Arial"/>
        </w:rPr>
        <w:lastRenderedPageBreak/>
        <w:t>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rsidR="00085EAC" w:rsidRDefault="00085EAC" w:rsidP="005B641B">
      <w:pPr>
        <w:widowControl w:val="0"/>
        <w:autoSpaceDE w:val="0"/>
        <w:autoSpaceDN w:val="0"/>
        <w:adjustRightInd w:val="0"/>
        <w:spacing w:after="240"/>
        <w:jc w:val="both"/>
        <w:rPr>
          <w:rFonts w:cs="Arial"/>
        </w:rPr>
      </w:pPr>
    </w:p>
    <w:p w:rsidR="00085EAC" w:rsidRDefault="00085EAC" w:rsidP="005B641B">
      <w:pPr>
        <w:widowControl w:val="0"/>
        <w:autoSpaceDE w:val="0"/>
        <w:autoSpaceDN w:val="0"/>
        <w:adjustRightInd w:val="0"/>
        <w:spacing w:after="240"/>
        <w:jc w:val="both"/>
        <w:rPr>
          <w:rFonts w:cs="Arial"/>
        </w:rPr>
      </w:pPr>
    </w:p>
    <w:p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5"/>
        <w:gridCol w:w="2910"/>
        <w:gridCol w:w="1665"/>
        <w:gridCol w:w="1455"/>
      </w:tblGrid>
      <w:tr w:rsidR="003E4DF5" w:rsidRPr="003E4DF5"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lastRenderedPageBreak/>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bl>
    <w:p w:rsidR="00C07E73" w:rsidRDefault="00C07E73" w:rsidP="005B641B">
      <w:pPr>
        <w:widowControl w:val="0"/>
        <w:autoSpaceDE w:val="0"/>
        <w:autoSpaceDN w:val="0"/>
        <w:adjustRightInd w:val="0"/>
        <w:spacing w:after="240"/>
        <w:jc w:val="both"/>
        <w:rPr>
          <w:rFonts w:cs="Arial"/>
        </w:rPr>
      </w:pPr>
    </w:p>
    <w:p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w:t>
      </w:r>
      <w:proofErr w:type="spellStart"/>
      <w:r w:rsidR="00C07E73">
        <w:rPr>
          <w:rFonts w:cs="Arial"/>
        </w:rPr>
        <w:t>SickKids</w:t>
      </w:r>
      <w:proofErr w:type="spellEnd"/>
      <w:r w:rsidR="00C07E73">
        <w:rPr>
          <w:rFonts w:cs="Arial"/>
        </w:rPr>
        <w:t xml:space="preserve"> research computer. </w:t>
      </w:r>
    </w:p>
    <w:p w:rsidR="00A2246A" w:rsidRDefault="00A2246A" w:rsidP="00A2246A">
      <w:commentRangeStart w:id="0"/>
      <w:r>
        <w:t>R</w:t>
      </w:r>
      <w:r w:rsidR="002651B0">
        <w:t>esults Analys</w:t>
      </w:r>
      <w:r>
        <w:t>is:</w:t>
      </w:r>
    </w:p>
    <w:p w:rsidR="00A2246A" w:rsidRDefault="00A2246A" w:rsidP="00A2246A">
      <w:r>
        <w:t xml:space="preserve">Discussion: </w:t>
      </w:r>
    </w:p>
    <w:p w:rsidR="00A2246A" w:rsidRPr="00A2246A" w:rsidRDefault="00A2246A" w:rsidP="00A2246A">
      <w:r>
        <w:t xml:space="preserve">Conclusion: </w:t>
      </w:r>
    </w:p>
    <w:commentRangeEnd w:id="0"/>
    <w:p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0"/>
      </w:r>
      <w:r w:rsidR="00C07E73">
        <w:t xml:space="preserve">Part 2: </w:t>
      </w:r>
      <w:r>
        <w:t xml:space="preserve">Needs Assessment </w:t>
      </w:r>
      <w:r w:rsidR="005B641B" w:rsidRPr="00FD3A3E">
        <w:t xml:space="preserve">Survey: </w:t>
      </w:r>
    </w:p>
    <w:p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rsidR="00A2246A" w:rsidRDefault="00A2246A" w:rsidP="00E176B0">
      <w:pPr>
        <w:pStyle w:val="Heading2"/>
        <w:rPr>
          <w:lang w:val="en-CA"/>
        </w:rPr>
      </w:pPr>
      <w:r w:rsidRPr="005B641B">
        <w:rPr>
          <w:lang w:val="en-CA"/>
        </w:rPr>
        <w:t>Literature</w:t>
      </w:r>
      <w:r>
        <w:rPr>
          <w:lang w:val="en-CA"/>
        </w:rPr>
        <w:t xml:space="preserve">: </w:t>
      </w:r>
    </w:p>
    <w:p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D11BB0">
        <w:rPr>
          <w:rFonts w:cs="Times New Roman"/>
          <w:lang w:val="en-CA"/>
        </w:rPr>
        <w:fldChar w:fldCharType="begin" w:fldLock="1"/>
      </w:r>
      <w:r w:rsidR="00ED6017">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[17]</w:t>
      </w:r>
      <w:r w:rsidR="00D11BB0">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w:t>
      </w:r>
      <w:r w:rsidR="00A2246A">
        <w:rPr>
          <w:rFonts w:cs="Times New Roman"/>
          <w:lang w:val="en-CA"/>
        </w:rPr>
        <w:lastRenderedPageBreak/>
        <w:t xml:space="preserve">potential in the future of ear surgery </w:t>
      </w:r>
      <w:r w:rsidR="00D11BB0">
        <w:rPr>
          <w:rFonts w:cs="Times New Roman"/>
          <w:lang w:val="en-CA"/>
        </w:rPr>
        <w:fldChar w:fldCharType="begin" w:fldLock="1"/>
      </w:r>
      <w:r w:rsidR="00ED601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[3]</w:t>
      </w:r>
      <w:r w:rsidR="00D11BB0">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D11BB0">
        <w:rPr>
          <w:rFonts w:cs="Times New Roman"/>
          <w:lang w:val="en-CA"/>
        </w:rPr>
        <w:fldChar w:fldCharType="begin" w:fldLock="1"/>
      </w:r>
      <w:r w:rsidR="00ED601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[3]</w:t>
      </w:r>
      <w:r w:rsidR="00D11BB0">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D11BB0">
        <w:rPr>
          <w:rFonts w:cs="Times New Roman"/>
          <w:lang w:val="en-CA"/>
        </w:rPr>
        <w:fldChar w:fldCharType="begin" w:fldLock="1"/>
      </w:r>
      <w:r w:rsidR="00ED601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[3]</w:t>
      </w:r>
      <w:r w:rsidR="00D11BB0">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D11BB0">
        <w:rPr>
          <w:rFonts w:cs="Times New Roman"/>
          <w:lang w:val="en-CA"/>
        </w:rPr>
        <w:fldChar w:fldCharType="begin" w:fldLock="1"/>
      </w:r>
      <w:r w:rsidR="00ED6017">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"[18]", "plainTextFormattedCitation" : "[18]", "previouslyFormattedCitation" : "[18]"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[18]</w:t>
      </w:r>
      <w:r w:rsidR="00D11BB0">
        <w:rPr>
          <w:rFonts w:cs="Times New Roman"/>
          <w:lang w:val="en-CA"/>
        </w:rPr>
        <w:fldChar w:fldCharType="end"/>
      </w:r>
      <w:r>
        <w:rPr>
          <w:rFonts w:cs="Times New Roman"/>
          <w:lang w:val="en-CA"/>
        </w:rPr>
        <w:t xml:space="preserve"> </w:t>
      </w:r>
      <w:r w:rsidR="00D11BB0">
        <w:rPr>
          <w:rFonts w:cs="Times New Roman"/>
          <w:lang w:val="en-CA"/>
        </w:rPr>
        <w:fldChar w:fldCharType="begin" w:fldLock="1"/>
      </w:r>
      <w:r w:rsidR="00ED6017">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"[19]", "plainTextFormattedCitation" : "[19]", "previouslyFormattedCitation" : "[19]"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[19]</w:t>
      </w:r>
      <w:r w:rsidR="00D11BB0">
        <w:rPr>
          <w:rFonts w:cs="Times New Roman"/>
          <w:lang w:val="en-CA"/>
        </w:rPr>
        <w:fldChar w:fldCharType="end"/>
      </w:r>
      <w:r>
        <w:rPr>
          <w:rFonts w:cs="Times New Roman"/>
          <w:lang w:val="en-CA"/>
        </w:rPr>
        <w:t xml:space="preserve"> </w:t>
      </w:r>
      <w:r w:rsidR="00D11BB0">
        <w:rPr>
          <w:rFonts w:cs="Times New Roman"/>
          <w:lang w:val="en-CA"/>
        </w:rPr>
        <w:fldChar w:fldCharType="begin" w:fldLock="1"/>
      </w:r>
      <w:r w:rsidR="00ED6017">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"[20]", "plainTextFormattedCitation" : "[20]", "previouslyFormattedCitation" : "[20]" }, "properties" : { "noteIndex" : 0 }, "schema" : "https://github.com/citation-style-language/schema/raw/master/csl-citation.json" }</w:instrText>
      </w:r>
      <w:r w:rsidR="00D11BB0">
        <w:rPr>
          <w:rFonts w:cs="Times New Roman"/>
          <w:lang w:val="en-CA"/>
        </w:rPr>
        <w:fldChar w:fldCharType="separate"/>
      </w:r>
      <w:r w:rsidR="00D108CA" w:rsidRPr="00D108CA">
        <w:rPr>
          <w:rFonts w:cs="Times New Roman"/>
          <w:noProof/>
          <w:lang w:val="en-CA"/>
        </w:rPr>
        <w:t>[20]</w:t>
      </w:r>
      <w:r w:rsidR="00D11BB0">
        <w:rPr>
          <w:rFonts w:cs="Times New Roman"/>
          <w:lang w:val="en-CA"/>
        </w:rPr>
        <w:fldChar w:fldCharType="end"/>
      </w:r>
      <w:r>
        <w:rPr>
          <w:rFonts w:cs="Times New Roman"/>
          <w:lang w:val="en-CA"/>
        </w:rPr>
        <w:t>.</w:t>
      </w:r>
    </w:p>
    <w:p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w:t>
      </w:r>
      <w:proofErr w:type="gramStart"/>
      <w:r>
        <w:rPr>
          <w:rFonts w:cs="Times New Roman"/>
          <w:lang w:val="en-CA"/>
        </w:rPr>
        <w:t>formulate</w:t>
      </w:r>
      <w:r w:rsidR="00E176B0">
        <w:rPr>
          <w:rFonts w:cs="Times New Roman"/>
          <w:lang w:val="en-CA"/>
        </w:rPr>
        <w:t>d</w:t>
      </w:r>
      <w:proofErr w:type="gramEnd"/>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rsidR="00E176B0" w:rsidRDefault="00E176B0" w:rsidP="00E176B0">
      <w:pPr>
        <w:pStyle w:val="Heading2"/>
        <w:rPr>
          <w:lang w:val="en-CA"/>
        </w:rPr>
      </w:pPr>
      <w:r>
        <w:rPr>
          <w:lang w:val="en-CA"/>
        </w:rPr>
        <w:t xml:space="preserve">Method: </w:t>
      </w:r>
    </w:p>
    <w:p w:rsidR="00E176B0" w:rsidRPr="005B641B" w:rsidRDefault="00E176B0" w:rsidP="00E176B0">
      <w:pPr>
        <w:pStyle w:val="Heading3"/>
        <w:rPr>
          <w:lang w:val="en-CA"/>
        </w:rPr>
      </w:pPr>
      <w:r w:rsidRPr="005B641B">
        <w:rPr>
          <w:lang w:val="en-CA"/>
        </w:rPr>
        <w:t xml:space="preserve">Developing the Questionnaire: </w:t>
      </w:r>
    </w:p>
    <w:p w:rsidR="00E176B0" w:rsidRDefault="00E176B0" w:rsidP="00E176B0">
      <w:pPr>
        <w:jc w:val="both"/>
        <w:rPr>
          <w:lang w:val="en-CA"/>
        </w:rPr>
      </w:pPr>
    </w:p>
    <w:p w:rsidR="00E176B0" w:rsidRPr="00E207AD" w:rsidRDefault="00E176B0" w:rsidP="00E207AD">
      <w:pPr>
        <w:jc w:val="both"/>
        <w:rPr>
          <w:lang w:val="en-CA"/>
        </w:rPr>
      </w:pPr>
      <w:r>
        <w:rPr>
          <w:lang w:val="en-CA"/>
        </w:rPr>
        <w:t xml:space="preserve">The Canadian </w:t>
      </w:r>
      <w:proofErr w:type="spellStart"/>
      <w:r>
        <w:rPr>
          <w:lang w:val="en-CA"/>
        </w:rPr>
        <w:t>otologists</w:t>
      </w:r>
      <w:proofErr w:type="spellEnd"/>
      <w:r>
        <w:rPr>
          <w:lang w:val="en-CA"/>
        </w:rPr>
        <w:t xml:space="preserve">’ EES survey </w:t>
      </w:r>
      <w:r w:rsidR="00ED6017">
        <w:rPr>
          <w:lang w:val="en-CA"/>
        </w:rPr>
        <w:t>has</w:t>
      </w:r>
      <w:r>
        <w:rPr>
          <w:lang w:val="en-CA"/>
        </w:rPr>
        <w:t xml:space="preserve"> reported </w:t>
      </w:r>
      <w:r w:rsidR="00ED6017">
        <w:rPr>
          <w:lang w:val="en-CA"/>
        </w:rPr>
        <w:t xml:space="preserve">that 11% of </w:t>
      </w:r>
      <w:proofErr w:type="spellStart"/>
      <w:r w:rsidR="00ED6017">
        <w:rPr>
          <w:lang w:val="en-CA"/>
        </w:rPr>
        <w:t>otologists</w:t>
      </w:r>
      <w:proofErr w:type="spellEnd"/>
      <w:r w:rsidR="00ED6017">
        <w:rPr>
          <w:lang w:val="en-CA"/>
        </w:rPr>
        <w:t xml:space="preserve"> in Canada use TEES for </w:t>
      </w:r>
      <w:proofErr w:type="spellStart"/>
      <w:r>
        <w:rPr>
          <w:lang w:val="en-CA"/>
        </w:rPr>
        <w:t>cholesteatoma</w:t>
      </w:r>
      <w:proofErr w:type="spellEnd"/>
      <w:r>
        <w:rPr>
          <w:lang w:val="en-CA"/>
        </w:rPr>
        <w:t xml:space="preserve">, </w:t>
      </w:r>
      <w:proofErr w:type="spellStart"/>
      <w:r>
        <w:rPr>
          <w:lang w:val="en-CA"/>
        </w:rPr>
        <w:t>tympanoplasty</w:t>
      </w:r>
      <w:proofErr w:type="spellEnd"/>
      <w:r>
        <w:rPr>
          <w:lang w:val="en-CA"/>
        </w:rPr>
        <w:t xml:space="preserve">, </w:t>
      </w:r>
      <w:proofErr w:type="spellStart"/>
      <w:r>
        <w:rPr>
          <w:lang w:val="en-CA"/>
        </w:rPr>
        <w:t>ossicular</w:t>
      </w:r>
      <w:proofErr w:type="spellEnd"/>
      <w:r>
        <w:rPr>
          <w:lang w:val="en-CA"/>
        </w:rPr>
        <w:t xml:space="preserve"> reconstruction </w:t>
      </w:r>
      <w:r w:rsidR="00ED6017">
        <w:rPr>
          <w:lang w:val="en-CA"/>
        </w:rPr>
        <w:t xml:space="preserve">surgeries and they find the following factors </w:t>
      </w:r>
      <w:r>
        <w:rPr>
          <w:lang w:val="en-CA"/>
        </w:rPr>
        <w:t xml:space="preserve">difficult about </w:t>
      </w:r>
      <w:r w:rsidR="00ED6017">
        <w:rPr>
          <w:lang w:val="en-CA"/>
        </w:rPr>
        <w:t xml:space="preserve">TEES: </w:t>
      </w:r>
      <w:r>
        <w:rPr>
          <w:lang w:val="en-CA"/>
        </w:rPr>
        <w:t>single-handed surgery, efficiency/operative time, technical difficulty, cost, managing bleeding</w:t>
      </w:r>
      <w:r w:rsidR="00ED6017">
        <w:rPr>
          <w:lang w:val="en-CA"/>
        </w:rPr>
        <w:t xml:space="preserve"> </w:t>
      </w:r>
      <w:r w:rsidR="00ED6017">
        <w:rPr>
          <w:lang w:val="en-CA"/>
        </w:rPr>
        <w:fldChar w:fldCharType="begin" w:fldLock="1"/>
      </w:r>
      <w:r w:rsidR="00ED6017">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ED6017">
        <w:rPr>
          <w:lang w:val="en-CA"/>
        </w:rPr>
        <w:fldChar w:fldCharType="separate"/>
      </w:r>
      <w:r w:rsidR="00ED6017" w:rsidRPr="00ED6017">
        <w:rPr>
          <w:noProof/>
          <w:lang w:val="en-CA"/>
        </w:rPr>
        <w:t>[3]</w:t>
      </w:r>
      <w:r w:rsidR="00ED6017">
        <w:rPr>
          <w:lang w:val="en-CA"/>
        </w:rPr>
        <w:fldChar w:fldCharType="end"/>
      </w:r>
      <w:r>
        <w:rPr>
          <w:lang w:val="en-CA"/>
        </w:rPr>
        <w:t xml:space="preserve">. This questionnaire </w:t>
      </w:r>
      <w:r w:rsidR="00E207AD">
        <w:rPr>
          <w:lang w:val="en-CA"/>
        </w:rPr>
        <w:t>is</w:t>
      </w:r>
      <w:r>
        <w:rPr>
          <w:lang w:val="en-CA"/>
        </w:rPr>
        <w:t xml:space="preserve"> intended to build </w:t>
      </w:r>
      <w:r w:rsidR="00E207AD">
        <w:rPr>
          <w:lang w:val="en-CA"/>
        </w:rPr>
        <w:t>up</w:t>
      </w:r>
      <w:r>
        <w:rPr>
          <w:lang w:val="en-CA"/>
        </w:rPr>
        <w:t xml:space="preserve">on this </w:t>
      </w:r>
      <w:r w:rsidR="00E207AD">
        <w:rPr>
          <w:lang w:val="en-CA"/>
        </w:rPr>
        <w:t>research</w:t>
      </w:r>
      <w:r>
        <w:rPr>
          <w:lang w:val="en-CA"/>
        </w:rPr>
        <w:t xml:space="preserve"> by </w:t>
      </w:r>
      <w:r w:rsidR="00E207AD">
        <w:rPr>
          <w:lang w:val="en-CA"/>
        </w:rPr>
        <w:t>identifying the specific difficulties during surgery that could be addressed by a specialized surgical tool</w:t>
      </w:r>
      <w:r>
        <w:rPr>
          <w:lang w:val="en-CA"/>
        </w:rPr>
        <w:t xml:space="preserve">. </w:t>
      </w:r>
      <w:r w:rsidR="007C1202">
        <w:rPr>
          <w:lang w:val="en-CA"/>
        </w:rPr>
        <w:t>To develop the questionnaire, l</w:t>
      </w:r>
      <w:r w:rsidR="00E207AD">
        <w:rPr>
          <w:lang w:val="en-CA"/>
        </w:rPr>
        <w:t xml:space="preserve">ocal ear surgeons were interviewed </w:t>
      </w:r>
      <w:r w:rsidR="007C1202">
        <w:rPr>
          <w:lang w:val="en-CA"/>
        </w:rPr>
        <w:t xml:space="preserve">to collect comments regarding difficulties experienced during TEES and how to address these difficulties. </w:t>
      </w:r>
    </w:p>
    <w:p w:rsidR="00E176B0" w:rsidRDefault="00E176B0" w:rsidP="00E176B0">
      <w:pPr>
        <w:pStyle w:val="ListParagraph"/>
        <w:numPr>
          <w:ilvl w:val="0"/>
          <w:numId w:val="9"/>
        </w:numPr>
        <w:jc w:val="both"/>
        <w:rPr>
          <w:highlight w:val="lightGray"/>
          <w:lang w:val="en-CA"/>
        </w:rPr>
      </w:pPr>
      <w:proofErr w:type="gramStart"/>
      <w:r>
        <w:rPr>
          <w:lang w:val="en-CA"/>
        </w:rPr>
        <w:t>attended</w:t>
      </w:r>
      <w:proofErr w:type="gramEnd"/>
      <w:r>
        <w:rPr>
          <w:lang w:val="en-CA"/>
        </w:rPr>
        <w:t xml:space="preserve">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 xml:space="preserve">&lt;link to file with informal feedback from course: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Course&gt;</w:t>
      </w:r>
    </w:p>
    <w:p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rsidR="00E176B0" w:rsidRPr="005B641B" w:rsidRDefault="00E176B0" w:rsidP="00E176B0">
      <w:pPr>
        <w:rPr>
          <w:b/>
          <w:sz w:val="14"/>
          <w:lang w:val="en-CA"/>
        </w:rPr>
      </w:pPr>
      <w:r w:rsidRPr="005B641B">
        <w:rPr>
          <w:b/>
          <w:sz w:val="14"/>
          <w:lang w:val="en-CA"/>
        </w:rPr>
        <w:t>Endoscopic Ear Surgery Preliminary Questionnaire</w:t>
      </w:r>
    </w:p>
    <w:p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rsidR="00E176B0" w:rsidRPr="005B641B" w:rsidRDefault="00E176B0" w:rsidP="00E176B0">
      <w:pPr>
        <w:pStyle w:val="ListParagraph"/>
        <w:numPr>
          <w:ilvl w:val="1"/>
          <w:numId w:val="10"/>
        </w:numPr>
        <w:rPr>
          <w:sz w:val="14"/>
          <w:lang w:val="en-CA"/>
        </w:rPr>
      </w:pPr>
      <w:r w:rsidRPr="005B641B">
        <w:rPr>
          <w:sz w:val="14"/>
          <w:lang w:val="en-CA"/>
        </w:rPr>
        <w:t xml:space="preserve"> &lt;1 </w:t>
      </w:r>
    </w:p>
    <w:p w:rsidR="00E176B0" w:rsidRPr="005B641B" w:rsidRDefault="00E176B0" w:rsidP="00E176B0">
      <w:pPr>
        <w:pStyle w:val="ListParagraph"/>
        <w:numPr>
          <w:ilvl w:val="1"/>
          <w:numId w:val="10"/>
        </w:numPr>
        <w:rPr>
          <w:sz w:val="14"/>
          <w:lang w:val="en-CA"/>
        </w:rPr>
      </w:pPr>
      <w:r w:rsidRPr="005B641B">
        <w:rPr>
          <w:sz w:val="14"/>
          <w:lang w:val="en-CA"/>
        </w:rPr>
        <w:t>1-3</w:t>
      </w:r>
    </w:p>
    <w:p w:rsidR="00E176B0" w:rsidRPr="005B641B" w:rsidRDefault="00E176B0" w:rsidP="00E176B0">
      <w:pPr>
        <w:pStyle w:val="ListParagraph"/>
        <w:numPr>
          <w:ilvl w:val="1"/>
          <w:numId w:val="10"/>
        </w:numPr>
        <w:rPr>
          <w:sz w:val="14"/>
          <w:lang w:val="en-CA"/>
        </w:rPr>
      </w:pPr>
      <w:r w:rsidRPr="005B641B">
        <w:rPr>
          <w:sz w:val="14"/>
          <w:lang w:val="en-CA"/>
        </w:rPr>
        <w:t xml:space="preserve">4-7 </w:t>
      </w:r>
    </w:p>
    <w:p w:rsidR="00E176B0" w:rsidRPr="005B641B" w:rsidRDefault="00E176B0" w:rsidP="00E176B0">
      <w:pPr>
        <w:pStyle w:val="ListParagraph"/>
        <w:numPr>
          <w:ilvl w:val="1"/>
          <w:numId w:val="10"/>
        </w:numPr>
        <w:rPr>
          <w:sz w:val="14"/>
          <w:lang w:val="en-CA"/>
        </w:rPr>
      </w:pPr>
      <w:r w:rsidRPr="005B641B">
        <w:rPr>
          <w:sz w:val="14"/>
          <w:lang w:val="en-CA"/>
        </w:rPr>
        <w:t xml:space="preserve">&gt;8 </w:t>
      </w:r>
    </w:p>
    <w:p w:rsidR="00E176B0" w:rsidRPr="005B641B" w:rsidRDefault="00E176B0" w:rsidP="00E176B0">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rsidR="00E176B0" w:rsidRPr="005B641B" w:rsidRDefault="00E176B0" w:rsidP="00E176B0">
      <w:pPr>
        <w:pStyle w:val="ListParagraph"/>
        <w:numPr>
          <w:ilvl w:val="1"/>
          <w:numId w:val="10"/>
        </w:numPr>
        <w:rPr>
          <w:sz w:val="14"/>
          <w:lang w:val="en-CA"/>
        </w:rPr>
      </w:pPr>
      <w:r w:rsidRPr="005B641B">
        <w:rPr>
          <w:sz w:val="14"/>
          <w:lang w:val="en-CA"/>
        </w:rPr>
        <w:t>0%</w:t>
      </w:r>
    </w:p>
    <w:p w:rsidR="00E176B0" w:rsidRPr="005B641B" w:rsidRDefault="00E176B0" w:rsidP="00E176B0">
      <w:pPr>
        <w:pStyle w:val="ListParagraph"/>
        <w:numPr>
          <w:ilvl w:val="1"/>
          <w:numId w:val="10"/>
        </w:numPr>
        <w:rPr>
          <w:sz w:val="14"/>
          <w:lang w:val="en-CA"/>
        </w:rPr>
      </w:pPr>
      <w:r w:rsidRPr="005B641B">
        <w:rPr>
          <w:sz w:val="14"/>
          <w:lang w:val="en-CA"/>
        </w:rPr>
        <w:t xml:space="preserve">Up to 25% </w:t>
      </w:r>
    </w:p>
    <w:p w:rsidR="00E176B0" w:rsidRPr="005B641B" w:rsidRDefault="00E176B0" w:rsidP="00E176B0">
      <w:pPr>
        <w:pStyle w:val="ListParagraph"/>
        <w:numPr>
          <w:ilvl w:val="1"/>
          <w:numId w:val="10"/>
        </w:numPr>
        <w:rPr>
          <w:sz w:val="14"/>
          <w:lang w:val="en-CA"/>
        </w:rPr>
      </w:pPr>
      <w:r w:rsidRPr="005B641B">
        <w:rPr>
          <w:sz w:val="14"/>
          <w:lang w:val="en-CA"/>
        </w:rPr>
        <w:t>Up to 50%</w:t>
      </w:r>
    </w:p>
    <w:p w:rsidR="00E176B0" w:rsidRPr="005B641B" w:rsidRDefault="00E176B0" w:rsidP="00E176B0">
      <w:pPr>
        <w:pStyle w:val="ListParagraph"/>
        <w:numPr>
          <w:ilvl w:val="1"/>
          <w:numId w:val="10"/>
        </w:numPr>
        <w:rPr>
          <w:sz w:val="14"/>
          <w:lang w:val="en-CA"/>
        </w:rPr>
      </w:pPr>
      <w:r w:rsidRPr="005B641B">
        <w:rPr>
          <w:sz w:val="14"/>
          <w:lang w:val="en-CA"/>
        </w:rPr>
        <w:t>Up to 75%</w:t>
      </w:r>
    </w:p>
    <w:p w:rsidR="00E176B0" w:rsidRPr="005B641B" w:rsidRDefault="00E176B0" w:rsidP="00E176B0">
      <w:pPr>
        <w:pStyle w:val="ListParagraph"/>
        <w:numPr>
          <w:ilvl w:val="1"/>
          <w:numId w:val="10"/>
        </w:numPr>
        <w:rPr>
          <w:sz w:val="14"/>
          <w:lang w:val="en-CA"/>
        </w:rPr>
      </w:pPr>
      <w:r w:rsidRPr="005B641B">
        <w:rPr>
          <w:sz w:val="14"/>
          <w:lang w:val="en-CA"/>
        </w:rPr>
        <w:t>Up to 100 %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lastRenderedPageBreak/>
        <w:t>Cholesteatoma</w:t>
      </w:r>
      <w:proofErr w:type="spellEnd"/>
      <w:r w:rsidRPr="005B641B">
        <w:rPr>
          <w:rStyle w:val="m5457844605781567817s1"/>
          <w:rFonts w:ascii="Calibri" w:hAnsi="Calibri"/>
          <w:color w:val="000000"/>
          <w:sz w:val="14"/>
          <w:szCs w:val="20"/>
        </w:rPr>
        <w:t xml:space="preserve"> removal</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rsidR="00E176B0" w:rsidRPr="005B641B" w:rsidRDefault="00E176B0" w:rsidP="00E176B0">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rsidR="00E176B0" w:rsidRPr="005B641B" w:rsidRDefault="00E176B0" w:rsidP="00E176B0">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rsidR="00E176B0" w:rsidRPr="005B641B" w:rsidRDefault="00E176B0" w:rsidP="00E176B0">
      <w:pPr>
        <w:pStyle w:val="ListParagraph"/>
        <w:numPr>
          <w:ilvl w:val="1"/>
          <w:numId w:val="10"/>
        </w:numPr>
        <w:rPr>
          <w:sz w:val="14"/>
          <w:lang w:val="en-CA"/>
        </w:rPr>
      </w:pPr>
      <w:r w:rsidRPr="005B641B">
        <w:rPr>
          <w:sz w:val="14"/>
          <w:lang w:val="en-CA"/>
        </w:rPr>
        <w:t>Grace Medical IWGEES Set</w:t>
      </w:r>
    </w:p>
    <w:p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rsidR="00E176B0" w:rsidRPr="005B641B" w:rsidRDefault="00E176B0" w:rsidP="00E176B0">
      <w:pPr>
        <w:pStyle w:val="ListParagraph"/>
        <w:numPr>
          <w:ilvl w:val="1"/>
          <w:numId w:val="10"/>
        </w:numPr>
        <w:rPr>
          <w:sz w:val="14"/>
          <w:lang w:val="en-CA"/>
        </w:rPr>
      </w:pPr>
      <w:r w:rsidRPr="005B641B">
        <w:rPr>
          <w:sz w:val="14"/>
          <w:lang w:val="en-CA"/>
        </w:rPr>
        <w:t>Bleeding control</w:t>
      </w:r>
    </w:p>
    <w:p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rsidR="00E176B0" w:rsidRPr="005B641B" w:rsidRDefault="00E176B0" w:rsidP="00E176B0">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w:t>
      </w:r>
      <w:proofErr w:type="spellStart"/>
      <w:r w:rsidRPr="005B641B">
        <w:rPr>
          <w:rStyle w:val="m5457844605781567817s1"/>
          <w:rFonts w:ascii="Calibri" w:hAnsi="Calibri"/>
          <w:color w:val="000000"/>
          <w:sz w:val="14"/>
          <w:szCs w:val="20"/>
        </w:rPr>
        <w:t>antrum</w:t>
      </w:r>
      <w:proofErr w:type="spellEnd"/>
      <w:r w:rsidRPr="005B641B">
        <w:rPr>
          <w:rStyle w:val="m5457844605781567817s1"/>
          <w:rFonts w:ascii="Calibri" w:hAnsi="Calibri"/>
          <w:color w:val="000000"/>
          <w:sz w:val="14"/>
          <w:szCs w:val="20"/>
        </w:rPr>
        <w:t>)</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rsidR="00E176B0" w:rsidRDefault="00E176B0" w:rsidP="00E176B0">
      <w:pPr>
        <w:jc w:val="both"/>
        <w:rPr>
          <w:lang w:val="en-CA"/>
        </w:rPr>
      </w:pPr>
    </w:p>
    <w:p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7C1202" w:rsidRDefault="007C1202" w:rsidP="007C1202">
      <w:pPr>
        <w:jc w:val="both"/>
        <w:rPr>
          <w:lang w:val="en-CA"/>
        </w:rPr>
      </w:pPr>
    </w:p>
    <w:p w:rsidR="007C1202" w:rsidRPr="00AC1CBF" w:rsidRDefault="007C1202" w:rsidP="00AC1CBF">
      <w:pPr>
        <w:pStyle w:val="Normal1"/>
        <w:contextualSpacing/>
        <w:rPr>
          <w:rFonts w:asciiTheme="minorHAnsi" w:hAnsiTheme="minorHAnsi"/>
        </w:rPr>
      </w:pPr>
      <w:r w:rsidRPr="00AC1CBF">
        <w:rPr>
          <w:rFonts w:asciiTheme="minorHAnsi" w:hAnsiTheme="minorHAnsi"/>
        </w:rPr>
        <w:t xml:space="preserve">The questionnaire uses an analog visual scale to rate the degree to which they experience a list of difficulties during TEES. An analog visual scale was chosen as it is a continuous rating scale and so respondents can pick any value between the boundary points and visually see where their answer lies in the scale </w:t>
      </w:r>
      <w:r w:rsidRPr="00AC1CBF">
        <w:rPr>
          <w:rFonts w:asciiTheme="minorHAnsi" w:hAnsiTheme="minorHAnsi"/>
        </w:rPr>
        <w:fldChar w:fldCharType="begin" w:fldLock="1"/>
      </w:r>
      <w:r w:rsidRPr="00AC1CBF">
        <w:rPr>
          <w:rFonts w:asciiTheme="minorHAnsi" w:hAnsiTheme="minorHAnsi"/>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Pr="00AC1CBF">
        <w:rPr>
          <w:rFonts w:asciiTheme="minorHAnsi" w:hAnsiTheme="minorHAnsi"/>
        </w:rPr>
        <w:fldChar w:fldCharType="separate"/>
      </w:r>
      <w:r w:rsidRPr="00AC1CBF">
        <w:rPr>
          <w:rFonts w:asciiTheme="minorHAnsi" w:hAnsiTheme="minorHAnsi"/>
          <w:noProof/>
        </w:rPr>
        <w:t>[21]</w:t>
      </w:r>
      <w:r w:rsidRPr="00AC1CBF">
        <w:rPr>
          <w:rFonts w:asciiTheme="minorHAnsi" w:hAnsiTheme="minorHAnsi"/>
        </w:rPr>
        <w:fldChar w:fldCharType="end"/>
      </w:r>
      <w:r w:rsidRPr="00AC1CBF">
        <w:rPr>
          <w:rFonts w:asciiTheme="minorHAnsi" w:hAnsiTheme="minorHAnsi"/>
        </w:rPr>
        <w:t xml:space="preserve"> </w:t>
      </w:r>
      <w:r w:rsidRPr="00AC1CBF">
        <w:rPr>
          <w:rFonts w:asciiTheme="minorHAnsi" w:hAnsiTheme="minorHAnsi"/>
        </w:rPr>
        <w:fldChar w:fldCharType="begin" w:fldLock="1"/>
      </w:r>
      <w:r w:rsidRPr="00AC1CBF">
        <w:rPr>
          <w:rFonts w:asciiTheme="minorHAnsi" w:hAnsiTheme="minorHAnsi"/>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"[22]", "plainTextFormattedCitation" : "[22]", "previouslyFormattedCitation" : "[22]" }, "properties" : { "noteIndex" : 0 }, "schema" : "https://github.com/citation-style-language/schema/raw/master/csl-citation.json" }</w:instrText>
      </w:r>
      <w:r w:rsidRPr="00AC1CBF">
        <w:rPr>
          <w:rFonts w:asciiTheme="minorHAnsi" w:hAnsiTheme="minorHAnsi"/>
        </w:rPr>
        <w:fldChar w:fldCharType="separate"/>
      </w:r>
      <w:r w:rsidRPr="00AC1CBF">
        <w:rPr>
          <w:rFonts w:asciiTheme="minorHAnsi" w:hAnsiTheme="minorHAnsi"/>
          <w:noProof/>
        </w:rPr>
        <w:t>[22]</w:t>
      </w:r>
      <w:r w:rsidRPr="00AC1CBF">
        <w:rPr>
          <w:rFonts w:asciiTheme="minorHAnsi" w:hAnsiTheme="minorHAnsi"/>
        </w:rPr>
        <w:fldChar w:fldCharType="end"/>
      </w:r>
      <w:r w:rsidRPr="00AC1CBF">
        <w:rPr>
          <w:rFonts w:asciiTheme="minorHAnsi" w:hAnsiTheme="minorHAnsi"/>
        </w:rPr>
        <w:t xml:space="preserve">. It is suggested that a continuous rating scale is advantageous compared to the five point </w:t>
      </w:r>
      <w:proofErr w:type="spellStart"/>
      <w:r w:rsidRPr="00AC1CBF">
        <w:rPr>
          <w:rFonts w:asciiTheme="minorHAnsi" w:hAnsiTheme="minorHAnsi"/>
        </w:rPr>
        <w:t>likert</w:t>
      </w:r>
      <w:proofErr w:type="spellEnd"/>
      <w:r w:rsidRPr="00AC1CBF">
        <w:rPr>
          <w:rFonts w:asciiTheme="minorHAnsi" w:hAnsiTheme="minorHAnsi"/>
        </w:rPr>
        <w:t xml:space="preserve"> scale because respondents do not need to subjectively discriminate between the five different rating categories</w:t>
      </w:r>
      <w:r w:rsidR="00AC1CBF">
        <w:rPr>
          <w:rFonts w:asciiTheme="minorHAnsi" w:hAnsiTheme="minorHAnsi"/>
        </w:rP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rPr>
          <w:rFonts w:asciiTheme="minorHAnsi" w:hAnsiTheme="minorHAnsi"/>
        </w:rPr>
        <w:t xml:space="preserve"> </w:t>
      </w:r>
      <w:r w:rsidR="00AC1CBF">
        <w:t xml:space="preserve"> </w:t>
      </w:r>
      <w:r w:rsidR="00AC1CBF">
        <w:fldChar w:fldCharType="begin" w:fldLock="1"/>
      </w:r>
      <w:r w:rsidR="00AC1CBF">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00AC1CBF">
        <w:fldChar w:fldCharType="separate"/>
      </w:r>
      <w:r w:rsidR="00AC1CBF" w:rsidRPr="00D108CA">
        <w:rPr>
          <w:noProof/>
        </w:rPr>
        <w:t>[21]</w:t>
      </w:r>
      <w:r w:rsidR="00AC1CBF">
        <w:fldChar w:fldCharType="end"/>
      </w:r>
      <w:r w:rsidR="00AC1CBF" w:rsidRPr="00AC1CBF">
        <w:rPr>
          <w:rFonts w:asciiTheme="minorHAnsi" w:hAnsiTheme="minorHAnsi"/>
        </w:rPr>
        <w:t xml:space="preserve"> </w:t>
      </w:r>
      <w:r w:rsidRPr="00AC1CBF">
        <w:rPr>
          <w:rFonts w:asciiTheme="minorHAnsi" w:hAnsiTheme="minorHAnsi"/>
        </w:rPr>
        <w:t>[</w:t>
      </w:r>
      <w:hyperlink r:id="rId9" w:history="1">
        <w:r w:rsidR="00AC1CBF" w:rsidRPr="00AC1CBF">
          <w:rPr>
            <w:rStyle w:val="Hyperlink"/>
            <w:rFonts w:asciiTheme="minorHAnsi" w:hAnsiTheme="minorHAnsi"/>
          </w:rPr>
          <w:t>http://www.statistik.tuwien.ac.at/forschung/SM/SM-2009-4complete.pdf</w:t>
        </w:r>
      </w:hyperlink>
      <w:r w:rsidR="00AC1CBF" w:rsidRPr="00AC1CBF">
        <w:rPr>
          <w:rFonts w:asciiTheme="minorHAnsi" w:hAnsiTheme="minorHAnsi"/>
        </w:rPr>
        <w:t xml:space="preserve">]. The values </w:t>
      </w:r>
      <w:r w:rsidR="00AC1CBF">
        <w:rPr>
          <w:rFonts w:asciiTheme="minorHAnsi" w:hAnsiTheme="minorHAnsi"/>
        </w:rPr>
        <w:t xml:space="preserve">that describe the boundaries of the scale </w:t>
      </w:r>
      <w:r w:rsidR="00022D86">
        <w:rPr>
          <w:rFonts w:asciiTheme="minorHAnsi" w:hAnsiTheme="minorHAnsi"/>
        </w:rPr>
        <w:t xml:space="preserve">were taken from </w:t>
      </w:r>
      <w:hyperlink r:id="rId10">
        <w:r w:rsidR="00022D86" w:rsidRPr="00022D86">
          <w:rPr>
            <w:color w:val="1155CC"/>
            <w:u w:val="single"/>
          </w:rPr>
          <w:t>http://psr.iq.harvard.edu/files/psr/files/PSRQuestionnaireTipSheet_0.pdf</w:t>
        </w:r>
      </w:hyperlink>
      <w:r w:rsidR="00022D86">
        <w:t xml:space="preserve">, </w:t>
      </w:r>
      <w:hyperlink r:id="rId11">
        <w:r w:rsidR="00022D86" w:rsidRPr="00022D86">
          <w:rPr>
            <w:color w:val="1155CC"/>
            <w:u w:val="single"/>
          </w:rPr>
          <w:t>http://www.uwex.edu/ces/4h/evaluation/documents/Wordingforratingscales.pdf</w:t>
        </w:r>
      </w:hyperlink>
      <w:r w:rsidR="00022D86">
        <w:t xml:space="preserve"> to make the values more meaningful.</w:t>
      </w:r>
    </w:p>
    <w:p w:rsidR="00E176B0" w:rsidRPr="005B641B" w:rsidRDefault="00E176B0" w:rsidP="00E176B0">
      <w:pPr>
        <w:pStyle w:val="ListParagraph"/>
        <w:numPr>
          <w:ilvl w:val="0"/>
          <w:numId w:val="15"/>
        </w:numPr>
        <w:jc w:val="both"/>
        <w:rPr>
          <w:i/>
          <w:lang w:val="en-CA"/>
        </w:rPr>
      </w:pPr>
      <w:r w:rsidRPr="005B641B">
        <w:rPr>
          <w:i/>
          <w:lang w:val="en-CA"/>
        </w:rPr>
        <w:lastRenderedPageBreak/>
        <w:t>Rating technique</w:t>
      </w:r>
    </w:p>
    <w:p w:rsidR="00E176B0" w:rsidRDefault="00E176B0" w:rsidP="00E176B0">
      <w:pPr>
        <w:pStyle w:val="ListParagraph"/>
        <w:numPr>
          <w:ilvl w:val="1"/>
          <w:numId w:val="15"/>
        </w:numPr>
        <w:jc w:val="both"/>
        <w:rPr>
          <w:lang w:val="en-CA"/>
        </w:rPr>
      </w:pPr>
      <w:proofErr w:type="spellStart"/>
      <w:r>
        <w:rPr>
          <w:lang w:val="en-CA"/>
        </w:rPr>
        <w:t>Likert</w:t>
      </w:r>
      <w:proofErr w:type="spellEnd"/>
      <w:r>
        <w:rPr>
          <w:lang w:val="en-CA"/>
        </w:rPr>
        <w:t xml:space="preserve"> vs. analog visual scale these papers said that the analog visual scale was better </w:t>
      </w:r>
      <w:r w:rsidRPr="00400B77">
        <w:rPr>
          <w:highlight w:val="yellow"/>
          <w:lang w:val="en-CA"/>
        </w:rPr>
        <w:t>BECAUSE</w:t>
      </w:r>
      <w:r>
        <w:rPr>
          <w:lang w:val="en-CA"/>
        </w:rPr>
        <w:t xml:space="preserve"> </w:t>
      </w:r>
      <w:r w:rsidR="00D11BB0">
        <w:rPr>
          <w:lang w:val="en-CA"/>
        </w:rPr>
        <w:fldChar w:fldCharType="begin" w:fldLock="1"/>
      </w:r>
      <w:r w:rsidR="00ED6017">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00D11BB0">
        <w:rPr>
          <w:lang w:val="en-CA"/>
        </w:rPr>
        <w:fldChar w:fldCharType="separate"/>
      </w:r>
      <w:r w:rsidR="00D108CA" w:rsidRPr="00D108CA">
        <w:rPr>
          <w:noProof/>
          <w:lang w:val="en-CA"/>
        </w:rPr>
        <w:t>[21]</w:t>
      </w:r>
      <w:r w:rsidR="00D11BB0">
        <w:rPr>
          <w:lang w:val="en-CA"/>
        </w:rPr>
        <w:fldChar w:fldCharType="end"/>
      </w:r>
      <w:r>
        <w:rPr>
          <w:lang w:val="en-CA"/>
        </w:rPr>
        <w:t xml:space="preserve"> </w:t>
      </w:r>
      <w:r w:rsidR="00D11BB0">
        <w:rPr>
          <w:lang w:val="en-CA"/>
        </w:rPr>
        <w:fldChar w:fldCharType="begin" w:fldLock="1"/>
      </w:r>
      <w:r w:rsidR="00ED6017">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"[22]", "plainTextFormattedCitation" : "[22]", "previouslyFormattedCitation" : "[22]" }, "properties" : { "noteIndex" : 0 }, "schema" : "https://github.com/citation-style-language/schema/raw/master/csl-citation.json" }</w:instrText>
      </w:r>
      <w:r w:rsidR="00D11BB0">
        <w:rPr>
          <w:lang w:val="en-CA"/>
        </w:rPr>
        <w:fldChar w:fldCharType="separate"/>
      </w:r>
      <w:r w:rsidR="00D108CA" w:rsidRPr="00D108CA">
        <w:rPr>
          <w:noProof/>
          <w:lang w:val="en-CA"/>
        </w:rPr>
        <w:t>[22]</w:t>
      </w:r>
      <w:r w:rsidR="00D11BB0">
        <w:rPr>
          <w:lang w:val="en-CA"/>
        </w:rPr>
        <w:fldChar w:fldCharType="end"/>
      </w:r>
      <w:r>
        <w:rPr>
          <w:lang w:val="en-CA"/>
        </w:rPr>
        <w:t xml:space="preserve"> – 10 describes what VAS and an LS are </w:t>
      </w:r>
    </w:p>
    <w:p w:rsidR="00E176B0" w:rsidRDefault="00D11BB0" w:rsidP="007C1202">
      <w:pPr>
        <w:pStyle w:val="Normal1"/>
        <w:contextualSpacing/>
      </w:pPr>
      <w:hyperlink r:id="rId12" w:history="1">
        <w:r w:rsidR="00E176B0" w:rsidRPr="00231DA4">
          <w:rPr>
            <w:rStyle w:val="Hyperlink"/>
          </w:rPr>
          <w:t>http://www.statistik.tuwien.ac.at/forschung/SM/SM-2009-4complete.pdf</w:t>
        </w:r>
      </w:hyperlink>
    </w:p>
    <w:p w:rsidR="00E176B0" w:rsidRDefault="00E176B0" w:rsidP="00E176B0">
      <w:pPr>
        <w:pStyle w:val="Normal1"/>
        <w:numPr>
          <w:ilvl w:val="2"/>
          <w:numId w:val="15"/>
        </w:numPr>
        <w:contextualSpacing/>
      </w:pPr>
      <w:r>
        <w:t xml:space="preserve">States that the advantages of using the continuous rating scale over the </w:t>
      </w:r>
      <w:proofErr w:type="spellStart"/>
      <w:r>
        <w:t>likert</w:t>
      </w:r>
      <w:proofErr w:type="spellEnd"/>
      <w:r>
        <w:t xml:space="preserve"> are: </w:t>
      </w:r>
    </w:p>
    <w:p w:rsidR="00E176B0" w:rsidRDefault="00E176B0" w:rsidP="00E176B0">
      <w:pPr>
        <w:pStyle w:val="Normal1"/>
        <w:numPr>
          <w:ilvl w:val="3"/>
          <w:numId w:val="15"/>
        </w:numPr>
        <w:contextualSpacing/>
      </w:pPr>
      <w:r>
        <w:t xml:space="preserve">Hard to discriminate between the categories </w:t>
      </w:r>
    </w:p>
    <w:p w:rsidR="00E176B0" w:rsidRPr="00400B77" w:rsidRDefault="00E176B0" w:rsidP="00E176B0">
      <w:pPr>
        <w:pStyle w:val="Normal1"/>
        <w:numPr>
          <w:ilvl w:val="3"/>
          <w:numId w:val="15"/>
        </w:numPr>
        <w:contextualSpacing/>
      </w:pPr>
      <w:proofErr w:type="spellStart"/>
      <w:r>
        <w:t>Cts</w:t>
      </w:r>
      <w:proofErr w:type="spellEnd"/>
      <w:r>
        <w:t xml:space="preserve"> scale – the respondent is only given anchor points and so it is up to the respondent to pick any value in between</w:t>
      </w:r>
      <w:r w:rsidRPr="00E24AA2">
        <w:rPr>
          <w:highlight w:val="yellow"/>
        </w:rPr>
        <w:t>......(continue)</w:t>
      </w:r>
    </w:p>
    <w:p w:rsidR="00E176B0" w:rsidRPr="00022D86" w:rsidRDefault="00E176B0" w:rsidP="00022D86">
      <w:pPr>
        <w:pStyle w:val="ListParagraph"/>
        <w:numPr>
          <w:ilvl w:val="0"/>
          <w:numId w:val="15"/>
        </w:numPr>
        <w:jc w:val="both"/>
        <w:rPr>
          <w:lang w:val="en-CA"/>
        </w:rPr>
      </w:pPr>
      <w:r>
        <w:rPr>
          <w:lang w:val="en-CA"/>
        </w:rPr>
        <w:t>The wording of the scale was taken from:</w:t>
      </w:r>
      <w:r w:rsidR="00022D86">
        <w:rPr>
          <w:lang w:val="en-CA"/>
        </w:rPr>
        <w:t xml:space="preserve"> </w:t>
      </w:r>
      <w:hyperlink r:id="rId13">
        <w:r w:rsidRPr="00022D86">
          <w:rPr>
            <w:color w:val="1155CC"/>
            <w:u w:val="single"/>
          </w:rPr>
          <w:t>http://psr.iq.harvard.edu/files/psr/files/PSRQuestionnaireTipSheet_0.pdf</w:t>
        </w:r>
      </w:hyperlink>
      <w:r>
        <w:t>,</w:t>
      </w:r>
      <w:r w:rsidR="00022D86">
        <w:t xml:space="preserve"> </w:t>
      </w:r>
      <w:hyperlink r:id="rId14">
        <w:r w:rsidRPr="00022D86">
          <w:rPr>
            <w:color w:val="1155CC"/>
            <w:u w:val="single"/>
          </w:rPr>
          <w:t>http://www.uwex.edu/ces/4h/evaluation/documents/Wordingforratingscales.pdf</w:t>
        </w:r>
      </w:hyperlink>
      <w:r>
        <w:t xml:space="preserve"> </w:t>
      </w:r>
    </w:p>
    <w:p w:rsidR="00E176B0" w:rsidRDefault="00E176B0" w:rsidP="00E176B0">
      <w:pPr>
        <w:jc w:val="both"/>
        <w:rPr>
          <w:lang w:val="en-CA"/>
        </w:rPr>
      </w:pPr>
      <w:r>
        <w:rPr>
          <w:lang w:val="en-CA"/>
        </w:rPr>
        <w:t xml:space="preserve">visual analog scale (used in questionnaire) vs. </w:t>
      </w:r>
      <w:proofErr w:type="spellStart"/>
      <w:r>
        <w:rPr>
          <w:lang w:val="en-CA"/>
        </w:rPr>
        <w:t>likert</w:t>
      </w:r>
      <w:proofErr w:type="spellEnd"/>
      <w:r>
        <w:rPr>
          <w:lang w:val="en-CA"/>
        </w:rPr>
        <w:t xml:space="preserve"> scale: </w:t>
      </w:r>
      <w:r w:rsidR="00D11BB0">
        <w:rPr>
          <w:lang w:val="en-CA"/>
        </w:rPr>
        <w:fldChar w:fldCharType="begin" w:fldLock="1"/>
      </w:r>
      <w:r w:rsidR="00ED6017">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00D11BB0">
        <w:rPr>
          <w:lang w:val="en-CA"/>
        </w:rPr>
        <w:fldChar w:fldCharType="separate"/>
      </w:r>
      <w:r w:rsidR="00D108CA" w:rsidRPr="00D108CA">
        <w:rPr>
          <w:noProof/>
          <w:lang w:val="en-CA"/>
        </w:rPr>
        <w:t>[21]</w:t>
      </w:r>
      <w:r w:rsidR="00D11BB0">
        <w:rPr>
          <w:lang w:val="en-CA"/>
        </w:rPr>
        <w:fldChar w:fldCharType="end"/>
      </w:r>
    </w:p>
    <w:p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E176B0" w:rsidRDefault="00E176B0" w:rsidP="00E176B0">
      <w:pPr>
        <w:pStyle w:val="ListParagraph"/>
        <w:numPr>
          <w:ilvl w:val="0"/>
          <w:numId w:val="17"/>
        </w:numPr>
        <w:jc w:val="both"/>
        <w:rPr>
          <w:lang w:val="en-CA"/>
        </w:rPr>
      </w:pPr>
      <w:r>
        <w:rPr>
          <w:lang w:val="en-CA"/>
        </w:rPr>
        <w:t>The study had the participants perform</w:t>
      </w:r>
      <w:r w:rsidR="00D108CA">
        <w:rPr>
          <w:lang w:val="en-CA"/>
        </w:rPr>
        <w:t xml:space="preserve">  </w:t>
      </w:r>
      <w:r>
        <w:rPr>
          <w:lang w:val="en-CA"/>
        </w:rPr>
        <w:t xml:space="preserve"> a self evaluation using both the VAS (anchors labeled “definitely” and “definitely not”) and LS</w:t>
      </w:r>
    </w:p>
    <w:p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rsidR="00E176B0" w:rsidRDefault="00E176B0" w:rsidP="00E176B0">
      <w:pPr>
        <w:pStyle w:val="ListParagraph"/>
        <w:numPr>
          <w:ilvl w:val="0"/>
          <w:numId w:val="17"/>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rsidR="00E176B0" w:rsidRDefault="00E176B0" w:rsidP="00E176B0">
      <w:pPr>
        <w:pStyle w:val="ListParagraph"/>
        <w:numPr>
          <w:ilvl w:val="1"/>
          <w:numId w:val="17"/>
        </w:numPr>
        <w:jc w:val="both"/>
        <w:rPr>
          <w:lang w:val="en-CA"/>
        </w:rPr>
      </w:pPr>
      <w:r>
        <w:rPr>
          <w:lang w:val="en-CA"/>
        </w:rPr>
        <w:t>Can use parametric statistical analysis with a smaller sample size</w:t>
      </w:r>
    </w:p>
    <w:p w:rsidR="00A2246A" w:rsidRDefault="00A2246A" w:rsidP="00E176B0">
      <w:pPr>
        <w:widowControl w:val="0"/>
        <w:autoSpaceDE w:val="0"/>
        <w:autoSpaceDN w:val="0"/>
        <w:adjustRightInd w:val="0"/>
        <w:spacing w:after="240"/>
        <w:ind w:firstLine="0"/>
        <w:jc w:val="both"/>
        <w:rPr>
          <w:rFonts w:cs="Arial"/>
        </w:rPr>
      </w:pPr>
    </w:p>
    <w:p w:rsidR="005B641B" w:rsidRPr="00661894" w:rsidRDefault="005B641B" w:rsidP="005B641B">
      <w:pPr>
        <w:widowControl w:val="0"/>
        <w:autoSpaceDE w:val="0"/>
        <w:autoSpaceDN w:val="0"/>
        <w:adjustRightInd w:val="0"/>
        <w:spacing w:after="240"/>
        <w:jc w:val="both"/>
        <w:rPr>
          <w:rFonts w:cs="Times"/>
          <w:i/>
        </w:rPr>
      </w:pPr>
      <w:r w:rsidRPr="00FD3A3E">
        <w:rPr>
          <w:rFonts w:cs="Arial"/>
        </w:rPr>
        <w:t xml:space="preserve">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proofErr w:type="spellStart"/>
      <w:r w:rsidR="00491849">
        <w:rPr>
          <w:rFonts w:cs="Arial"/>
        </w:rPr>
        <w:t>RedCap</w:t>
      </w:r>
      <w:proofErr w:type="spellEnd"/>
      <w:r w:rsidR="00491849">
        <w:rPr>
          <w:rFonts w:cs="Arial"/>
        </w:rPr>
        <w:t xml:space="preserve"> </w:t>
      </w:r>
      <w:proofErr w:type="spellStart"/>
      <w:r w:rsidR="00491849">
        <w:rPr>
          <w:rFonts w:cs="Arial"/>
        </w:rPr>
        <w:t>SickKids</w:t>
      </w:r>
      <w:proofErr w:type="spellEnd"/>
      <w:r w:rsidR="00491849">
        <w:rPr>
          <w:rFonts w:cs="Arial"/>
        </w:rPr>
        <w:t xml:space="preserve"> software.</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w:t>
      </w:r>
      <w:r w:rsidRPr="00FD3A3E">
        <w:rPr>
          <w:rFonts w:cs="Arial"/>
        </w:rPr>
        <w:lastRenderedPageBreak/>
        <w:t xml:space="preserve">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rsidR="005B641B" w:rsidRDefault="005B641B" w:rsidP="005B641B">
      <w:pPr>
        <w:widowControl w:val="0"/>
        <w:autoSpaceDE w:val="0"/>
        <w:autoSpaceDN w:val="0"/>
        <w:adjustRightInd w:val="0"/>
        <w:spacing w:after="240"/>
        <w:jc w:val="both"/>
        <w:rPr>
          <w:rFonts w:cs="Arial"/>
        </w:rPr>
      </w:pPr>
      <w:r>
        <w:rPr>
          <w:rFonts w:cs="Arial"/>
        </w:rPr>
        <w:t xml:space="preserve">This methodology will collect insight from a variety of </w:t>
      </w:r>
      <w:proofErr w:type="gramStart"/>
      <w:r>
        <w:rPr>
          <w:rFonts w:cs="Arial"/>
        </w:rPr>
        <w:t>surgeons,</w:t>
      </w:r>
      <w:proofErr w:type="gramEnd"/>
      <w:r>
        <w:rPr>
          <w:rFonts w:cs="Arial"/>
        </w:rPr>
        <w:t xml:space="preserve">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2731D2" w:rsidRDefault="002731D2" w:rsidP="005B641B">
      <w:pPr>
        <w:widowControl w:val="0"/>
        <w:autoSpaceDE w:val="0"/>
        <w:autoSpaceDN w:val="0"/>
        <w:adjustRightInd w:val="0"/>
        <w:spacing w:after="240"/>
        <w:jc w:val="both"/>
        <w:rPr>
          <w:rFonts w:cs="Arial"/>
        </w:rPr>
      </w:pPr>
    </w:p>
    <w:p w:rsidR="002731D2" w:rsidRDefault="002731D2" w:rsidP="005B641B">
      <w:pPr>
        <w:widowControl w:val="0"/>
        <w:autoSpaceDE w:val="0"/>
        <w:autoSpaceDN w:val="0"/>
        <w:adjustRightInd w:val="0"/>
        <w:spacing w:after="240"/>
        <w:jc w:val="both"/>
        <w:rPr>
          <w:rFonts w:cs="Arial"/>
        </w:rPr>
      </w:pPr>
      <w:r>
        <w:rPr>
          <w:rFonts w:cs="Arial"/>
        </w:rPr>
        <w:t xml:space="preserve">Statistical Analysis of survey results: </w:t>
      </w:r>
    </w:p>
    <w:p w:rsidR="005D75DD" w:rsidRDefault="005D75DD" w:rsidP="005B641B">
      <w:pPr>
        <w:widowControl w:val="0"/>
        <w:autoSpaceDE w:val="0"/>
        <w:autoSpaceDN w:val="0"/>
        <w:adjustRightInd w:val="0"/>
        <w:spacing w:after="240"/>
        <w:jc w:val="both"/>
        <w:rPr>
          <w:rFonts w:cs="Arial"/>
        </w:rPr>
      </w:pPr>
      <w:r>
        <w:rPr>
          <w:rFonts w:cs="Arial"/>
        </w:rPr>
        <w:t>Goal of needs analysis: determine instrument functionalities that would address difficulties experienced during TEES.</w:t>
      </w:r>
    </w:p>
    <w:p w:rsidR="005D75DD" w:rsidRDefault="005D75DD" w:rsidP="005B641B">
      <w:pPr>
        <w:widowControl w:val="0"/>
        <w:autoSpaceDE w:val="0"/>
        <w:autoSpaceDN w:val="0"/>
        <w:adjustRightInd w:val="0"/>
        <w:spacing w:after="240"/>
        <w:jc w:val="both"/>
        <w:rPr>
          <w:rFonts w:cs="Arial"/>
        </w:rPr>
      </w:pPr>
      <w:r>
        <w:rPr>
          <w:rFonts w:cs="Arial"/>
        </w:rPr>
        <w:t xml:space="preserve">Questions: </w:t>
      </w:r>
    </w:p>
    <w:p w:rsidR="005D75DD" w:rsidRPr="005D75DD" w:rsidRDefault="005D75DD" w:rsidP="005D75DD">
      <w:pPr>
        <w:pStyle w:val="ListParagraph"/>
        <w:widowControl w:val="0"/>
        <w:numPr>
          <w:ilvl w:val="0"/>
          <w:numId w:val="23"/>
        </w:numPr>
        <w:autoSpaceDE w:val="0"/>
        <w:autoSpaceDN w:val="0"/>
        <w:adjustRightInd w:val="0"/>
        <w:spacing w:after="240"/>
        <w:jc w:val="both"/>
        <w:rPr>
          <w:rFonts w:cs="Arial"/>
        </w:rPr>
      </w:pPr>
      <w:r w:rsidRPr="005D75DD">
        <w:rPr>
          <w:rFonts w:cs="Arial"/>
        </w:rPr>
        <w:t>What is the most desired functionality/</w:t>
      </w:r>
      <w:proofErr w:type="spellStart"/>
      <w:r w:rsidRPr="005D75DD">
        <w:rPr>
          <w:rFonts w:cs="Arial"/>
        </w:rPr>
        <w:t>ies</w:t>
      </w:r>
      <w:proofErr w:type="spellEnd"/>
      <w:r w:rsidRPr="005D75DD">
        <w:rPr>
          <w:rFonts w:cs="Arial"/>
        </w:rPr>
        <w:t xml:space="preserve">? </w:t>
      </w:r>
    </w:p>
    <w:p w:rsidR="005D75DD" w:rsidRDefault="005D75DD" w:rsidP="005D75DD">
      <w:pPr>
        <w:pStyle w:val="ListParagraph"/>
        <w:widowControl w:val="0"/>
        <w:numPr>
          <w:ilvl w:val="0"/>
          <w:numId w:val="23"/>
        </w:numPr>
        <w:autoSpaceDE w:val="0"/>
        <w:autoSpaceDN w:val="0"/>
        <w:adjustRightInd w:val="0"/>
        <w:spacing w:after="240"/>
        <w:jc w:val="both"/>
        <w:rPr>
          <w:rFonts w:cs="Arial"/>
        </w:rPr>
      </w:pPr>
      <w:r>
        <w:rPr>
          <w:rFonts w:cs="Arial"/>
        </w:rPr>
        <w:t>Does experience affect the most popular desired functionality? If so, which functionality would we choose to tackle? Do we want to address experienced surgeons’ problems or non-experienced surgeons’ problems? The latter would aim to make instruments so that it’s easier for people trying out TEES for the first time. Expect the most popular response to be suction</w:t>
      </w:r>
      <w:r w:rsidRPr="005D75DD">
        <w:rPr>
          <w:rFonts w:cs="Arial"/>
        </w:rPr>
        <w:t>.</w:t>
      </w:r>
    </w:p>
    <w:p w:rsidR="005D75DD" w:rsidRPr="005D75DD" w:rsidRDefault="005D75DD" w:rsidP="005D75DD">
      <w:pPr>
        <w:widowControl w:val="0"/>
        <w:autoSpaceDE w:val="0"/>
        <w:autoSpaceDN w:val="0"/>
        <w:adjustRightInd w:val="0"/>
        <w:spacing w:after="240"/>
        <w:jc w:val="both"/>
        <w:rPr>
          <w:rFonts w:cs="Arial"/>
        </w:rPr>
      </w:pPr>
      <w:r>
        <w:rPr>
          <w:rFonts w:cs="Arial"/>
        </w:rPr>
        <w:t xml:space="preserve">For second round of questions: could ask: what tools would you like? E.g. suction accompanied by: dissector, knife, etc. </w:t>
      </w:r>
      <w:bookmarkStart w:id="1" w:name="_GoBack"/>
      <w:bookmarkEnd w:id="1"/>
    </w:p>
    <w:p w:rsidR="005D75DD" w:rsidRDefault="005D75DD" w:rsidP="005D75DD">
      <w:pPr>
        <w:widowControl w:val="0"/>
        <w:autoSpaceDE w:val="0"/>
        <w:autoSpaceDN w:val="0"/>
        <w:adjustRightInd w:val="0"/>
        <w:spacing w:after="240"/>
        <w:jc w:val="both"/>
        <w:rPr>
          <w:rFonts w:cs="Arial"/>
        </w:rPr>
      </w:pPr>
      <w:r>
        <w:rPr>
          <w:rFonts w:cs="Arial"/>
        </w:rPr>
        <w:t xml:space="preserve">Data: non-parametric – cannot be defined by mean because it is arbitrary numbering/ranking </w:t>
      </w:r>
    </w:p>
    <w:p w:rsidR="005D75DD" w:rsidRDefault="005D75DD" w:rsidP="005D75DD">
      <w:pPr>
        <w:widowControl w:val="0"/>
        <w:autoSpaceDE w:val="0"/>
        <w:autoSpaceDN w:val="0"/>
        <w:adjustRightInd w:val="0"/>
        <w:spacing w:after="240"/>
        <w:jc w:val="both"/>
        <w:rPr>
          <w:rFonts w:cs="Arial"/>
        </w:rPr>
      </w:pPr>
      <w:r>
        <w:rPr>
          <w:rFonts w:cs="Arial"/>
        </w:rPr>
        <w:t xml:space="preserve">Use </w:t>
      </w:r>
      <w:proofErr w:type="spellStart"/>
      <w:r>
        <w:rPr>
          <w:rFonts w:cs="Arial"/>
        </w:rPr>
        <w:t>Kruskall</w:t>
      </w:r>
      <w:proofErr w:type="spellEnd"/>
      <w:r>
        <w:rPr>
          <w:rFonts w:cs="Arial"/>
        </w:rPr>
        <w:t>-Wallis test (which is a nonparametric way of doing ANOVA – not as much power as ANOVA but data does not satisfy normality assumptions of ANOVA therefore do this test instead)</w:t>
      </w:r>
    </w:p>
    <w:p w:rsidR="005D75DD" w:rsidRDefault="005D75DD" w:rsidP="005D75DD">
      <w:pPr>
        <w:widowControl w:val="0"/>
        <w:autoSpaceDE w:val="0"/>
        <w:autoSpaceDN w:val="0"/>
        <w:adjustRightInd w:val="0"/>
        <w:spacing w:after="240"/>
        <w:ind w:firstLine="0"/>
        <w:jc w:val="both"/>
        <w:rPr>
          <w:rFonts w:cs="Arial"/>
        </w:rPr>
      </w:pPr>
    </w:p>
    <w:p w:rsidR="002731D2" w:rsidRDefault="002731D2" w:rsidP="005B641B">
      <w:pPr>
        <w:widowControl w:val="0"/>
        <w:autoSpaceDE w:val="0"/>
        <w:autoSpaceDN w:val="0"/>
        <w:adjustRightInd w:val="0"/>
        <w:spacing w:after="240"/>
        <w:jc w:val="both"/>
        <w:rPr>
          <w:rFonts w:cs="Arial"/>
        </w:rPr>
      </w:pPr>
      <w:r>
        <w:rPr>
          <w:rFonts w:cs="Arial"/>
        </w:rPr>
        <w:t>Factor = groups varying by experience e.g. group 1 = &lt;5 years, group 2 = &gt;5 years, group 3 = &gt;15 years</w:t>
      </w:r>
    </w:p>
    <w:p w:rsidR="002731D2" w:rsidRDefault="002731D2" w:rsidP="005B641B">
      <w:pPr>
        <w:widowControl w:val="0"/>
        <w:autoSpaceDE w:val="0"/>
        <w:autoSpaceDN w:val="0"/>
        <w:adjustRightInd w:val="0"/>
        <w:spacing w:after="240"/>
        <w:jc w:val="both"/>
        <w:rPr>
          <w:rFonts w:cs="Arial"/>
        </w:rPr>
      </w:pPr>
      <w:r>
        <w:rPr>
          <w:rFonts w:cs="Arial"/>
        </w:rPr>
        <w:t xml:space="preserve">Result = nonparametric, ordinal categorical data </w:t>
      </w:r>
    </w:p>
    <w:p w:rsidR="002731D2" w:rsidRDefault="002731D2" w:rsidP="005B641B">
      <w:pPr>
        <w:widowControl w:val="0"/>
        <w:autoSpaceDE w:val="0"/>
        <w:autoSpaceDN w:val="0"/>
        <w:adjustRightInd w:val="0"/>
        <w:spacing w:after="240"/>
        <w:jc w:val="both"/>
        <w:rPr>
          <w:rFonts w:cs="Arial"/>
        </w:rPr>
      </w:pPr>
      <w:r>
        <w:rPr>
          <w:rFonts w:cs="Arial"/>
        </w:rPr>
        <w:t xml:space="preserve">Organize data as follows: </w:t>
      </w:r>
    </w:p>
    <w:p w:rsidR="002731D2" w:rsidRDefault="002731D2" w:rsidP="005B641B">
      <w:pPr>
        <w:widowControl w:val="0"/>
        <w:autoSpaceDE w:val="0"/>
        <w:autoSpaceDN w:val="0"/>
        <w:adjustRightInd w:val="0"/>
        <w:spacing w:after="240"/>
        <w:jc w:val="both"/>
        <w:rPr>
          <w:rFonts w:cs="Arial"/>
        </w:rPr>
      </w:pPr>
      <w:r>
        <w:rPr>
          <w:rFonts w:cs="Arial"/>
        </w:rPr>
        <w:t>Experience</w:t>
      </w:r>
      <w:r>
        <w:rPr>
          <w:rFonts w:cs="Arial"/>
        </w:rPr>
        <w:tab/>
        <w:t>question_1 question_2</w:t>
      </w:r>
      <w:r>
        <w:rPr>
          <w:rFonts w:cs="Arial"/>
        </w:rPr>
        <w:tab/>
        <w:t>question_3</w:t>
      </w:r>
    </w:p>
    <w:p w:rsidR="002731D2" w:rsidRDefault="002731D2" w:rsidP="005B641B">
      <w:pPr>
        <w:widowControl w:val="0"/>
        <w:autoSpaceDE w:val="0"/>
        <w:autoSpaceDN w:val="0"/>
        <w:adjustRightInd w:val="0"/>
        <w:spacing w:after="240"/>
        <w:jc w:val="both"/>
        <w:rPr>
          <w:rFonts w:cs="Arial"/>
        </w:rPr>
      </w:pPr>
      <w:r>
        <w:rPr>
          <w:rFonts w:cs="Arial"/>
        </w:rPr>
        <w:t>1</w:t>
      </w:r>
      <w:r>
        <w:rPr>
          <w:rFonts w:cs="Arial"/>
        </w:rPr>
        <w:tab/>
      </w:r>
      <w:r>
        <w:rPr>
          <w:rFonts w:cs="Arial"/>
        </w:rPr>
        <w:tab/>
        <w:t>50</w:t>
      </w:r>
      <w:r>
        <w:rPr>
          <w:rFonts w:cs="Arial"/>
        </w:rPr>
        <w:tab/>
      </w:r>
      <w:r>
        <w:rPr>
          <w:rFonts w:cs="Arial"/>
        </w:rPr>
        <w:tab/>
        <w:t>69</w:t>
      </w:r>
      <w:r>
        <w:rPr>
          <w:rFonts w:cs="Arial"/>
        </w:rPr>
        <w:tab/>
        <w:t>30</w:t>
      </w:r>
      <w:r>
        <w:rPr>
          <w:rFonts w:cs="Arial"/>
        </w:rPr>
        <w:tab/>
      </w:r>
    </w:p>
    <w:p w:rsidR="002731D2" w:rsidRDefault="002731D2" w:rsidP="005B641B">
      <w:pPr>
        <w:widowControl w:val="0"/>
        <w:autoSpaceDE w:val="0"/>
        <w:autoSpaceDN w:val="0"/>
        <w:adjustRightInd w:val="0"/>
        <w:spacing w:after="240"/>
        <w:jc w:val="both"/>
        <w:rPr>
          <w:rFonts w:cs="Arial"/>
        </w:rPr>
      </w:pPr>
      <w:r>
        <w:rPr>
          <w:rFonts w:cs="Arial"/>
        </w:rPr>
        <w:lastRenderedPageBreak/>
        <w:t>3</w:t>
      </w:r>
      <w:r>
        <w:rPr>
          <w:rFonts w:cs="Arial"/>
        </w:rPr>
        <w:tab/>
      </w:r>
      <w:r>
        <w:rPr>
          <w:rFonts w:cs="Arial"/>
        </w:rPr>
        <w:tab/>
        <w:t>60</w:t>
      </w:r>
      <w:r>
        <w:rPr>
          <w:rFonts w:cs="Arial"/>
        </w:rPr>
        <w:tab/>
      </w:r>
      <w:r>
        <w:rPr>
          <w:rFonts w:cs="Arial"/>
        </w:rPr>
        <w:tab/>
        <w:t>78</w:t>
      </w:r>
      <w:r>
        <w:rPr>
          <w:rFonts w:cs="Arial"/>
        </w:rPr>
        <w:tab/>
        <w:t>90</w:t>
      </w:r>
      <w:r>
        <w:rPr>
          <w:rFonts w:cs="Arial"/>
        </w:rPr>
        <w:tab/>
      </w:r>
    </w:p>
    <w:p w:rsidR="002731D2" w:rsidRDefault="002731D2" w:rsidP="005B641B">
      <w:pPr>
        <w:widowControl w:val="0"/>
        <w:autoSpaceDE w:val="0"/>
        <w:autoSpaceDN w:val="0"/>
        <w:adjustRightInd w:val="0"/>
        <w:spacing w:after="240"/>
        <w:jc w:val="both"/>
        <w:rPr>
          <w:rFonts w:cs="Arial"/>
        </w:rPr>
      </w:pPr>
      <w:proofErr w:type="gramStart"/>
      <w:r>
        <w:rPr>
          <w:rFonts w:cs="Arial"/>
        </w:rPr>
        <w:t>2… etc.</w:t>
      </w:r>
      <w:proofErr w:type="gramEnd"/>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3</w:t>
      </w:r>
    </w:p>
    <w:p w:rsidR="002731D2" w:rsidRDefault="002731D2" w:rsidP="005B641B">
      <w:pPr>
        <w:widowControl w:val="0"/>
        <w:autoSpaceDE w:val="0"/>
        <w:autoSpaceDN w:val="0"/>
        <w:adjustRightInd w:val="0"/>
        <w:spacing w:after="240"/>
        <w:jc w:val="both"/>
        <w:rPr>
          <w:rFonts w:cs="Arial"/>
        </w:rPr>
      </w:pPr>
      <w:r>
        <w:rPr>
          <w:rFonts w:cs="Arial"/>
        </w:rPr>
        <w:t xml:space="preserve"> </w:t>
      </w:r>
    </w:p>
    <w:p w:rsidR="002731D2" w:rsidRDefault="002731D2" w:rsidP="005B641B">
      <w:pPr>
        <w:widowControl w:val="0"/>
        <w:autoSpaceDE w:val="0"/>
        <w:autoSpaceDN w:val="0"/>
        <w:adjustRightInd w:val="0"/>
        <w:spacing w:after="240"/>
        <w:jc w:val="both"/>
        <w:rPr>
          <w:rFonts w:cs="Arial"/>
        </w:rPr>
      </w:pPr>
      <w:proofErr w:type="gramStart"/>
      <w:r>
        <w:rPr>
          <w:rFonts w:cs="Arial"/>
        </w:rPr>
        <w:t>do</w:t>
      </w:r>
      <w:proofErr w:type="gramEnd"/>
      <w:r>
        <w:rPr>
          <w:rFonts w:cs="Arial"/>
        </w:rPr>
        <w:t xml:space="preserve"> the </w:t>
      </w:r>
      <w:proofErr w:type="spellStart"/>
      <w:r>
        <w:rPr>
          <w:rFonts w:cs="Arial"/>
        </w:rPr>
        <w:t>kruskall</w:t>
      </w:r>
      <w:proofErr w:type="spellEnd"/>
      <w:r>
        <w:rPr>
          <w:rFonts w:cs="Arial"/>
        </w:rPr>
        <w:t xml:space="preserve"> </w:t>
      </w:r>
      <w:proofErr w:type="spellStart"/>
      <w:r>
        <w:rPr>
          <w:rFonts w:cs="Arial"/>
        </w:rPr>
        <w:t>wallis</w:t>
      </w:r>
      <w:proofErr w:type="spellEnd"/>
      <w:r>
        <w:rPr>
          <w:rFonts w:cs="Arial"/>
        </w:rPr>
        <w:t xml:space="preserve"> test to see if there is a difference between the groups with experience</w:t>
      </w:r>
      <w:r w:rsidR="007F1CCA">
        <w:rPr>
          <w:rFonts w:cs="Arial"/>
        </w:rPr>
        <w:t xml:space="preserve"> on the tool functionality</w:t>
      </w:r>
      <w:r w:rsidR="00061546">
        <w:rPr>
          <w:rFonts w:cs="Arial"/>
        </w:rPr>
        <w:t xml:space="preserve"> </w:t>
      </w:r>
      <w:proofErr w:type="spellStart"/>
      <w:r w:rsidR="00061546">
        <w:rPr>
          <w:rFonts w:cs="Arial"/>
        </w:rPr>
        <w:t>ie</w:t>
      </w:r>
      <w:proofErr w:type="spellEnd"/>
      <w:r w:rsidR="00061546">
        <w:rPr>
          <w:rFonts w:cs="Arial"/>
        </w:rPr>
        <w:t>. Does the factor of being in a different experience group have an effect on the preference of certain tools desired for TEES?</w:t>
      </w:r>
    </w:p>
    <w:p w:rsidR="002731D2" w:rsidRDefault="002731D2" w:rsidP="007F1CCA">
      <w:pPr>
        <w:widowControl w:val="0"/>
        <w:autoSpaceDE w:val="0"/>
        <w:autoSpaceDN w:val="0"/>
        <w:adjustRightInd w:val="0"/>
        <w:spacing w:after="240"/>
        <w:jc w:val="both"/>
        <w:rPr>
          <w:rFonts w:cs="Arial"/>
        </w:rPr>
      </w:pPr>
      <w:proofErr w:type="gramStart"/>
      <w:r>
        <w:rPr>
          <w:rFonts w:cs="Arial"/>
        </w:rPr>
        <w:t>if</w:t>
      </w:r>
      <w:proofErr w:type="gramEnd"/>
      <w:r>
        <w:rPr>
          <w:rFonts w:cs="Arial"/>
        </w:rPr>
        <w:t xml:space="preserve"> there is a difference between groups, can do a </w:t>
      </w:r>
      <w:proofErr w:type="spellStart"/>
      <w:r>
        <w:rPr>
          <w:rFonts w:cs="Arial"/>
        </w:rPr>
        <w:t>whitney</w:t>
      </w:r>
      <w:proofErr w:type="spellEnd"/>
      <w:r>
        <w:rPr>
          <w:rFonts w:cs="Arial"/>
        </w:rPr>
        <w:t xml:space="preserve"> </w:t>
      </w:r>
      <w:proofErr w:type="spellStart"/>
      <w:r>
        <w:rPr>
          <w:rFonts w:cs="Arial"/>
        </w:rPr>
        <w:t>mann</w:t>
      </w:r>
      <w:proofErr w:type="spellEnd"/>
      <w:r>
        <w:rPr>
          <w:rFonts w:cs="Arial"/>
        </w:rPr>
        <w:t xml:space="preserve"> test if there is a statistical difference between groups</w:t>
      </w:r>
      <w:r w:rsidR="00E0333C">
        <w:rPr>
          <w:rFonts w:cs="Arial"/>
        </w:rPr>
        <w:t xml:space="preserve"> </w:t>
      </w:r>
    </w:p>
    <w:p w:rsidR="002731D2" w:rsidRDefault="002731D2" w:rsidP="005B641B">
      <w:pPr>
        <w:widowControl w:val="0"/>
        <w:autoSpaceDE w:val="0"/>
        <w:autoSpaceDN w:val="0"/>
        <w:adjustRightInd w:val="0"/>
        <w:spacing w:after="240"/>
        <w:jc w:val="both"/>
        <w:rPr>
          <w:rFonts w:cs="Arial"/>
        </w:rPr>
      </w:pPr>
      <w:proofErr w:type="gramStart"/>
      <w:r>
        <w:rPr>
          <w:rFonts w:cs="Arial"/>
        </w:rPr>
        <w:t>use</w:t>
      </w:r>
      <w:proofErr w:type="gramEnd"/>
      <w:r>
        <w:rPr>
          <w:rFonts w:cs="Arial"/>
        </w:rPr>
        <w:t xml:space="preserve"> a frequency table to see what the consensus </w:t>
      </w:r>
      <w:r w:rsidR="00D76BF8">
        <w:rPr>
          <w:rFonts w:cs="Arial"/>
        </w:rPr>
        <w:t>is</w:t>
      </w:r>
    </w:p>
    <w:p w:rsidR="00D76BF8" w:rsidRDefault="00D76BF8" w:rsidP="005B641B">
      <w:pPr>
        <w:widowControl w:val="0"/>
        <w:autoSpaceDE w:val="0"/>
        <w:autoSpaceDN w:val="0"/>
        <w:adjustRightInd w:val="0"/>
        <w:spacing w:after="240"/>
        <w:jc w:val="both"/>
        <w:rPr>
          <w:rFonts w:cs="Arial"/>
        </w:rPr>
      </w:pPr>
      <w:proofErr w:type="gramStart"/>
      <w:r>
        <w:rPr>
          <w:rFonts w:cs="Arial"/>
        </w:rPr>
        <w:t>stacked</w:t>
      </w:r>
      <w:proofErr w:type="gramEnd"/>
      <w:r>
        <w:rPr>
          <w:rFonts w:cs="Arial"/>
        </w:rPr>
        <w:t xml:space="preserve"> bar chart</w:t>
      </w:r>
      <w:r w:rsidR="00E0333C">
        <w:rPr>
          <w:rFonts w:cs="Arial"/>
        </w:rPr>
        <w:t xml:space="preserve"> to present all the data</w:t>
      </w:r>
    </w:p>
    <w:p w:rsidR="002731D2" w:rsidRPr="00460061" w:rsidRDefault="002731D2" w:rsidP="005B641B">
      <w:pPr>
        <w:widowControl w:val="0"/>
        <w:autoSpaceDE w:val="0"/>
        <w:autoSpaceDN w:val="0"/>
        <w:adjustRightInd w:val="0"/>
        <w:spacing w:after="240"/>
        <w:jc w:val="both"/>
        <w:rPr>
          <w:rFonts w:cs="Times"/>
        </w:rPr>
      </w:pPr>
    </w:p>
    <w:p w:rsidR="005B641B" w:rsidRPr="00FD3A3E" w:rsidRDefault="005B641B" w:rsidP="005B641B">
      <w:pPr>
        <w:jc w:val="both"/>
        <w:rPr>
          <w:lang w:val="en-CA"/>
        </w:rPr>
      </w:pPr>
    </w:p>
    <w:p w:rsidR="005B641B" w:rsidRPr="00FD3A3E" w:rsidRDefault="005B641B" w:rsidP="00491849">
      <w:pPr>
        <w:ind w:firstLine="0"/>
        <w:jc w:val="both"/>
        <w:rPr>
          <w:lang w:val="en-CA"/>
        </w:rPr>
      </w:pPr>
    </w:p>
    <w:p w:rsidR="005B641B" w:rsidRDefault="005B641B" w:rsidP="005B32D2">
      <w:pPr>
        <w:pStyle w:val="ListParagraph"/>
        <w:jc w:val="both"/>
        <w:rPr>
          <w:b/>
          <w:lang w:val="en-CA"/>
        </w:rPr>
      </w:pPr>
    </w:p>
    <w:p w:rsidR="0000007E" w:rsidRPr="0000007E" w:rsidRDefault="0000007E" w:rsidP="0000007E">
      <w:pPr>
        <w:jc w:val="both"/>
        <w:rPr>
          <w:lang w:val="en-CA"/>
        </w:rPr>
      </w:pPr>
    </w:p>
    <w:p w:rsidR="00CF7CE0" w:rsidRDefault="00CF7CE0" w:rsidP="00BE09C8">
      <w:pPr>
        <w:jc w:val="both"/>
        <w:rPr>
          <w:lang w:val="en-CA"/>
        </w:rPr>
      </w:pPr>
    </w:p>
    <w:p w:rsidR="00CF7CE0" w:rsidRDefault="00CF7CE0" w:rsidP="00BE09C8">
      <w:pPr>
        <w:jc w:val="both"/>
        <w:rPr>
          <w:b/>
          <w:lang w:val="en-CA"/>
        </w:rPr>
      </w:pPr>
    </w:p>
    <w:p w:rsidR="00CF7CE0" w:rsidRDefault="00CF7CE0" w:rsidP="00BE09C8">
      <w:pPr>
        <w:jc w:val="both"/>
        <w:rPr>
          <w:b/>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w:t>
      </w:r>
      <w:proofErr w:type="spellStart"/>
      <w:r>
        <w:rPr>
          <w:rFonts w:ascii="Arial" w:hAnsi="Arial" w:cs="Arial"/>
        </w:rPr>
        <w:t>Storz</w:t>
      </w:r>
      <w:proofErr w:type="spellEnd"/>
      <w:r>
        <w:rPr>
          <w:rFonts w:ascii="Arial" w:hAnsi="Arial" w:cs="Arial"/>
        </w:rPr>
        <w:t xml:space="preserve"> GmbH &amp; Co. KG; </w:t>
      </w:r>
      <w:proofErr w:type="spellStart"/>
      <w:r>
        <w:rPr>
          <w:rFonts w:ascii="Arial" w:hAnsi="Arial" w:cs="Arial"/>
        </w:rPr>
        <w:t>Tuttlingen</w:t>
      </w:r>
      <w:proofErr w:type="spellEnd"/>
      <w:r>
        <w:rPr>
          <w:rFonts w:ascii="Arial" w:hAnsi="Arial" w:cs="Arial"/>
        </w:rPr>
        <w:t xml:space="preserve">, Germany) was developed from the work of </w:t>
      </w:r>
      <w:proofErr w:type="spellStart"/>
      <w:r>
        <w:rPr>
          <w:rFonts w:ascii="Arial" w:hAnsi="Arial" w:cs="Arial"/>
        </w:rPr>
        <w:t>Thomassin</w:t>
      </w:r>
      <w:proofErr w:type="spellEnd"/>
      <w:r>
        <w:rPr>
          <w:rFonts w:ascii="Arial" w:hAnsi="Arial" w:cs="Arial"/>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rPr>
        <w:t>Panetti</w:t>
      </w:r>
      <w:proofErr w:type="spellEnd"/>
      <w:r>
        <w:rPr>
          <w:rFonts w:ascii="Arial" w:hAnsi="Arial" w:cs="Arial"/>
        </w:rPr>
        <w:t xml:space="preserve"> (13) incorporates suction into dissection instruments with an ingenious rotating connector (</w:t>
      </w:r>
      <w:proofErr w:type="spellStart"/>
      <w:r>
        <w:rPr>
          <w:rFonts w:ascii="Arial" w:hAnsi="Arial" w:cs="Arial"/>
        </w:rPr>
        <w:t>Spiggle</w:t>
      </w:r>
      <w:proofErr w:type="spellEnd"/>
      <w:r>
        <w:rPr>
          <w:rFonts w:ascii="Arial" w:hAnsi="Arial" w:cs="Arial"/>
        </w:rPr>
        <w:t xml:space="preserve"> &amp; </w:t>
      </w:r>
      <w:proofErr w:type="spellStart"/>
      <w:r>
        <w:rPr>
          <w:rFonts w:ascii="Arial" w:hAnsi="Arial" w:cs="Arial"/>
        </w:rPr>
        <w:t>Theis</w:t>
      </w:r>
      <w:proofErr w:type="spellEnd"/>
      <w:r>
        <w:rPr>
          <w:rFonts w:ascii="Arial" w:hAnsi="Arial" w:cs="Arial"/>
        </w:rPr>
        <w:t xml:space="preserve"> </w:t>
      </w:r>
      <w:proofErr w:type="spellStart"/>
      <w:r>
        <w:rPr>
          <w:rFonts w:ascii="Arial" w:hAnsi="Arial" w:cs="Arial"/>
        </w:rPr>
        <w:t>Medizintechnik</w:t>
      </w:r>
      <w:proofErr w:type="spellEnd"/>
      <w:r>
        <w:rPr>
          <w:rFonts w:ascii="Arial" w:hAnsi="Arial" w:cs="Arial"/>
        </w:rPr>
        <w:t xml:space="preserve"> GmbH; </w:t>
      </w:r>
      <w:proofErr w:type="spellStart"/>
      <w:r>
        <w:rPr>
          <w:rFonts w:ascii="Arial" w:hAnsi="Arial" w:cs="Arial"/>
        </w:rPr>
        <w:t>Burghof</w:t>
      </w:r>
      <w:proofErr w:type="spellEnd"/>
      <w:r>
        <w:rPr>
          <w:rFonts w:ascii="Arial" w:hAnsi="Arial" w:cs="Arial"/>
        </w:rPr>
        <w:t xml:space="preserve">, Germany). The ability to clear blood from the operating field is an advantage to the </w:t>
      </w:r>
      <w:proofErr w:type="gramStart"/>
      <w:r>
        <w:rPr>
          <w:rFonts w:ascii="Arial" w:hAnsi="Arial" w:cs="Arial"/>
        </w:rPr>
        <w:t>tools,</w:t>
      </w:r>
      <w:proofErr w:type="gramEnd"/>
      <w:r>
        <w:rPr>
          <w:rFonts w:ascii="Arial" w:hAnsi="Arial" w:cs="Arial"/>
        </w:rPr>
        <w:t xml:space="preserve">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w:t>
      </w:r>
      <w:r w:rsidR="002C0818">
        <w:rPr>
          <w:rFonts w:ascii="Arial" w:hAnsi="Arial" w:cs="Arial"/>
        </w:rPr>
        <w:lastRenderedPageBreak/>
        <w:t xml:space="preserve">and develop </w:t>
      </w:r>
      <w:r w:rsidR="00BB32B7">
        <w:rPr>
          <w:rFonts w:ascii="Arial" w:hAnsi="Arial" w:cs="Arial"/>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ED6017" w:rsidRPr="00ED6017" w:rsidRDefault="00D11BB0" w:rsidP="00ED6017">
      <w:pPr>
        <w:widowControl w:val="0"/>
        <w:autoSpaceDE w:val="0"/>
        <w:autoSpaceDN w:val="0"/>
        <w:adjustRightInd w:val="0"/>
        <w:spacing w:after="140"/>
        <w:ind w:left="640" w:hanging="640"/>
        <w:rPr>
          <w:rFonts w:ascii="Calibri" w:hAnsi="Calibri" w:cs="Times New Roman"/>
          <w:noProof/>
          <w:szCs w:val="24"/>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ED6017" w:rsidRPr="00ED6017">
        <w:rPr>
          <w:rFonts w:ascii="Calibri" w:hAnsi="Calibri" w:cs="Times New Roman"/>
          <w:noProof/>
          <w:szCs w:val="24"/>
        </w:rPr>
        <w:t>[1]</w:t>
      </w:r>
      <w:r w:rsidR="00ED6017" w:rsidRPr="00ED6017">
        <w:rPr>
          <w:rFonts w:ascii="Calibri" w:hAnsi="Calibri" w:cs="Times New Roman"/>
          <w:noProof/>
          <w:szCs w:val="24"/>
        </w:rPr>
        <w:tab/>
        <w:t xml:space="preserve">A. L. James, “Endoscopic Middle Ear Surgery in Children.,” </w:t>
      </w:r>
      <w:r w:rsidR="00ED6017" w:rsidRPr="00ED6017">
        <w:rPr>
          <w:rFonts w:ascii="Calibri" w:hAnsi="Calibri" w:cs="Times New Roman"/>
          <w:i/>
          <w:iCs/>
          <w:noProof/>
          <w:szCs w:val="24"/>
        </w:rPr>
        <w:t>Otolaryngol. Clin. North Am.</w:t>
      </w:r>
      <w:r w:rsidR="00ED6017" w:rsidRPr="00ED6017">
        <w:rPr>
          <w:rFonts w:ascii="Calibri" w:hAnsi="Calibri" w:cs="Times New Roman"/>
          <w:noProof/>
          <w:szCs w:val="24"/>
        </w:rPr>
        <w:t>, vol. 46, no. 2, pp. 233–44, Apr. 2013.</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w:t>
      </w:r>
      <w:r w:rsidRPr="00ED6017">
        <w:rPr>
          <w:rFonts w:ascii="Calibri" w:hAnsi="Calibri" w:cs="Times New Roman"/>
          <w:noProof/>
          <w:szCs w:val="24"/>
        </w:rPr>
        <w:tab/>
        <w:t xml:space="preserve">M. Tarabichi, “Endoscopic Middle Ear Surgery,” </w:t>
      </w:r>
      <w:r w:rsidRPr="00ED6017">
        <w:rPr>
          <w:rFonts w:ascii="Calibri" w:hAnsi="Calibri" w:cs="Times New Roman"/>
          <w:i/>
          <w:iCs/>
          <w:noProof/>
          <w:szCs w:val="24"/>
        </w:rPr>
        <w:t>Ann. Otol. Rhinol. Laryngol.</w:t>
      </w:r>
      <w:r w:rsidRPr="00ED6017">
        <w:rPr>
          <w:rFonts w:ascii="Calibri" w:hAnsi="Calibri" w:cs="Times New Roman"/>
          <w:noProof/>
          <w:szCs w:val="24"/>
        </w:rPr>
        <w:t>, vol. 108, no. 1, pp. 39–46, 1999.</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[3]</w:t>
      </w:r>
      <w:r w:rsidRPr="00ED6017">
        <w:rPr>
          <w:rFonts w:ascii="Calibri" w:hAnsi="Calibri" w:cs="Times New Roman"/>
          <w:noProof/>
          <w:szCs w:val="24"/>
        </w:rPr>
        <w:tab/>
        <w:t xml:space="preserve">M. Yong, T. Mijovic, and J. Lea, “Endoscopic ear surgery in Canada : a cross-sectional study,” </w:t>
      </w:r>
      <w:r w:rsidRPr="00ED6017">
        <w:rPr>
          <w:rFonts w:ascii="Calibri" w:hAnsi="Calibri" w:cs="Times New Roman"/>
          <w:i/>
          <w:iCs/>
          <w:noProof/>
          <w:szCs w:val="24"/>
        </w:rPr>
        <w:t>J. Otolaryngol. - Head Neck Surg.</w:t>
      </w:r>
      <w:r w:rsidRPr="00ED6017">
        <w:rPr>
          <w:rFonts w:ascii="Calibri" w:hAnsi="Calibri" w:cs="Times New Roman"/>
          <w:noProof/>
          <w:szCs w:val="24"/>
        </w:rPr>
        <w:t>, pp. 1–8,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[4]</w:t>
      </w:r>
      <w:r w:rsidRPr="00ED6017">
        <w:rPr>
          <w:rFonts w:ascii="Calibri" w:hAnsi="Calibri" w:cs="Times New Roman"/>
          <w:noProof/>
          <w:szCs w:val="24"/>
        </w:rPr>
        <w:tab/>
        <w:t xml:space="preserve">M. Tarabichi, “Endoscopic management of limited attic cholesteatoma.,” </w:t>
      </w:r>
      <w:r w:rsidRPr="00ED6017">
        <w:rPr>
          <w:rFonts w:ascii="Calibri" w:hAnsi="Calibri" w:cs="Times New Roman"/>
          <w:i/>
          <w:iCs/>
          <w:noProof/>
          <w:szCs w:val="24"/>
        </w:rPr>
        <w:t>Laryngoscope</w:t>
      </w:r>
      <w:r w:rsidRPr="00ED6017">
        <w:rPr>
          <w:rFonts w:ascii="Calibri" w:hAnsi="Calibri" w:cs="Times New Roman"/>
          <w:noProof/>
          <w:szCs w:val="24"/>
        </w:rPr>
        <w:t>, vol. 114, no. 7, pp. 1157–1162, 2004.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[5]</w:t>
      </w:r>
      <w:r w:rsidRPr="00ED6017">
        <w:rPr>
          <w:rFonts w:ascii="Calibri" w:hAnsi="Calibri" w:cs="Times New Roman"/>
          <w:noProof/>
          <w:szCs w:val="24"/>
        </w:rPr>
        <w:tab/>
        <w:t>Ã. A. L. James, Ã. S. Cushing, and Ã. B. C. Papsin, “Residual Cholesteatoma After Endoscope-guided Surgery in Children,” pp. 196–201,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[6]</w:t>
      </w:r>
      <w:r w:rsidRPr="00ED6017">
        <w:rPr>
          <w:rFonts w:ascii="Calibri" w:hAnsi="Calibri" w:cs="Times New Roman"/>
          <w:noProof/>
          <w:szCs w:val="24"/>
        </w:rPr>
        <w:tab/>
        <w:t xml:space="preserve">B. M. Hanna </w:t>
      </w:r>
      <w:r w:rsidRPr="00ED6017">
        <w:rPr>
          <w:rFonts w:ascii="Calibri" w:hAnsi="Calibri" w:cs="Times New Roman"/>
          <w:i/>
          <w:iCs/>
          <w:noProof/>
          <w:szCs w:val="24"/>
        </w:rPr>
        <w:t>et al.</w:t>
      </w:r>
      <w:r w:rsidRPr="00ED6017">
        <w:rPr>
          <w:rFonts w:ascii="Calibri" w:hAnsi="Calibri" w:cs="Times New Roman"/>
          <w:noProof/>
          <w:szCs w:val="24"/>
        </w:rPr>
        <w:t xml:space="preserve">, “Minimally invasive functional approach for cholesteatoma surgery,” </w:t>
      </w:r>
      <w:r w:rsidRPr="00ED6017">
        <w:rPr>
          <w:rFonts w:ascii="Calibri" w:hAnsi="Calibri" w:cs="Times New Roman"/>
          <w:i/>
          <w:iCs/>
          <w:noProof/>
          <w:szCs w:val="24"/>
        </w:rPr>
        <w:t>Laryngoscope</w:t>
      </w:r>
      <w:r w:rsidRPr="00ED6017">
        <w:rPr>
          <w:rFonts w:ascii="Calibri" w:hAnsi="Calibri" w:cs="Times New Roman"/>
          <w:noProof/>
          <w:szCs w:val="24"/>
        </w:rPr>
        <w:t>, vol. 124, no. 10, pp. 2386–2392, 2014.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[7]</w:t>
      </w:r>
      <w:r w:rsidRPr="00ED6017">
        <w:rPr>
          <w:rFonts w:ascii="Calibri" w:hAnsi="Calibri" w:cs="Times New Roman"/>
          <w:noProof/>
          <w:szCs w:val="24"/>
        </w:rPr>
        <w:tab/>
        <w:t xml:space="preserve">S. C. Prasad, A. Giannuzzi, E. A. Nahleh, G. De Donato, A. Russo, and M. Sanna, “Is endoscopic ear surgery an alternative to the modified Bondy technique for limited epitympanic cholesteatoma?,” </w:t>
      </w:r>
      <w:r w:rsidRPr="00ED6017">
        <w:rPr>
          <w:rFonts w:ascii="Calibri" w:hAnsi="Calibri" w:cs="Times New Roman"/>
          <w:i/>
          <w:iCs/>
          <w:noProof/>
          <w:szCs w:val="24"/>
        </w:rPr>
        <w:t>Eur. Arch. Oto-Rhino-Laryngology</w:t>
      </w:r>
      <w:r w:rsidRPr="00ED6017">
        <w:rPr>
          <w:rFonts w:ascii="Calibri" w:hAnsi="Calibri" w:cs="Times New Roman"/>
          <w:noProof/>
          <w:szCs w:val="24"/>
        </w:rPr>
        <w:t>, vol. 273, no. 9, pp. 2533–2540,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[8]</w:t>
      </w:r>
      <w:r w:rsidRPr="00ED6017">
        <w:rPr>
          <w:rFonts w:ascii="Calibri" w:hAnsi="Calibri" w:cs="Times New Roman"/>
          <w:noProof/>
          <w:szCs w:val="24"/>
        </w:rPr>
        <w:tab/>
        <w:t xml:space="preserve">M. S. Cohen, L. D. Landegger, E. D. Kozin, and D. J. Lee, “Pediatric endoscopic ear surgery in clinical practice: Lessons learned and early outcomes,” </w:t>
      </w:r>
      <w:r w:rsidRPr="00ED6017">
        <w:rPr>
          <w:rFonts w:ascii="Calibri" w:hAnsi="Calibri" w:cs="Times New Roman"/>
          <w:i/>
          <w:iCs/>
          <w:noProof/>
          <w:szCs w:val="24"/>
        </w:rPr>
        <w:t>Laryngoscope</w:t>
      </w:r>
      <w:r w:rsidRPr="00ED6017">
        <w:rPr>
          <w:rFonts w:ascii="Calibri" w:hAnsi="Calibri" w:cs="Times New Roman"/>
          <w:noProof/>
          <w:szCs w:val="24"/>
        </w:rPr>
        <w:t>, p. n/a-n/a,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[9]</w:t>
      </w:r>
      <w:r w:rsidRPr="00ED6017">
        <w:rPr>
          <w:rFonts w:ascii="Calibri" w:hAnsi="Calibri" w:cs="Times New Roman"/>
          <w:noProof/>
          <w:szCs w:val="24"/>
        </w:rPr>
        <w:tab/>
        <w:t>M. Badr-el-dine, D. Marchioni, L. Presutti, and J. Flávio, “I n s t r u m e n t a t i o n a n d Tec h n o l o g i e s in E ndos c o p i c Ear Su r ge ry,” vol. 46, p. 6665, 2013.</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[10]</w:t>
      </w:r>
      <w:r w:rsidRPr="00ED6017">
        <w:rPr>
          <w:rFonts w:ascii="Calibri" w:hAnsi="Calibri" w:cs="Times New Roman"/>
          <w:noProof/>
          <w:szCs w:val="24"/>
        </w:rPr>
        <w:tab/>
        <w:t xml:space="preserve">M. Badr-el-dine, “Instrumentation and Technologies in Endoscopic Ear Surgery,” </w:t>
      </w:r>
      <w:r w:rsidRPr="00ED6017">
        <w:rPr>
          <w:rFonts w:ascii="Calibri" w:hAnsi="Calibri" w:cs="Times New Roman"/>
          <w:i/>
          <w:iCs/>
          <w:noProof/>
          <w:szCs w:val="24"/>
        </w:rPr>
        <w:t>Otolaryngol. Clin. NA</w:t>
      </w:r>
      <w:r w:rsidRPr="00ED6017">
        <w:rPr>
          <w:rFonts w:ascii="Calibri" w:hAnsi="Calibri" w:cs="Times New Roman"/>
          <w:noProof/>
          <w:szCs w:val="24"/>
        </w:rPr>
        <w:t>, vol. 46, no. 2, pp. 211–225, 2013.</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[11]</w:t>
      </w:r>
      <w:r w:rsidRPr="00ED6017">
        <w:rPr>
          <w:rFonts w:ascii="Calibri" w:hAnsi="Calibri" w:cs="Times New Roman"/>
          <w:noProof/>
          <w:szCs w:val="24"/>
        </w:rPr>
        <w:tab/>
        <w:t xml:space="preserve">T. Furukawa, T. Watanabe, T. Ito, T. Kubota, and S. Kakehata, “Feasibility and advantages of transcanal endoscopic myringoplasty.,” </w:t>
      </w:r>
      <w:r w:rsidRPr="00ED6017">
        <w:rPr>
          <w:rFonts w:ascii="Calibri" w:hAnsi="Calibri" w:cs="Times New Roman"/>
          <w:i/>
          <w:iCs/>
          <w:noProof/>
          <w:szCs w:val="24"/>
        </w:rPr>
        <w:t>Otol. Neurotol.</w:t>
      </w:r>
      <w:r w:rsidRPr="00ED6017">
        <w:rPr>
          <w:rFonts w:ascii="Calibri" w:hAnsi="Calibri" w:cs="Times New Roman"/>
          <w:noProof/>
          <w:szCs w:val="24"/>
        </w:rPr>
        <w:t>, vol. 35, no. 4, pp. e140-5, 2014.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[12]</w:t>
      </w:r>
      <w:r w:rsidRPr="00ED6017">
        <w:rPr>
          <w:rFonts w:ascii="Calibri" w:hAnsi="Calibri" w:cs="Times New Roman"/>
          <w:noProof/>
          <w:szCs w:val="24"/>
        </w:rPr>
        <w:tab/>
        <w:t xml:space="preserve">M. L. Bennett, D. Zhang, R. F. Labadie, and J. H. Noble, “Comparison of Middle Ear Visualization With Endoscopy and Microscopy,” </w:t>
      </w:r>
      <w:r w:rsidRPr="00ED6017">
        <w:rPr>
          <w:rFonts w:ascii="Calibri" w:hAnsi="Calibri" w:cs="Times New Roman"/>
          <w:i/>
          <w:iCs/>
          <w:noProof/>
          <w:szCs w:val="24"/>
        </w:rPr>
        <w:t>Otol. Neurotol.</w:t>
      </w:r>
      <w:r w:rsidRPr="00ED6017">
        <w:rPr>
          <w:rFonts w:ascii="Calibri" w:hAnsi="Calibri" w:cs="Times New Roman"/>
          <w:noProof/>
          <w:szCs w:val="24"/>
        </w:rPr>
        <w:t>, vol. 37, pp. 362–366,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[13]</w:t>
      </w:r>
      <w:r w:rsidRPr="00ED6017">
        <w:rPr>
          <w:rFonts w:ascii="Calibri" w:hAnsi="Calibri" w:cs="Times New Roman"/>
          <w:noProof/>
          <w:szCs w:val="24"/>
        </w:rPr>
        <w:tab/>
        <w:t xml:space="preserve">T. Ito, T. Kubota, T. Watanabe, K. Futai, T. Furukawa, and S. Kakehata, “Transcanal endoscopic ear surgery for pediatric population with a narrow external auditory canal,” </w:t>
      </w:r>
      <w:r w:rsidRPr="00ED6017">
        <w:rPr>
          <w:rFonts w:ascii="Calibri" w:hAnsi="Calibri" w:cs="Times New Roman"/>
          <w:i/>
          <w:iCs/>
          <w:noProof/>
          <w:szCs w:val="24"/>
        </w:rPr>
        <w:t>Int. J. Pediatr. Otorhinolaryngol.</w:t>
      </w:r>
      <w:r w:rsidRPr="00ED6017">
        <w:rPr>
          <w:rFonts w:ascii="Calibri" w:hAnsi="Calibri" w:cs="Times New Roman"/>
          <w:noProof/>
          <w:szCs w:val="24"/>
        </w:rPr>
        <w:t>, vol. 79, no. 12, pp. 2265–2269,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[14]</w:t>
      </w:r>
      <w:r w:rsidRPr="00ED6017">
        <w:rPr>
          <w:rFonts w:ascii="Calibri" w:hAnsi="Calibri" w:cs="Times New Roman"/>
          <w:noProof/>
          <w:szCs w:val="24"/>
        </w:rPr>
        <w:tab/>
        <w:t xml:space="preserve">M. A. Rube </w:t>
      </w:r>
      <w:r w:rsidRPr="00ED6017">
        <w:rPr>
          <w:rFonts w:ascii="Calibri" w:hAnsi="Calibri" w:cs="Times New Roman"/>
          <w:i/>
          <w:iCs/>
          <w:noProof/>
          <w:szCs w:val="24"/>
        </w:rPr>
        <w:t>et al.</w:t>
      </w:r>
      <w:r w:rsidRPr="00ED6017">
        <w:rPr>
          <w:rFonts w:ascii="Calibri" w:hAnsi="Calibri" w:cs="Times New Roman"/>
          <w:noProof/>
          <w:szCs w:val="24"/>
        </w:rPr>
        <w:t>, “HHS Public Access,” vol. 10, no. 5, pp. 637–650,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[15]</w:t>
      </w:r>
      <w:r w:rsidRPr="00ED6017">
        <w:rPr>
          <w:rFonts w:ascii="Calibri" w:hAnsi="Calibri" w:cs="Times New Roman"/>
          <w:noProof/>
          <w:szCs w:val="24"/>
        </w:rPr>
        <w:tab/>
        <w:t>K. C. Hsiao, Z. Machaidze, and J. G. Pattaras, “Time Management in the Operating Room : An Analysis of the Dedicated Minimally Invasive Surgery Suite,” pp. 300–303, 2004.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lastRenderedPageBreak/>
        <w:t>[16]</w:t>
      </w:r>
      <w:r w:rsidRPr="00ED6017">
        <w:rPr>
          <w:rFonts w:ascii="Calibri" w:hAnsi="Calibri" w:cs="Times New Roman"/>
          <w:noProof/>
          <w:szCs w:val="24"/>
        </w:rPr>
        <w:tab/>
        <w:t xml:space="preserve"> a D. Racine and  a G. Davidson, “Use of a time-flow study to improve patient waiting times at an inner-city academic pediatric practice,” </w:t>
      </w:r>
      <w:r w:rsidRPr="00ED6017">
        <w:rPr>
          <w:rFonts w:ascii="Calibri" w:hAnsi="Calibri" w:cs="Times New Roman"/>
          <w:i/>
          <w:iCs/>
          <w:noProof/>
          <w:szCs w:val="24"/>
        </w:rPr>
        <w:t>Arch Pediatr Adolesc Med</w:t>
      </w:r>
      <w:r w:rsidRPr="00ED6017">
        <w:rPr>
          <w:rFonts w:ascii="Calibri" w:hAnsi="Calibri" w:cs="Times New Roman"/>
          <w:noProof/>
          <w:szCs w:val="24"/>
        </w:rPr>
        <w:t>, vol. 156, no. 12, pp. 1203–1209, 2002.</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[17]</w:t>
      </w:r>
      <w:r w:rsidRPr="00ED6017">
        <w:rPr>
          <w:rFonts w:ascii="Calibri" w:hAnsi="Calibri" w:cs="Times New Roman"/>
          <w:noProof/>
          <w:szCs w:val="24"/>
        </w:rPr>
        <w:tab/>
        <w:t xml:space="preserve">H. J. Marcus </w:t>
      </w:r>
      <w:r w:rsidRPr="00ED6017">
        <w:rPr>
          <w:rFonts w:ascii="Calibri" w:hAnsi="Calibri" w:cs="Times New Roman"/>
          <w:i/>
          <w:iCs/>
          <w:noProof/>
          <w:szCs w:val="24"/>
        </w:rPr>
        <w:t>et al.</w:t>
      </w:r>
      <w:r w:rsidRPr="00ED6017">
        <w:rPr>
          <w:rFonts w:ascii="Calibri" w:hAnsi="Calibri" w:cs="Times New Roman"/>
          <w:noProof/>
          <w:szCs w:val="24"/>
        </w:rPr>
        <w:t>, “Europe PMC Funders Group Endoscopic and Keyhole Endoscope-assisted Neurosurgical Approaches : A Qualitative Survey on Technical Challenges and Technological Solutions,” vol. 28, no. 5, pp. 606–610,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[18]</w:t>
      </w:r>
      <w:r w:rsidRPr="00ED6017">
        <w:rPr>
          <w:rFonts w:ascii="Calibri" w:hAnsi="Calibri" w:cs="Times New Roman"/>
          <w:noProof/>
          <w:szCs w:val="24"/>
        </w:rPr>
        <w:tab/>
        <w:t xml:space="preserve">A. Gerritsen </w:t>
      </w:r>
      <w:r w:rsidRPr="00ED6017">
        <w:rPr>
          <w:rFonts w:ascii="Calibri" w:hAnsi="Calibri" w:cs="Times New Roman"/>
          <w:i/>
          <w:iCs/>
          <w:noProof/>
          <w:szCs w:val="24"/>
        </w:rPr>
        <w:t>et al.</w:t>
      </w:r>
      <w:r w:rsidRPr="00ED6017">
        <w:rPr>
          <w:rFonts w:ascii="Calibri" w:hAnsi="Calibri" w:cs="Times New Roman"/>
          <w:noProof/>
          <w:szCs w:val="24"/>
        </w:rPr>
        <w:t xml:space="preserve">, “Developing a core set of patient-reported outcomes in pancreatic cancer: A Delphi survey.,” </w:t>
      </w:r>
      <w:r w:rsidRPr="00ED6017">
        <w:rPr>
          <w:rFonts w:ascii="Calibri" w:hAnsi="Calibri" w:cs="Times New Roman"/>
          <w:i/>
          <w:iCs/>
          <w:noProof/>
          <w:szCs w:val="24"/>
        </w:rPr>
        <w:t>Eur. J. Cancer</w:t>
      </w:r>
      <w:r w:rsidRPr="00ED6017">
        <w:rPr>
          <w:rFonts w:ascii="Calibri" w:hAnsi="Calibri" w:cs="Times New Roman"/>
          <w:noProof/>
          <w:szCs w:val="24"/>
        </w:rPr>
        <w:t>, vol. 57, pp. 68–77, Apr.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[19]</w:t>
      </w:r>
      <w:r w:rsidRPr="00ED6017">
        <w:rPr>
          <w:rFonts w:ascii="Calibri" w:hAnsi="Calibri" w:cs="Times New Roman"/>
          <w:noProof/>
          <w:szCs w:val="24"/>
        </w:rPr>
        <w:tab/>
        <w:t xml:space="preserve">S. Y. Kosyakov, Y. V Minavnina, and E. V Pchelenok, “[The consensus view of the treatment of the retraction pockets of the tympanic membrane].,” </w:t>
      </w:r>
      <w:r w:rsidRPr="00ED6017">
        <w:rPr>
          <w:rFonts w:ascii="Calibri" w:hAnsi="Calibri" w:cs="Times New Roman"/>
          <w:i/>
          <w:iCs/>
          <w:noProof/>
          <w:szCs w:val="24"/>
        </w:rPr>
        <w:t>Vestn. Otorinolaringol.</w:t>
      </w:r>
      <w:r w:rsidRPr="00ED6017">
        <w:rPr>
          <w:rFonts w:ascii="Calibri" w:hAnsi="Calibri" w:cs="Times New Roman"/>
          <w:noProof/>
          <w:szCs w:val="24"/>
        </w:rPr>
        <w:t>, vol. 81, no. 1, pp. 78–83,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[20]</w:t>
      </w:r>
      <w:r w:rsidRPr="00ED6017">
        <w:rPr>
          <w:rFonts w:ascii="Calibri" w:hAnsi="Calibri" w:cs="Times New Roman"/>
          <w:noProof/>
          <w:szCs w:val="24"/>
        </w:rPr>
        <w:tab/>
        <w:t xml:space="preserve">M. Singer </w:t>
      </w:r>
      <w:r w:rsidRPr="00ED6017">
        <w:rPr>
          <w:rFonts w:ascii="Calibri" w:hAnsi="Calibri" w:cs="Times New Roman"/>
          <w:i/>
          <w:iCs/>
          <w:noProof/>
          <w:szCs w:val="24"/>
        </w:rPr>
        <w:t>et al.</w:t>
      </w:r>
      <w:r w:rsidRPr="00ED6017">
        <w:rPr>
          <w:rFonts w:ascii="Calibri" w:hAnsi="Calibri" w:cs="Times New Roman"/>
          <w:noProof/>
          <w:szCs w:val="24"/>
        </w:rPr>
        <w:t xml:space="preserve">, “The Third International Consensus Definitions for Sepsis and Septic Shock (Sepsis-3).,” </w:t>
      </w:r>
      <w:r w:rsidRPr="00ED6017">
        <w:rPr>
          <w:rFonts w:ascii="Calibri" w:hAnsi="Calibri" w:cs="Times New Roman"/>
          <w:i/>
          <w:iCs/>
          <w:noProof/>
          <w:szCs w:val="24"/>
        </w:rPr>
        <w:t>JAMA</w:t>
      </w:r>
      <w:r w:rsidRPr="00ED6017">
        <w:rPr>
          <w:rFonts w:ascii="Calibri" w:hAnsi="Calibri" w:cs="Times New Roman"/>
          <w:noProof/>
          <w:szCs w:val="24"/>
        </w:rPr>
        <w:t>, vol. 315, no. 8, pp. 801–10, Feb.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[21]</w:t>
      </w:r>
      <w:r w:rsidRPr="00ED6017">
        <w:rPr>
          <w:rFonts w:ascii="Calibri" w:hAnsi="Calibri" w:cs="Times New Roman"/>
          <w:noProof/>
          <w:szCs w:val="24"/>
        </w:rPr>
        <w:tab/>
        <w:t xml:space="preserve">A. Celenza and I. R. Rogers, “Comparison of visual analogue and Likert scales in evaluation of an emergency department bedside teaching programme,” </w:t>
      </w:r>
      <w:r w:rsidRPr="00ED6017">
        <w:rPr>
          <w:rFonts w:ascii="Calibri" w:hAnsi="Calibri" w:cs="Times New Roman"/>
          <w:i/>
          <w:iCs/>
          <w:noProof/>
          <w:szCs w:val="24"/>
        </w:rPr>
        <w:t>EMA - Emerg. Med. Australas.</w:t>
      </w:r>
      <w:r w:rsidRPr="00ED6017">
        <w:rPr>
          <w:rFonts w:ascii="Calibri" w:hAnsi="Calibri" w:cs="Times New Roman"/>
          <w:noProof/>
          <w:szCs w:val="24"/>
        </w:rPr>
        <w:t>, vol. 23, no. 1, pp. 68–75, 2011.</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[22]</w:t>
      </w:r>
      <w:r w:rsidRPr="00ED6017">
        <w:rPr>
          <w:rFonts w:ascii="Calibri" w:hAnsi="Calibri" w:cs="Times New Roman"/>
          <w:noProof/>
          <w:szCs w:val="24"/>
        </w:rPr>
        <w:tab/>
        <w:t xml:space="preserve">D. M. Marsh-richard, E. S. Hatzis, C. W. Mathias, N. Venditti, D. M. Dougherty, and W. Forest, “Adaptive Visual Analog Scales (AVAS): A Modifiable Software Program for the Creation, Administration, and Scoring of Visual Analog Scales,” </w:t>
      </w:r>
      <w:r w:rsidRPr="00ED6017">
        <w:rPr>
          <w:rFonts w:ascii="Calibri" w:hAnsi="Calibri" w:cs="Times New Roman"/>
          <w:i/>
          <w:iCs/>
          <w:noProof/>
          <w:szCs w:val="24"/>
        </w:rPr>
        <w:t>Heal. (San Fr.</w:t>
      </w:r>
      <w:r w:rsidRPr="00ED6017">
        <w:rPr>
          <w:rFonts w:ascii="Calibri" w:hAnsi="Calibri" w:cs="Times New Roman"/>
          <w:noProof/>
          <w:szCs w:val="24"/>
        </w:rPr>
        <w:t>, vol. 41, no. 1, pp. 99–106, 2009.</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[23]</w:t>
      </w:r>
      <w:r w:rsidRPr="00ED6017">
        <w:rPr>
          <w:rFonts w:ascii="Calibri" w:hAnsi="Calibri" w:cs="Times New Roman"/>
          <w:noProof/>
          <w:szCs w:val="24"/>
        </w:rPr>
        <w:tab/>
        <w:t xml:space="preserve">A. L. James, “E n d o s c o p i c Mi d d l e E a r S u r g e r y in C h i l d ren,” </w:t>
      </w:r>
      <w:r w:rsidRPr="00ED6017">
        <w:rPr>
          <w:rFonts w:ascii="Calibri" w:hAnsi="Calibri" w:cs="Times New Roman"/>
          <w:i/>
          <w:iCs/>
          <w:noProof/>
          <w:szCs w:val="24"/>
        </w:rPr>
        <w:t>Otolaryngol. Clin. NA</w:t>
      </w:r>
      <w:r w:rsidRPr="00ED6017">
        <w:rPr>
          <w:rFonts w:ascii="Calibri" w:hAnsi="Calibri" w:cs="Times New Roman"/>
          <w:noProof/>
          <w:szCs w:val="24"/>
        </w:rPr>
        <w:t>, no. November, 2012.</w:t>
      </w:r>
    </w:p>
    <w:p w:rsidR="00ED6017" w:rsidRPr="00ED6017" w:rsidRDefault="00ED6017" w:rsidP="00ED6017">
      <w:pPr>
        <w:widowControl w:val="0"/>
        <w:autoSpaceDE w:val="0"/>
        <w:autoSpaceDN w:val="0"/>
        <w:adjustRightInd w:val="0"/>
        <w:spacing w:after="140"/>
        <w:ind w:left="640" w:hanging="640"/>
        <w:rPr>
          <w:rFonts w:ascii="Calibri" w:hAnsi="Calibri"/>
          <w:noProof/>
        </w:rPr>
      </w:pPr>
      <w:r w:rsidRPr="00ED6017">
        <w:rPr>
          <w:rFonts w:ascii="Calibri" w:hAnsi="Calibri" w:cs="Times New Roman"/>
          <w:noProof/>
          <w:szCs w:val="24"/>
        </w:rPr>
        <w:t>[24]</w:t>
      </w:r>
      <w:r w:rsidRPr="00ED6017">
        <w:rPr>
          <w:rFonts w:ascii="Calibri" w:hAnsi="Calibri" w:cs="Times New Roman"/>
          <w:noProof/>
          <w:szCs w:val="24"/>
        </w:rPr>
        <w:tab/>
        <w:t xml:space="preserve">A. L. James, B. C. Papsin, and B. C. Papsin, “Ten Top Considerations in Pediatric Tympanoplasty,” </w:t>
      </w:r>
      <w:r w:rsidRPr="00ED6017">
        <w:rPr>
          <w:rFonts w:ascii="Calibri" w:hAnsi="Calibri" w:cs="Times New Roman"/>
          <w:i/>
          <w:iCs/>
          <w:noProof/>
          <w:szCs w:val="24"/>
        </w:rPr>
        <w:t>Am. Acad. Otolaryngol. - Head Neck Surg.</w:t>
      </w:r>
      <w:r w:rsidRPr="00ED6017">
        <w:rPr>
          <w:rFonts w:ascii="Calibri" w:hAnsi="Calibri" w:cs="Times New Roman"/>
          <w:noProof/>
          <w:szCs w:val="24"/>
        </w:rPr>
        <w:t>, no. September, pp. 992–998, 2012.</w:t>
      </w:r>
    </w:p>
    <w:p w:rsidR="00765F73" w:rsidRDefault="00D11BB0" w:rsidP="00ED6017">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D11BB0" w:rsidRPr="00FD3A3E">
        <w:rPr>
          <w:rFonts w:cs="Times New Roman"/>
          <w:lang w:val="en-CA"/>
        </w:rPr>
        <w:fldChar w:fldCharType="begin" w:fldLock="1"/>
      </w:r>
      <w:r w:rsidR="00ED6017">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"[23]", "plainTextFormattedCitation" : "[23]", "previouslyFormattedCitation" : "[17]" }, "properties" : { "noteIndex" : 0 }, "schema" : "https://github.com/citation-style-language/schema/raw/master/csl-citation.json" }</w:instrText>
      </w:r>
      <w:r w:rsidR="00D11BB0" w:rsidRPr="00FD3A3E">
        <w:rPr>
          <w:rFonts w:cs="Times New Roman"/>
          <w:lang w:val="en-CA"/>
        </w:rPr>
        <w:fldChar w:fldCharType="separate"/>
      </w:r>
      <w:r w:rsidR="00ED6017" w:rsidRPr="00ED6017">
        <w:rPr>
          <w:rFonts w:cs="Times New Roman"/>
          <w:noProof/>
          <w:lang w:val="en-CA"/>
        </w:rPr>
        <w:t>[23]</w:t>
      </w:r>
      <w:r w:rsidR="00D11BB0"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lastRenderedPageBreak/>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D11BB0" w:rsidRPr="00FD3A3E">
        <w:rPr>
          <w:rFonts w:cs="Times New Roman"/>
          <w:lang w:val="en-CA"/>
        </w:rPr>
        <w:fldChar w:fldCharType="begin" w:fldLock="1"/>
      </w:r>
      <w:r w:rsidR="00ED6017">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"[24]", "plainTextFormattedCitation" : "[24]", "previouslyFormattedCitation" : "[18]" }, "properties" : { "noteIndex" : 0 }, "schema" : "https://github.com/citation-style-language/schema/raw/master/csl-citation.json" }</w:instrText>
      </w:r>
      <w:r w:rsidR="00D11BB0" w:rsidRPr="00FD3A3E">
        <w:rPr>
          <w:rFonts w:cs="Times New Roman"/>
          <w:lang w:val="en-CA"/>
        </w:rPr>
        <w:fldChar w:fldCharType="separate"/>
      </w:r>
      <w:r w:rsidR="00ED6017" w:rsidRPr="00ED6017">
        <w:rPr>
          <w:rFonts w:cs="Times New Roman"/>
          <w:noProof/>
          <w:lang w:val="en-CA"/>
        </w:rPr>
        <w:t>[24]</w:t>
      </w:r>
      <w:r w:rsidR="00D11BB0"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1-11T16:05:00Z" w:initials="AS">
    <w:p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A0A0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90C" w:rsidRDefault="00C7490C" w:rsidP="00E71D6E">
      <w:r>
        <w:separator/>
      </w:r>
    </w:p>
  </w:endnote>
  <w:endnote w:type="continuationSeparator" w:id="0">
    <w:p w:rsidR="00C7490C" w:rsidRDefault="00C7490C"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90C" w:rsidRDefault="00C7490C" w:rsidP="00E71D6E">
      <w:r>
        <w:separator/>
      </w:r>
    </w:p>
  </w:footnote>
  <w:footnote w:type="continuationSeparator" w:id="0">
    <w:p w:rsidR="00C7490C" w:rsidRDefault="00C7490C"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C7A9F"/>
    <w:multiLevelType w:val="hybridMultilevel"/>
    <w:tmpl w:val="D18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D2306"/>
    <w:multiLevelType w:val="hybridMultilevel"/>
    <w:tmpl w:val="7650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1"/>
  </w:num>
  <w:num w:numId="4">
    <w:abstractNumId w:val="7"/>
  </w:num>
  <w:num w:numId="5">
    <w:abstractNumId w:val="13"/>
  </w:num>
  <w:num w:numId="6">
    <w:abstractNumId w:val="22"/>
  </w:num>
  <w:num w:numId="7">
    <w:abstractNumId w:val="5"/>
  </w:num>
  <w:num w:numId="8">
    <w:abstractNumId w:val="19"/>
  </w:num>
  <w:num w:numId="9">
    <w:abstractNumId w:val="4"/>
  </w:num>
  <w:num w:numId="10">
    <w:abstractNumId w:val="9"/>
  </w:num>
  <w:num w:numId="11">
    <w:abstractNumId w:val="20"/>
  </w:num>
  <w:num w:numId="12">
    <w:abstractNumId w:val="18"/>
  </w:num>
  <w:num w:numId="13">
    <w:abstractNumId w:val="14"/>
  </w:num>
  <w:num w:numId="14">
    <w:abstractNumId w:val="3"/>
  </w:num>
  <w:num w:numId="15">
    <w:abstractNumId w:val="0"/>
  </w:num>
  <w:num w:numId="16">
    <w:abstractNumId w:val="15"/>
  </w:num>
  <w:num w:numId="17">
    <w:abstractNumId w:val="2"/>
  </w:num>
  <w:num w:numId="18">
    <w:abstractNumId w:val="8"/>
  </w:num>
  <w:num w:numId="19">
    <w:abstractNumId w:val="10"/>
  </w:num>
  <w:num w:numId="20">
    <w:abstractNumId w:val="17"/>
  </w:num>
  <w:num w:numId="21">
    <w:abstractNumId w:val="1"/>
  </w:num>
  <w:num w:numId="22">
    <w:abstractNumId w:val="11"/>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0F280D"/>
    <w:rsid w:val="0000007E"/>
    <w:rsid w:val="00005C86"/>
    <w:rsid w:val="00007381"/>
    <w:rsid w:val="00013531"/>
    <w:rsid w:val="00022D86"/>
    <w:rsid w:val="00061546"/>
    <w:rsid w:val="00085EAC"/>
    <w:rsid w:val="0008705A"/>
    <w:rsid w:val="0009512C"/>
    <w:rsid w:val="00096F9A"/>
    <w:rsid w:val="000A0030"/>
    <w:rsid w:val="000B7DC0"/>
    <w:rsid w:val="000E46CA"/>
    <w:rsid w:val="000F23B9"/>
    <w:rsid w:val="000F280D"/>
    <w:rsid w:val="00123CB4"/>
    <w:rsid w:val="0015289A"/>
    <w:rsid w:val="00176F0B"/>
    <w:rsid w:val="001870F4"/>
    <w:rsid w:val="00191A8F"/>
    <w:rsid w:val="0019796B"/>
    <w:rsid w:val="001A0154"/>
    <w:rsid w:val="001A4AE4"/>
    <w:rsid w:val="001C1934"/>
    <w:rsid w:val="001D44F6"/>
    <w:rsid w:val="002056F0"/>
    <w:rsid w:val="00212971"/>
    <w:rsid w:val="002229FF"/>
    <w:rsid w:val="00223CD5"/>
    <w:rsid w:val="002316D3"/>
    <w:rsid w:val="002651B0"/>
    <w:rsid w:val="002731D2"/>
    <w:rsid w:val="00273C85"/>
    <w:rsid w:val="0029170C"/>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D75DD"/>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1202"/>
    <w:rsid w:val="007C53AB"/>
    <w:rsid w:val="007C58EF"/>
    <w:rsid w:val="007F1CCA"/>
    <w:rsid w:val="0080004F"/>
    <w:rsid w:val="0082571A"/>
    <w:rsid w:val="008500B0"/>
    <w:rsid w:val="008570B3"/>
    <w:rsid w:val="0088725F"/>
    <w:rsid w:val="008949B0"/>
    <w:rsid w:val="008A29BA"/>
    <w:rsid w:val="008D4245"/>
    <w:rsid w:val="008D470F"/>
    <w:rsid w:val="009053ED"/>
    <w:rsid w:val="00923946"/>
    <w:rsid w:val="00923D43"/>
    <w:rsid w:val="009407D0"/>
    <w:rsid w:val="00953DA5"/>
    <w:rsid w:val="00971F6E"/>
    <w:rsid w:val="0097282E"/>
    <w:rsid w:val="00996213"/>
    <w:rsid w:val="009A412E"/>
    <w:rsid w:val="009B47F9"/>
    <w:rsid w:val="009D1441"/>
    <w:rsid w:val="009D6C2A"/>
    <w:rsid w:val="009F18E8"/>
    <w:rsid w:val="00A2246A"/>
    <w:rsid w:val="00A563B8"/>
    <w:rsid w:val="00A86E74"/>
    <w:rsid w:val="00AA3475"/>
    <w:rsid w:val="00AB5D37"/>
    <w:rsid w:val="00AB674B"/>
    <w:rsid w:val="00AC1CBF"/>
    <w:rsid w:val="00AE6BFC"/>
    <w:rsid w:val="00B135DE"/>
    <w:rsid w:val="00B437E2"/>
    <w:rsid w:val="00B65BDE"/>
    <w:rsid w:val="00B67405"/>
    <w:rsid w:val="00BB32B7"/>
    <w:rsid w:val="00BE09C8"/>
    <w:rsid w:val="00BF4EA9"/>
    <w:rsid w:val="00BF5837"/>
    <w:rsid w:val="00C054B9"/>
    <w:rsid w:val="00C0592A"/>
    <w:rsid w:val="00C07E73"/>
    <w:rsid w:val="00C61AFB"/>
    <w:rsid w:val="00C6735E"/>
    <w:rsid w:val="00C7490C"/>
    <w:rsid w:val="00CA6971"/>
    <w:rsid w:val="00CB1821"/>
    <w:rsid w:val="00CB6EF7"/>
    <w:rsid w:val="00CF7CE0"/>
    <w:rsid w:val="00D016B6"/>
    <w:rsid w:val="00D108CA"/>
    <w:rsid w:val="00D11BB0"/>
    <w:rsid w:val="00D25401"/>
    <w:rsid w:val="00D328A1"/>
    <w:rsid w:val="00D52B15"/>
    <w:rsid w:val="00D76BF8"/>
    <w:rsid w:val="00DA345D"/>
    <w:rsid w:val="00DA6183"/>
    <w:rsid w:val="00DA788E"/>
    <w:rsid w:val="00DD3675"/>
    <w:rsid w:val="00E0333C"/>
    <w:rsid w:val="00E07AAB"/>
    <w:rsid w:val="00E13A27"/>
    <w:rsid w:val="00E176B0"/>
    <w:rsid w:val="00E207AD"/>
    <w:rsid w:val="00E24AA2"/>
    <w:rsid w:val="00E417C3"/>
    <w:rsid w:val="00E556C7"/>
    <w:rsid w:val="00E717B8"/>
    <w:rsid w:val="00E71D6E"/>
    <w:rsid w:val="00E73B82"/>
    <w:rsid w:val="00EC136C"/>
    <w:rsid w:val="00ED6017"/>
    <w:rsid w:val="00EE1BBE"/>
    <w:rsid w:val="00F23988"/>
    <w:rsid w:val="00F43E32"/>
    <w:rsid w:val="00F61828"/>
    <w:rsid w:val="00FD3A3E"/>
    <w:rsid w:val="00FE5388"/>
    <w:rsid w:val="00FF451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r.iq.harvard.edu/files/psr/files/PSRQuestionnaireTipSheet_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tistik.tuwien.ac.at/forschung/SM/SM-2009-4complete.pdf"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ex.edu/ces/4h/evaluation/documents/Wordingforratingscal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sr.iq.harvard.edu/files/psr/files/PSRQuestionnaireTipSheet_0.pdf" TargetMode="External"/><Relationship Id="rId4" Type="http://schemas.openxmlformats.org/officeDocument/2006/relationships/settings" Target="settings.xml"/><Relationship Id="rId9" Type="http://schemas.openxmlformats.org/officeDocument/2006/relationships/hyperlink" Target="http://www.statistik.tuwien.ac.at/forschung/SM/SM-2009-4complete.pdf" TargetMode="External"/><Relationship Id="rId14" Type="http://schemas.openxmlformats.org/officeDocument/2006/relationships/hyperlink" Target="http://www.uwex.edu/ces/4h/evaluation/documents/Wordingforratingsca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22F10-0A94-46C4-BD47-0D216A00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13</Pages>
  <Words>15985</Words>
  <Characters>91121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55</cp:revision>
  <dcterms:created xsi:type="dcterms:W3CDTF">2016-09-26T15:13:00Z</dcterms:created>
  <dcterms:modified xsi:type="dcterms:W3CDTF">2017-06-06T19:04:00Z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