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064C29" w:rsidP="00752119">
      <w:pPr>
        <w:pStyle w:val="ListParagraph"/>
        <w:numPr>
          <w:ilvl w:val="0"/>
          <w:numId w:val="1"/>
        </w:numPr>
      </w:pPr>
      <w:hyperlink r:id="rId6" w:history="1">
        <w:r w:rsidR="00752119" w:rsidRPr="00752119">
          <w:rPr>
            <w:rStyle w:val="Hyperlink"/>
          </w:rPr>
          <w:t>Journal of Otolaryngology - Head &amp; Neck Surgery</w:t>
        </w:r>
      </w:hyperlink>
    </w:p>
    <w:p w:rsidR="00752119" w:rsidRPr="00752119" w:rsidRDefault="00752119" w:rsidP="00752119">
      <w:pPr>
        <w:pStyle w:val="ListParagraph"/>
        <w:numPr>
          <w:ilvl w:val="0"/>
          <w:numId w:val="1"/>
        </w:numPr>
      </w:pPr>
      <w:r>
        <w:rPr>
          <w:lang w:val="en-CA"/>
        </w:rPr>
        <w:t>Otolaryngologic Clinics</w:t>
      </w:r>
    </w:p>
    <w:p w:rsidR="00752119" w:rsidRDefault="00752119" w:rsidP="00752119"/>
    <w:p w:rsidR="00752119" w:rsidRDefault="00752119" w:rsidP="00752119">
      <w:r>
        <w:t>Using outline of “Endoscopic ear surgery in Canada:a cross-sectional study” by Jane Lea published in Journal of Otolaryngology – Head &amp; Neck Surgery</w:t>
      </w:r>
    </w:p>
    <w:p w:rsidR="00752119" w:rsidRDefault="00752119" w:rsidP="00752119"/>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752119" w:rsidRDefault="00752119" w:rsidP="00752119"/>
    <w:p w:rsidR="00752119" w:rsidRDefault="00752119" w:rsidP="00752119">
      <w:pPr>
        <w:pStyle w:val="Heading2"/>
      </w:pPr>
      <w:r>
        <w:t xml:space="preserve">Methods: </w:t>
      </w:r>
    </w:p>
    <w:p w:rsidR="00B55125" w:rsidRDefault="00B55125" w:rsidP="00B55125">
      <w:pPr>
        <w:pStyle w:val="ListParagraph"/>
        <w:numPr>
          <w:ilvl w:val="0"/>
          <w:numId w:val="15"/>
        </w:numPr>
        <w:rPr>
          <w:lang w:val="en-CA"/>
        </w:rPr>
      </w:pPr>
      <w:r w:rsidRPr="00B55125">
        <w:rPr>
          <w:lang w:val="en-CA"/>
        </w:rPr>
        <w:t xml:space="preserve">The Canadian otologists’ EES survey has reported that 11% of otologists in Canada use TEES for cholesteatoma, tympanoplasty, ossicular reconstruction surgeries and they find the following factors difficult about TEES: single-handed surgery, efficiency/operative time, technical difficulty, cost, managing bleeding </w:t>
      </w:r>
      <w:r w:rsidRPr="00B55125">
        <w:rPr>
          <w:lang w:val="en-CA"/>
        </w:rPr>
        <w:fldChar w:fldCharType="begin" w:fldLock="1"/>
      </w:r>
      <w:r w:rsidR="00DB6365">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 "plainTextFormattedCitation" : "[1]", "previouslyFormattedCitation" : "[3]" }, "properties" : { "noteIndex" : 0 }, "schema" : "https://github.com/citation-style-language/schema/raw/master/csl-citation.json" }</w:instrText>
      </w:r>
      <w:r w:rsidRPr="00B55125">
        <w:rPr>
          <w:lang w:val="en-CA"/>
        </w:rPr>
        <w:fldChar w:fldCharType="separate"/>
      </w:r>
      <w:r w:rsidR="00DB6365" w:rsidRPr="00DB6365">
        <w:rPr>
          <w:noProof/>
          <w:lang w:val="en-CA"/>
        </w:rPr>
        <w:t>[1]</w:t>
      </w:r>
      <w:r w:rsidRPr="00B55125">
        <w:rPr>
          <w:lang w:val="en-CA"/>
        </w:rPr>
        <w:fldChar w:fldCharType="end"/>
      </w:r>
      <w:r w:rsidRPr="00B55125">
        <w:rPr>
          <w:lang w:val="en-CA"/>
        </w:rPr>
        <w:t xml:space="preserve">. This questionnaire is intended to build upon this research by identifying the specific difficulties during surgery that could be addressed by a specialized surgical tool. To develop the questionnaire, local ear surgeons were interviewed to collect comments regarding difficulties experienced during TEES and how to address these difficulties. </w:t>
      </w:r>
    </w:p>
    <w:p w:rsidR="000F60F4" w:rsidRDefault="000F60F4" w:rsidP="000F60F4">
      <w:pPr>
        <w:pStyle w:val="ListParagraph"/>
        <w:rPr>
          <w:lang w:val="en-CA"/>
        </w:rPr>
      </w:pPr>
    </w:p>
    <w:p w:rsidR="000F60F4" w:rsidRDefault="000F60F4" w:rsidP="000F60F4">
      <w:pPr>
        <w:pStyle w:val="ListParagraph"/>
        <w:rPr>
          <w:lang w:val="en-CA"/>
        </w:rPr>
      </w:pPr>
      <w:r>
        <w:rPr>
          <w:lang w:val="en-CA"/>
        </w:rPr>
        <w:t xml:space="preserve">The difficulties are the following: bleeding control, reaching structures visualized by the endoscope, cutting and removing bone, keeping the endoscope lens clean, moving and positioning a graft into the intended place, dissection and removal of cholesteatoma. </w:t>
      </w:r>
    </w:p>
    <w:p w:rsidR="000F60F4" w:rsidRDefault="000F60F4" w:rsidP="000F60F4">
      <w:pPr>
        <w:pStyle w:val="ListParagraph"/>
        <w:rPr>
          <w:lang w:val="en-CA"/>
        </w:rPr>
      </w:pPr>
    </w:p>
    <w:p w:rsidR="000F60F4" w:rsidRPr="00B55125" w:rsidRDefault="00B71630" w:rsidP="000F60F4">
      <w:pPr>
        <w:pStyle w:val="ListParagraph"/>
        <w:rPr>
          <w:lang w:val="en-CA"/>
        </w:rPr>
      </w:pPr>
      <w:r>
        <w:rPr>
          <w:lang w:val="en-CA"/>
        </w:rPr>
        <w:t xml:space="preserve">  </w:t>
      </w:r>
    </w:p>
    <w:p w:rsidR="00A91EE2" w:rsidRPr="00B55125" w:rsidRDefault="00A91EE2" w:rsidP="00B55125">
      <w:pPr>
        <w:pStyle w:val="ListParagraph"/>
        <w:numPr>
          <w:ilvl w:val="0"/>
          <w:numId w:val="15"/>
        </w:numPr>
        <w:rPr>
          <w:lang w:val="en-CA"/>
        </w:rPr>
      </w:pPr>
      <w:r w:rsidRPr="00B55125">
        <w:rPr>
          <w:lang w:val="en-CA"/>
        </w:rPr>
        <w:t>Based on the responses, we decided the questionnaire would ask about most of these difficulties  by asking them to rate their degree of difficulty with the following tasks</w:t>
      </w:r>
    </w:p>
    <w:p w:rsidR="00B55125" w:rsidRPr="00AC1CBF" w:rsidRDefault="00B55125" w:rsidP="00B55125">
      <w:pPr>
        <w:pStyle w:val="ListParagraph"/>
        <w:numPr>
          <w:ilvl w:val="0"/>
          <w:numId w:val="15"/>
        </w:numPr>
      </w:pPr>
      <w:r w:rsidRPr="00AC1CBF">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Pr="00AC1CBF">
        <w:fldChar w:fldCharType="begin" w:fldLock="1"/>
      </w:r>
      <w:r w:rsidR="00DB636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 "plainTextFormattedCitation" : "[2]", "previouslyFormattedCitation" : "[21]" }, "properties" : { "noteIndex" : 0 }, "schema" : "https://github.com/citation-style-language/schema/raw/master/csl-citation.json" }</w:instrText>
      </w:r>
      <w:r w:rsidRPr="00AC1CBF">
        <w:fldChar w:fldCharType="separate"/>
      </w:r>
      <w:r w:rsidR="00DB6365" w:rsidRPr="00DB6365">
        <w:rPr>
          <w:noProof/>
        </w:rPr>
        <w:t>[2]</w:t>
      </w:r>
      <w:r w:rsidRPr="00AC1CBF">
        <w:fldChar w:fldCharType="end"/>
      </w:r>
      <w:r w:rsidRPr="00AC1CBF">
        <w:t xml:space="preserve"> </w:t>
      </w:r>
      <w:r w:rsidRPr="00AC1CBF">
        <w:fldChar w:fldCharType="begin" w:fldLock="1"/>
      </w:r>
      <w:r w:rsidR="00DB6365">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"[3]", "plainTextFormattedCitation" : "[3]", "previouslyFormattedCitation" : "[22]" }, "properties" : { "noteIndex" : 0 }, "schema" : "https://github.com/citation-style-language/schema/raw/master/csl-citation.json" }</w:instrText>
      </w:r>
      <w:r w:rsidRPr="00AC1CBF">
        <w:fldChar w:fldCharType="separate"/>
      </w:r>
      <w:r w:rsidR="00DB6365" w:rsidRPr="00DB6365">
        <w:rPr>
          <w:noProof/>
        </w:rPr>
        <w:t>[3]</w:t>
      </w:r>
      <w:r w:rsidRPr="00AC1CBF">
        <w:fldChar w:fldCharType="end"/>
      </w:r>
      <w:r w:rsidRPr="00AC1CBF">
        <w:t>. It is suggested that a continuous rating scale is advantageous compared to the five point likert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fldChar w:fldCharType="begin" w:fldLock="1"/>
      </w:r>
      <w:r w:rsidR="00DB636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 "plainTextFormattedCitation" : "[2]", "previouslyFormattedCitation" : "[21]" }, "properties" : { "noteIndex" : 0 }, "schema" : "https://github.com/citation-style-language/schema/raw/master/csl-citation.json" }</w:instrText>
      </w:r>
      <w:r>
        <w:fldChar w:fldCharType="separate"/>
      </w:r>
      <w:r w:rsidR="00DB6365" w:rsidRPr="00DB6365">
        <w:rPr>
          <w:noProof/>
        </w:rPr>
        <w:t>[2]</w:t>
      </w:r>
      <w:r>
        <w:fldChar w:fldCharType="end"/>
      </w:r>
      <w:r w:rsidRPr="00AC1CBF">
        <w:t xml:space="preserve"> [</w:t>
      </w:r>
      <w:hyperlink r:id="rId7" w:history="1">
        <w:r w:rsidRPr="00AC1CBF">
          <w:rPr>
            <w:rStyle w:val="Hyperlink"/>
          </w:rPr>
          <w:t>http://www.statistik.tuwien.ac.at/forschung/SM/SM-2009-</w:t>
        </w:r>
        <w:r w:rsidRPr="00AC1CBF">
          <w:rPr>
            <w:rStyle w:val="Hyperlink"/>
          </w:rPr>
          <w:lastRenderedPageBreak/>
          <w:t>4complete.pdf</w:t>
        </w:r>
      </w:hyperlink>
      <w:r w:rsidRPr="00AC1CBF">
        <w:t xml:space="preserve">]. The values </w:t>
      </w:r>
      <w:r>
        <w:t xml:space="preserve">that describe the boundaries of the scale were taken from </w:t>
      </w:r>
      <w:hyperlink r:id="rId8">
        <w:r w:rsidRPr="00B55125">
          <w:rPr>
            <w:color w:val="1155CC"/>
            <w:u w:val="single"/>
          </w:rPr>
          <w:t>http://psr.iq.harvard.edu/files/psr/files/PSRQuestionnaireTipSheet_0.pdf</w:t>
        </w:r>
      </w:hyperlink>
      <w:r>
        <w:t xml:space="preserve">, </w:t>
      </w:r>
      <w:hyperlink r:id="rId9">
        <w:r w:rsidRPr="00B55125">
          <w:rPr>
            <w:color w:val="1155CC"/>
            <w:u w:val="single"/>
          </w:rPr>
          <w:t>http://www.uwex.edu/ces/4h/evaluation/documents/Wordingforratingscales.pdf</w:t>
        </w:r>
      </w:hyperlink>
      <w:r>
        <w:t xml:space="preserve"> to make the values more meaningful.</w:t>
      </w:r>
    </w:p>
    <w:p w:rsidR="00A91EE2" w:rsidRPr="00A91EE2" w:rsidRDefault="00A91EE2" w:rsidP="00A91EE2"/>
    <w:p w:rsidR="00752119" w:rsidRDefault="00752119" w:rsidP="00752119"/>
    <w:p w:rsidR="00752119" w:rsidRDefault="00752119" w:rsidP="00752119">
      <w:pPr>
        <w:pStyle w:val="Heading3"/>
      </w:pPr>
      <w:r>
        <w:t>Statistical Analysis</w:t>
      </w:r>
      <w:r w:rsidR="00DB6365">
        <w:t xml:space="preserve"> </w:t>
      </w:r>
    </w:p>
    <w:p w:rsidR="00DB6365" w:rsidRPr="00DB6365" w:rsidRDefault="00DB6365" w:rsidP="00DB6365">
      <w:r w:rsidRPr="00DB6365">
        <w:t>http://blog.minitab.com/blog/adventures-in-statistics-2/choosing-between-a-nonparametric-test-and-a-parametric-test</w:t>
      </w:r>
    </w:p>
    <w:p w:rsidR="00752119" w:rsidRDefault="00752119" w:rsidP="00752119">
      <w:pPr>
        <w:pStyle w:val="ListParagraph"/>
        <w:numPr>
          <w:ilvl w:val="0"/>
          <w:numId w:val="2"/>
        </w:numPr>
      </w:pPr>
      <w:r>
        <w:t xml:space="preserve">Descriptive statistics? </w:t>
      </w:r>
    </w:p>
    <w:p w:rsidR="00752119" w:rsidRDefault="00752119" w:rsidP="00752119">
      <w:pPr>
        <w:pStyle w:val="ListParagraph"/>
        <w:numPr>
          <w:ilvl w:val="0"/>
          <w:numId w:val="2"/>
        </w:numPr>
      </w:pPr>
      <w:r>
        <w:t xml:space="preserve">How were the groups of </w:t>
      </w:r>
      <w:r w:rsidR="004E3980">
        <w:t>respondents</w:t>
      </w:r>
      <w:r>
        <w:t xml:space="preserve"> divided</w:t>
      </w:r>
    </w:p>
    <w:p w:rsidR="00015BCD" w:rsidRDefault="00015BCD" w:rsidP="00752119">
      <w:pPr>
        <w:pStyle w:val="ListParagraph"/>
        <w:numPr>
          <w:ilvl w:val="0"/>
          <w:numId w:val="2"/>
        </w:numPr>
      </w:pPr>
      <w:r>
        <w:t>How were the survey questions analyzed?</w:t>
      </w:r>
    </w:p>
    <w:p w:rsidR="00752119" w:rsidRDefault="00015BCD" w:rsidP="00752119">
      <w:pPr>
        <w:pStyle w:val="ListParagraph"/>
        <w:numPr>
          <w:ilvl w:val="0"/>
          <w:numId w:val="2"/>
        </w:numPr>
      </w:pPr>
      <w:r>
        <w:t>What program was used (JUMP v 13)</w:t>
      </w:r>
    </w:p>
    <w:p w:rsidR="00015BCD" w:rsidRDefault="00015BCD" w:rsidP="00015BCD"/>
    <w:p w:rsidR="00015BCD" w:rsidRDefault="00015BCD" w:rsidP="00015BCD">
      <w:pPr>
        <w:pStyle w:val="Heading2"/>
      </w:pPr>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015BCD" w:rsidRDefault="00015BCD" w:rsidP="00015BCD"/>
    <w:p w:rsidR="00350E52" w:rsidRDefault="00350E52" w:rsidP="00015BCD">
      <w:pPr>
        <w:pStyle w:val="Heading2"/>
      </w:pPr>
    </w:p>
    <w:p w:rsidR="00350E52" w:rsidRDefault="00350E52" w:rsidP="00015BCD">
      <w:pPr>
        <w:pStyle w:val="Heading2"/>
      </w:pPr>
      <w:r>
        <w:rPr>
          <w:noProof/>
          <w:lang w:val="en-CA" w:eastAsia="en-CA"/>
        </w:rPr>
        <w:drawing>
          <wp:inline distT="0" distB="0" distL="0" distR="0">
            <wp:extent cx="5943600" cy="33928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6B39" w:rsidRDefault="000E6B39" w:rsidP="000E6B39">
      <w:r>
        <w:rPr>
          <w:noProof/>
          <w:lang w:val="en-CA" w:eastAsia="en-CA"/>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6B39" w:rsidRDefault="000E6B39" w:rsidP="000E6B39"/>
    <w:p w:rsidR="000E6B39" w:rsidRDefault="000E6B39" w:rsidP="000E6B39">
      <w:r>
        <w:rPr>
          <w:noProof/>
          <w:lang w:val="en-CA" w:eastAsia="en-CA"/>
        </w:rPr>
        <w:lastRenderedPageBreak/>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0C3C" w:rsidRDefault="00340C3C" w:rsidP="000E6B39"/>
    <w:p w:rsidR="00340C3C" w:rsidRDefault="00340C3C" w:rsidP="000E6B39">
      <w:r>
        <w:t xml:space="preserve">Questions: </w:t>
      </w:r>
    </w:p>
    <w:p w:rsidR="00340C3C" w:rsidRDefault="00340C3C" w:rsidP="00340C3C">
      <w:pPr>
        <w:pStyle w:val="ListParagraph"/>
        <w:numPr>
          <w:ilvl w:val="0"/>
          <w:numId w:val="13"/>
        </w:numPr>
      </w:pPr>
      <w:r>
        <w:t>does the percent of surgeries done by TEES factor affect the difficulty during TEES result?</w:t>
      </w:r>
    </w:p>
    <w:p w:rsidR="00340C3C" w:rsidRPr="000E6B39" w:rsidRDefault="00340C3C" w:rsidP="00340C3C">
      <w:pPr>
        <w:pStyle w:val="ListParagraph"/>
        <w:numPr>
          <w:ilvl w:val="0"/>
          <w:numId w:val="13"/>
        </w:numPr>
      </w:pPr>
      <w:r>
        <w:t>Does the use of TEES instrument set factor affect the difficulty during TEES result?</w:t>
      </w:r>
    </w:p>
    <w:p w:rsidR="00015BCD" w:rsidRDefault="00015BCD" w:rsidP="00015BCD">
      <w:pPr>
        <w:pStyle w:val="Heading2"/>
      </w:pPr>
      <w:r>
        <w:t xml:space="preserve">Discussion: </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132782" w:rsidP="00132782">
      <w:pPr>
        <w:pStyle w:val="ListParagraph"/>
        <w:numPr>
          <w:ilvl w:val="1"/>
          <w:numId w:val="6"/>
        </w:numPr>
      </w:pPr>
      <w:r>
        <w:t>from Jane Lea’s study, there is a low adoption rate of TEES (is there an international number?) or if there are enough respondents, then can say that x% of respondents actually have TEES experience and due to this they have different difficulties depending on where they are in the learning curve</w:t>
      </w:r>
    </w:p>
    <w:p w:rsidR="00132782" w:rsidRDefault="00132782" w:rsidP="00132782">
      <w:pPr>
        <w:pStyle w:val="ListParagraph"/>
        <w:numPr>
          <w:ilvl w:val="1"/>
          <w:numId w:val="6"/>
        </w:numPr>
      </w:pPr>
      <w:r>
        <w:t>also if the residents answered then they are still learning core skills that’s why we asked what percent of surgeries are done endoscopically because even though a surgeon is experienced, TEES is very different from microscopic surgery and so we wanted to know experience on TEES specifically rather than total surgical experience</w:t>
      </w:r>
    </w:p>
    <w:p w:rsidR="00132782" w:rsidRDefault="00132782" w:rsidP="00132782">
      <w:pPr>
        <w:pStyle w:val="ListParagraph"/>
        <w:numPr>
          <w:ilvl w:val="1"/>
          <w:numId w:val="6"/>
        </w:numPr>
      </w:pP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064C29">
        <w:fldChar w:fldCharType="begin" w:fldLock="1"/>
      </w:r>
      <w:r w:rsidR="00DB636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"[4]", "plainTextFormattedCitation" : "[4]", "previouslyFormattedCitation" : "[1]" }, "properties" : { "noteIndex" : 0 }, "schema" : "https://github.com/citation-style-language/schema/raw/master/csl-citation.json" }</w:instrText>
      </w:r>
      <w:r w:rsidR="00064C29">
        <w:fldChar w:fldCharType="separate"/>
      </w:r>
      <w:r w:rsidR="00DB6365" w:rsidRPr="00DB6365">
        <w:rPr>
          <w:noProof/>
        </w:rPr>
        <w:t>[4]</w:t>
      </w:r>
      <w:r w:rsidR="00064C29">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rsidR="00B33A05" w:rsidRDefault="00B33A05" w:rsidP="006E6BEC">
      <w:pPr>
        <w:widowControl w:val="0"/>
        <w:autoSpaceDE w:val="0"/>
        <w:autoSpaceDN w:val="0"/>
        <w:adjustRightInd w:val="0"/>
        <w:spacing w:after="240"/>
      </w:pPr>
      <w:r>
        <w:t xml:space="preserve">Results: </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if they had a specialist interest in neuroendoscopy, as seen by the high number of peadiatric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bookmarkStart w:id="0" w:name="_GoBack"/>
      <w:bookmarkEnd w:id="0"/>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Default="00CB3C93" w:rsidP="00CB3C93">
      <w:pPr>
        <w:pStyle w:val="ListParagraph"/>
        <w:widowControl w:val="0"/>
        <w:numPr>
          <w:ilvl w:val="1"/>
          <w:numId w:val="8"/>
        </w:numPr>
        <w:autoSpaceDE w:val="0"/>
        <w:autoSpaceDN w:val="0"/>
        <w:adjustRightInd w:val="0"/>
        <w:spacing w:after="240"/>
      </w:pPr>
      <w:r>
        <w:t>what led to the development of questions in the survey – literature search, interviewing fellow surgeons, attending the endoscopic ear surgery course</w:t>
      </w:r>
    </w:p>
    <w:p w:rsidR="00CB3C93" w:rsidRDefault="00CB3C93" w:rsidP="00CB3C93">
      <w:pPr>
        <w:pStyle w:val="ListParagraph"/>
        <w:widowControl w:val="0"/>
        <w:numPr>
          <w:ilvl w:val="1"/>
          <w:numId w:val="8"/>
        </w:numPr>
        <w:autoSpaceDE w:val="0"/>
        <w:autoSpaceDN w:val="0"/>
        <w:adjustRightInd w:val="0"/>
        <w:spacing w:after="240"/>
      </w:pPr>
      <w:r>
        <w:t>what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r>
        <w:t>how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Default="00CB3C93" w:rsidP="00CB3C93">
      <w:pPr>
        <w:pStyle w:val="ListParagraph"/>
        <w:widowControl w:val="0"/>
        <w:numPr>
          <w:ilvl w:val="1"/>
          <w:numId w:val="8"/>
        </w:numPr>
        <w:autoSpaceDE w:val="0"/>
        <w:autoSpaceDN w:val="0"/>
        <w:adjustRightInd w:val="0"/>
        <w:spacing w:after="240"/>
      </w:pPr>
      <w:r>
        <w:t xml:space="preserve">Used a continuous rating scale with </w:t>
      </w:r>
      <w:r w:rsidR="00A91EE2">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Default="00A91EE2" w:rsidP="00A91EE2">
      <w:pPr>
        <w:pStyle w:val="ListParagraph"/>
        <w:widowControl w:val="0"/>
        <w:numPr>
          <w:ilvl w:val="0"/>
          <w:numId w:val="11"/>
        </w:numPr>
        <w:autoSpaceDE w:val="0"/>
        <w:autoSpaceDN w:val="0"/>
        <w:adjustRightInd w:val="0"/>
        <w:spacing w:after="240"/>
      </w:pPr>
      <w:r>
        <w:t>Questionnaire was sent to ______ many otologists</w:t>
      </w:r>
    </w:p>
    <w:p w:rsidR="00A91EE2" w:rsidRDefault="00A91EE2" w:rsidP="00A91EE2">
      <w:pPr>
        <w:pStyle w:val="ListParagraph"/>
        <w:widowControl w:val="0"/>
        <w:numPr>
          <w:ilvl w:val="0"/>
          <w:numId w:val="11"/>
        </w:numPr>
        <w:autoSpaceDE w:val="0"/>
        <w:autoSpaceDN w:val="0"/>
        <w:adjustRightInd w:val="0"/>
        <w:spacing w:after="240"/>
      </w:pPr>
      <w:r>
        <w:t>____% responded</w:t>
      </w:r>
    </w:p>
    <w:p w:rsidR="00A91EE2" w:rsidRDefault="001E17F9" w:rsidP="001E17F9">
      <w:pPr>
        <w:widowControl w:val="0"/>
        <w:autoSpaceDE w:val="0"/>
        <w:autoSpaceDN w:val="0"/>
        <w:adjustRightInd w:val="0"/>
        <w:spacing w:after="240"/>
      </w:pPr>
      <w:r>
        <w:t xml:space="preserve">Discussion: </w:t>
      </w:r>
    </w:p>
    <w:p w:rsidR="001E17F9" w:rsidRDefault="001E17F9" w:rsidP="001E17F9">
      <w:pPr>
        <w:pStyle w:val="ListParagraph"/>
        <w:widowControl w:val="0"/>
        <w:numPr>
          <w:ilvl w:val="0"/>
          <w:numId w:val="12"/>
        </w:numPr>
        <w:autoSpaceDE w:val="0"/>
        <w:autoSpaceDN w:val="0"/>
        <w:adjustRightInd w:val="0"/>
        <w:spacing w:after="240"/>
      </w:pPr>
      <w:r>
        <w:t xml:space="preserve">give a literature/background on the different difficulties </w:t>
      </w:r>
    </w:p>
    <w:p w:rsidR="001E17F9" w:rsidRPr="001E2875" w:rsidRDefault="001E17F9" w:rsidP="001E17F9">
      <w:pPr>
        <w:pStyle w:val="ListParagraph"/>
        <w:widowControl w:val="0"/>
        <w:numPr>
          <w:ilvl w:val="0"/>
          <w:numId w:val="12"/>
        </w:numPr>
        <w:autoSpaceDE w:val="0"/>
        <w:autoSpaceDN w:val="0"/>
        <w:adjustRightInd w:val="0"/>
        <w:spacing w:after="240"/>
      </w:pPr>
    </w:p>
    <w:p w:rsidR="001E2875" w:rsidRDefault="001E2875" w:rsidP="00501CA9">
      <w:pPr>
        <w:widowControl w:val="0"/>
        <w:autoSpaceDE w:val="0"/>
        <w:autoSpaceDN w:val="0"/>
        <w:adjustRightInd w:val="0"/>
        <w:spacing w:after="240"/>
      </w:pPr>
    </w:p>
    <w:p w:rsidR="00DC50B3" w:rsidRDefault="00064C29" w:rsidP="00501CA9">
      <w:pPr>
        <w:widowControl w:val="0"/>
        <w:autoSpaceDE w:val="0"/>
        <w:autoSpaceDN w:val="0"/>
        <w:adjustRightInd w:val="0"/>
        <w:spacing w:after="240"/>
      </w:pPr>
      <w:r>
        <w:lastRenderedPageBreak/>
        <w:fldChar w:fldCharType="begin" w:fldLock="1"/>
      </w:r>
      <w:r w:rsidR="00DB636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"[5]", "plainTextFormattedCitation" : "[5]", "previouslyFormattedCitation" : "[2]" }, "properties" : { "noteIndex" : 0 }, "schema" : "https://github.com/citation-style-language/schema/raw/master/csl-citation.json" }</w:instrText>
      </w:r>
      <w:r>
        <w:fldChar w:fldCharType="separate"/>
      </w:r>
      <w:r w:rsidR="00DB6365" w:rsidRPr="00DB6365">
        <w:rPr>
          <w:noProof/>
        </w:rPr>
        <w:t>[5]</w:t>
      </w:r>
      <w:r>
        <w:fldChar w:fldCharType="end"/>
      </w:r>
    </w:p>
    <w:p w:rsidR="00DB6365" w:rsidRPr="00DB6365" w:rsidRDefault="00064C29" w:rsidP="00DB6365">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DB6365" w:rsidRPr="00DB6365">
        <w:rPr>
          <w:rFonts w:ascii="Calibri" w:hAnsi="Calibri" w:cs="Times New Roman"/>
          <w:noProof/>
        </w:rPr>
        <w:t>[1]</w:t>
      </w:r>
      <w:r w:rsidR="00DB6365" w:rsidRPr="00DB6365">
        <w:rPr>
          <w:rFonts w:ascii="Calibri" w:hAnsi="Calibri" w:cs="Times New Roman"/>
          <w:noProof/>
        </w:rPr>
        <w:tab/>
        <w:t xml:space="preserve">M. Yong, T. Mijovic, and J. Lea, “Endoscopic ear surgery in Canada : a cross-sectional study,” </w:t>
      </w:r>
      <w:r w:rsidR="00DB6365" w:rsidRPr="00DB6365">
        <w:rPr>
          <w:rFonts w:ascii="Calibri" w:hAnsi="Calibri" w:cs="Times New Roman"/>
          <w:i/>
          <w:iCs/>
          <w:noProof/>
        </w:rPr>
        <w:t>J. Otolaryngol. - Head Neck Surg.</w:t>
      </w:r>
      <w:r w:rsidR="00DB6365" w:rsidRPr="00DB6365">
        <w:rPr>
          <w:rFonts w:ascii="Calibri" w:hAnsi="Calibri" w:cs="Times New Roman"/>
          <w:noProof/>
        </w:rPr>
        <w:t>, pp. 1–8, 2016.</w:t>
      </w:r>
    </w:p>
    <w:p w:rsidR="00DB6365" w:rsidRPr="00DB6365" w:rsidRDefault="00DB6365" w:rsidP="00DB6365">
      <w:pPr>
        <w:widowControl w:val="0"/>
        <w:autoSpaceDE w:val="0"/>
        <w:autoSpaceDN w:val="0"/>
        <w:adjustRightInd w:val="0"/>
        <w:spacing w:after="140"/>
        <w:ind w:left="640" w:hanging="640"/>
        <w:rPr>
          <w:rFonts w:ascii="Calibri" w:hAnsi="Calibri" w:cs="Times New Roman"/>
          <w:noProof/>
        </w:rPr>
      </w:pPr>
      <w:r w:rsidRPr="00DB6365">
        <w:rPr>
          <w:rFonts w:ascii="Calibri" w:hAnsi="Calibri" w:cs="Times New Roman"/>
          <w:noProof/>
        </w:rPr>
        <w:t>[2]</w:t>
      </w:r>
      <w:r w:rsidRPr="00DB6365">
        <w:rPr>
          <w:rFonts w:ascii="Calibri" w:hAnsi="Calibri" w:cs="Times New Roman"/>
          <w:noProof/>
        </w:rPr>
        <w:tab/>
        <w:t xml:space="preserve">A. Celenza and I. R. Rogers, “Comparison of visual analogue and Likert scales in evaluation of an emergency department bedside teaching programme,” </w:t>
      </w:r>
      <w:r w:rsidRPr="00DB6365">
        <w:rPr>
          <w:rFonts w:ascii="Calibri" w:hAnsi="Calibri" w:cs="Times New Roman"/>
          <w:i/>
          <w:iCs/>
          <w:noProof/>
        </w:rPr>
        <w:t>EMA - Emerg. Med. Australas.</w:t>
      </w:r>
      <w:r w:rsidRPr="00DB6365">
        <w:rPr>
          <w:rFonts w:ascii="Calibri" w:hAnsi="Calibri" w:cs="Times New Roman"/>
          <w:noProof/>
        </w:rPr>
        <w:t>, vol. 23, no. 1, pp. 68–75, 2011.</w:t>
      </w:r>
    </w:p>
    <w:p w:rsidR="00DB6365" w:rsidRPr="00DB6365" w:rsidRDefault="00DB6365" w:rsidP="00DB6365">
      <w:pPr>
        <w:widowControl w:val="0"/>
        <w:autoSpaceDE w:val="0"/>
        <w:autoSpaceDN w:val="0"/>
        <w:adjustRightInd w:val="0"/>
        <w:spacing w:after="140"/>
        <w:ind w:left="640" w:hanging="640"/>
        <w:rPr>
          <w:rFonts w:ascii="Calibri" w:hAnsi="Calibri" w:cs="Times New Roman"/>
          <w:noProof/>
        </w:rPr>
      </w:pPr>
      <w:r w:rsidRPr="00DB6365">
        <w:rPr>
          <w:rFonts w:ascii="Calibri" w:hAnsi="Calibri" w:cs="Times New Roman"/>
          <w:noProof/>
        </w:rPr>
        <w:t>[3]</w:t>
      </w:r>
      <w:r w:rsidRPr="00DB6365">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DB6365">
        <w:rPr>
          <w:rFonts w:ascii="Calibri" w:hAnsi="Calibri" w:cs="Times New Roman"/>
          <w:i/>
          <w:iCs/>
          <w:noProof/>
        </w:rPr>
        <w:t>Heal. (San Fr.</w:t>
      </w:r>
      <w:r w:rsidRPr="00DB6365">
        <w:rPr>
          <w:rFonts w:ascii="Calibri" w:hAnsi="Calibri" w:cs="Times New Roman"/>
          <w:noProof/>
        </w:rPr>
        <w:t>, vol. 41, no. 1, pp. 99–106, 2009.</w:t>
      </w:r>
    </w:p>
    <w:p w:rsidR="00DB6365" w:rsidRPr="00DB6365" w:rsidRDefault="00DB6365" w:rsidP="00DB6365">
      <w:pPr>
        <w:widowControl w:val="0"/>
        <w:autoSpaceDE w:val="0"/>
        <w:autoSpaceDN w:val="0"/>
        <w:adjustRightInd w:val="0"/>
        <w:spacing w:after="140"/>
        <w:ind w:left="640" w:hanging="640"/>
        <w:rPr>
          <w:rFonts w:ascii="Calibri" w:hAnsi="Calibri" w:cs="Times New Roman"/>
          <w:noProof/>
        </w:rPr>
      </w:pPr>
      <w:r w:rsidRPr="00DB6365">
        <w:rPr>
          <w:rFonts w:ascii="Calibri" w:hAnsi="Calibri" w:cs="Times New Roman"/>
          <w:noProof/>
        </w:rPr>
        <w:t>[4]</w:t>
      </w:r>
      <w:r w:rsidRPr="00DB6365">
        <w:rPr>
          <w:rFonts w:ascii="Calibri" w:hAnsi="Calibri" w:cs="Times New Roman"/>
          <w:noProof/>
        </w:rPr>
        <w:tab/>
        <w:t xml:space="preserve">H. J. Marcus </w:t>
      </w:r>
      <w:r w:rsidRPr="00DB6365">
        <w:rPr>
          <w:rFonts w:ascii="Calibri" w:hAnsi="Calibri" w:cs="Times New Roman"/>
          <w:i/>
          <w:iCs/>
          <w:noProof/>
        </w:rPr>
        <w:t>et al.</w:t>
      </w:r>
      <w:r w:rsidRPr="00DB6365">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DB6365" w:rsidRPr="00DB6365" w:rsidRDefault="00DB6365" w:rsidP="00DB6365">
      <w:pPr>
        <w:widowControl w:val="0"/>
        <w:autoSpaceDE w:val="0"/>
        <w:autoSpaceDN w:val="0"/>
        <w:adjustRightInd w:val="0"/>
        <w:spacing w:after="140"/>
        <w:ind w:left="640" w:hanging="640"/>
        <w:rPr>
          <w:rFonts w:ascii="Calibri" w:hAnsi="Calibri"/>
          <w:noProof/>
        </w:rPr>
      </w:pPr>
      <w:r w:rsidRPr="00DB6365">
        <w:rPr>
          <w:rFonts w:ascii="Calibri" w:hAnsi="Calibri" w:cs="Times New Roman"/>
          <w:noProof/>
        </w:rPr>
        <w:t>[5]</w:t>
      </w:r>
      <w:r w:rsidRPr="00DB6365">
        <w:rPr>
          <w:rFonts w:ascii="Calibri" w:hAnsi="Calibri" w:cs="Times New Roman"/>
          <w:noProof/>
        </w:rPr>
        <w:tab/>
        <w:t xml:space="preserve">D. M. Prevedello, F. Doglietto, J. A. Jane, J. Jagannathan, J. Han, and E. R. Laws, “History of endoscopic skull base surgery: its evolution and current reality,” </w:t>
      </w:r>
      <w:r w:rsidRPr="00DB6365">
        <w:rPr>
          <w:rFonts w:ascii="Calibri" w:hAnsi="Calibri" w:cs="Times New Roman"/>
          <w:i/>
          <w:iCs/>
          <w:noProof/>
        </w:rPr>
        <w:t>J. Neurosurg.</w:t>
      </w:r>
      <w:r w:rsidRPr="00DB6365">
        <w:rPr>
          <w:rFonts w:ascii="Calibri" w:hAnsi="Calibri" w:cs="Times New Roman"/>
          <w:noProof/>
        </w:rPr>
        <w:t>, vol. 107, no. 1, pp. 206–213, 2007.</w:t>
      </w:r>
    </w:p>
    <w:p w:rsidR="00DC50B3" w:rsidRPr="00743726" w:rsidRDefault="00064C29" w:rsidP="00DB6365">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9"/>
  </w:num>
  <w:num w:numId="5">
    <w:abstractNumId w:val="10"/>
  </w:num>
  <w:num w:numId="6">
    <w:abstractNumId w:val="6"/>
  </w:num>
  <w:num w:numId="7">
    <w:abstractNumId w:val="4"/>
  </w:num>
  <w:num w:numId="8">
    <w:abstractNumId w:val="1"/>
  </w:num>
  <w:num w:numId="9">
    <w:abstractNumId w:val="0"/>
  </w:num>
  <w:num w:numId="10">
    <w:abstractNumId w:val="2"/>
  </w:num>
  <w:num w:numId="11">
    <w:abstractNumId w:val="3"/>
  </w:num>
  <w:num w:numId="12">
    <w:abstractNumId w:val="14"/>
  </w:num>
  <w:num w:numId="13">
    <w:abstractNumId w:val="5"/>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52119"/>
    <w:rsid w:val="00015BCD"/>
    <w:rsid w:val="0006438F"/>
    <w:rsid w:val="00064C29"/>
    <w:rsid w:val="000E6B39"/>
    <w:rsid w:val="000F60F4"/>
    <w:rsid w:val="00132782"/>
    <w:rsid w:val="001C0E70"/>
    <w:rsid w:val="001E17F9"/>
    <w:rsid w:val="001E2875"/>
    <w:rsid w:val="002D56AE"/>
    <w:rsid w:val="00340C3C"/>
    <w:rsid w:val="00350E52"/>
    <w:rsid w:val="0036795B"/>
    <w:rsid w:val="00440BE7"/>
    <w:rsid w:val="00457A2B"/>
    <w:rsid w:val="004946F0"/>
    <w:rsid w:val="004E3980"/>
    <w:rsid w:val="00501CA9"/>
    <w:rsid w:val="006A4781"/>
    <w:rsid w:val="006E6BEC"/>
    <w:rsid w:val="00743726"/>
    <w:rsid w:val="00752119"/>
    <w:rsid w:val="00775BB0"/>
    <w:rsid w:val="00783D5A"/>
    <w:rsid w:val="007C1B08"/>
    <w:rsid w:val="00814E34"/>
    <w:rsid w:val="008D470F"/>
    <w:rsid w:val="00A40CE7"/>
    <w:rsid w:val="00A91EE2"/>
    <w:rsid w:val="00B33A05"/>
    <w:rsid w:val="00B55125"/>
    <w:rsid w:val="00B71630"/>
    <w:rsid w:val="00C472E4"/>
    <w:rsid w:val="00C507DE"/>
    <w:rsid w:val="00CB3C93"/>
    <w:rsid w:val="00DB6365"/>
    <w:rsid w:val="00DC50B3"/>
    <w:rsid w:val="00E13A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sr.iq.harvard.edu/files/psr/files/PSRQuestionnaireTipSheet_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istik.tuwien.ac.at/forschung/SM/SM-2009-4complete.pdf" TargetMode="Externa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uwex.edu/ces/4h/evaluation/documents/Wordingforratingscales.pdf"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6.8054465367161896</c:v>
                  </c:pt>
                  <c:pt idx="1">
                    <c:v>5.0158676788197409</c:v>
                  </c:pt>
                  <c:pt idx="2">
                    <c:v>3.6711022538526201</c:v>
                  </c:pt>
                  <c:pt idx="3">
                    <c:v>7.2652548868865265</c:v>
                  </c:pt>
                  <c:pt idx="4">
                    <c:v>7.3931274392731376</c:v>
                  </c:pt>
                  <c:pt idx="5">
                    <c:v>5.3053768772372436</c:v>
                  </c:pt>
                </c:numCache>
              </c:numRef>
            </c:plus>
            <c:minus>
              <c:numRef>
                <c:f>'EndoscopicEarSurgery_DATA_09-Ma'!$H$20:$M$20</c:f>
                <c:numCache>
                  <c:formatCode>General</c:formatCode>
                  <c:ptCount val="6"/>
                  <c:pt idx="0">
                    <c:v>6.8054465367161896</c:v>
                  </c:pt>
                  <c:pt idx="1">
                    <c:v>5.0158676788197409</c:v>
                  </c:pt>
                  <c:pt idx="2">
                    <c:v>3.6711022538526201</c:v>
                  </c:pt>
                  <c:pt idx="3">
                    <c:v>7.2652548868865265</c:v>
                  </c:pt>
                  <c:pt idx="4">
                    <c:v>7.3931274392731376</c:v>
                  </c:pt>
                  <c:pt idx="5">
                    <c:v>5.3053768772372436</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72.642857142856926</c:v>
                </c:pt>
                <c:pt idx="3">
                  <c:v>56.6</c:v>
                </c:pt>
                <c:pt idx="4">
                  <c:v>55.5</c:v>
                </c:pt>
                <c:pt idx="5">
                  <c:v>77.933333333333309</c:v>
                </c:pt>
              </c:numCache>
            </c:numRef>
          </c:val>
        </c:ser>
        <c:axId val="57848192"/>
        <c:axId val="57850496"/>
      </c:barChart>
      <c:catAx>
        <c:axId val="57848192"/>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57850496"/>
        <c:crosses val="autoZero"/>
        <c:auto val="1"/>
        <c:lblAlgn val="ctr"/>
        <c:lblOffset val="100"/>
      </c:catAx>
      <c:valAx>
        <c:axId val="57850496"/>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5784819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ser>
        <c:gapWidth val="219"/>
        <c:overlap val="-27"/>
        <c:axId val="61752832"/>
        <c:axId val="62531456"/>
      </c:barChart>
      <c:catAx>
        <c:axId val="6175283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31456"/>
        <c:crosses val="autoZero"/>
        <c:auto val="1"/>
        <c:lblAlgn val="ctr"/>
        <c:lblOffset val="100"/>
      </c:catAx>
      <c:valAx>
        <c:axId val="625314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528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ser>
        <c:gapWidth val="219"/>
        <c:overlap val="-27"/>
        <c:axId val="88390272"/>
        <c:axId val="101201408"/>
      </c:barChart>
      <c:catAx>
        <c:axId val="8839027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01408"/>
        <c:crosses val="autoZero"/>
        <c:auto val="1"/>
        <c:lblAlgn val="ctr"/>
        <c:lblOffset val="100"/>
      </c:catAx>
      <c:valAx>
        <c:axId val="1012014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9027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1BAFBC-1579-4426-886C-800143BC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13</cp:revision>
  <dcterms:created xsi:type="dcterms:W3CDTF">2017-05-18T17:09:00Z</dcterms:created>
  <dcterms:modified xsi:type="dcterms:W3CDTF">2017-06-06T19:04:00Z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