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73553A"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r>
        <w:rPr>
          <w:lang w:val="en-CA"/>
        </w:rPr>
        <w:t>Otolaryngologic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numPr>
          <w:ilvl w:val="0"/>
          <w:numId w:val="16"/>
        </w:numPr>
      </w:pPr>
      <w:r>
        <w:t>Why are we doing a needs analysis?</w:t>
      </w:r>
    </w:p>
    <w:p w:rsidR="00AA3FC3" w:rsidRDefault="00AA3FC3" w:rsidP="00AA3FC3">
      <w:r>
        <w:t xml:space="preserve">To </w:t>
      </w:r>
      <w:commentRangeStart w:id="0"/>
      <w:r>
        <w:t>understand</w:t>
      </w:r>
      <w:commentRangeEnd w:id="0"/>
      <w:r w:rsidR="00480BFD">
        <w:rPr>
          <w:rStyle w:val="CommentReference"/>
        </w:rPr>
        <w:commentReference w:id="0"/>
      </w:r>
      <w:r>
        <w:t xml:space="preserve"> 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The difficulties that are most widely experienced by TEES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implications,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73553A">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73553A">
        <w:fldChar w:fldCharType="separate"/>
      </w:r>
      <w:r w:rsidR="005463E8" w:rsidRPr="005463E8">
        <w:rPr>
          <w:noProof/>
        </w:rPr>
        <w:t>[1]</w:t>
      </w:r>
      <w:r w:rsidR="0073553A">
        <w:fldChar w:fldCharType="end"/>
      </w:r>
      <w:r w:rsidR="005463E8">
        <w:t xml:space="preserve"> </w:t>
      </w:r>
      <w:r w:rsidR="0073553A">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73553A">
        <w:fldChar w:fldCharType="separate"/>
      </w:r>
      <w:r w:rsidR="005463E8" w:rsidRPr="005463E8">
        <w:rPr>
          <w:noProof/>
        </w:rPr>
        <w:t>[2]</w:t>
      </w:r>
      <w:r w:rsidR="0073553A">
        <w:fldChar w:fldCharType="end"/>
      </w:r>
      <w:r>
        <w:t xml:space="preserve"> </w:t>
      </w:r>
      <w:r w:rsidR="0073553A">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73553A">
        <w:rPr>
          <w:rFonts w:cs="Arial"/>
        </w:rPr>
        <w:fldChar w:fldCharType="separate"/>
      </w:r>
      <w:r w:rsidR="00A440DB" w:rsidRPr="00A440DB">
        <w:rPr>
          <w:rFonts w:cs="Arial"/>
          <w:noProof/>
        </w:rPr>
        <w:t>[3]</w:t>
      </w:r>
      <w:r w:rsidR="0073553A">
        <w:rPr>
          <w:rFonts w:cs="Arial"/>
        </w:rPr>
        <w:fldChar w:fldCharType="end"/>
      </w:r>
      <w:r w:rsidR="00D33B34">
        <w:rPr>
          <w:rFonts w:cs="Arial"/>
        </w:rPr>
        <w:t xml:space="preserve"> </w:t>
      </w:r>
      <w:r w:rsidR="0073553A">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73553A">
        <w:fldChar w:fldCharType="separate"/>
      </w:r>
      <w:r w:rsidR="00866A1C" w:rsidRPr="00866A1C">
        <w:rPr>
          <w:noProof/>
        </w:rPr>
        <w:t>[4]</w:t>
      </w:r>
      <w:r w:rsidR="0073553A">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73553A">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73553A">
        <w:fldChar w:fldCharType="separate"/>
      </w:r>
      <w:r w:rsidR="00866A1C" w:rsidRPr="00866A1C">
        <w:rPr>
          <w:noProof/>
        </w:rPr>
        <w:t>[5]</w:t>
      </w:r>
      <w:r w:rsidR="0073553A">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73553A">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cs="Times New Roman"/>
          <w:lang w:val="en-CA"/>
        </w:rPr>
        <w:fldChar w:fldCharType="separate"/>
      </w:r>
      <w:r w:rsidR="00866A1C" w:rsidRPr="00866A1C">
        <w:rPr>
          <w:rFonts w:cs="Times New Roman"/>
          <w:noProof/>
          <w:lang w:val="en-CA"/>
        </w:rPr>
        <w:t>[6]</w:t>
      </w:r>
      <w:r w:rsidR="0073553A">
        <w:rPr>
          <w:rFonts w:cs="Times New Roman"/>
          <w:lang w:val="en-CA"/>
        </w:rPr>
        <w:fldChar w:fldCharType="end"/>
      </w:r>
      <w:r w:rsidRPr="00032A7F">
        <w:rPr>
          <w:rFonts w:eastAsia="Times New Roman"/>
        </w:rPr>
        <w:t xml:space="preserve"> </w:t>
      </w:r>
      <w:r w:rsidR="0073553A">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73553A">
        <w:rPr>
          <w:rFonts w:eastAsia="Times New Roman"/>
        </w:rPr>
        <w:fldChar w:fldCharType="separate"/>
      </w:r>
      <w:r w:rsidR="00866A1C" w:rsidRPr="00866A1C">
        <w:rPr>
          <w:rFonts w:eastAsia="Times New Roman"/>
          <w:noProof/>
        </w:rPr>
        <w:t>[7]</w:t>
      </w:r>
      <w:r w:rsidR="0073553A">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73553A">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cs="Times New Roman"/>
          <w:lang w:val="en-CA"/>
        </w:rPr>
        <w:fldChar w:fldCharType="separate"/>
      </w:r>
      <w:r w:rsidR="00866A1C" w:rsidRPr="00866A1C">
        <w:rPr>
          <w:rFonts w:cs="Times New Roman"/>
          <w:noProof/>
          <w:lang w:val="en-CA"/>
        </w:rPr>
        <w:t>[6]</w:t>
      </w:r>
      <w:r w:rsidR="0073553A">
        <w:rPr>
          <w:rFonts w:cs="Times New Roman"/>
          <w:lang w:val="en-CA"/>
        </w:rPr>
        <w:fldChar w:fldCharType="end"/>
      </w:r>
      <w:r w:rsidR="00876325">
        <w:rPr>
          <w:rFonts w:cs="Times New Roman"/>
          <w:lang w:val="en-CA"/>
        </w:rPr>
        <w:t xml:space="preserve"> </w:t>
      </w:r>
      <w:r w:rsidR="0073553A">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rPr>
          <w:rFonts w:cs="Times New Roman"/>
          <w:lang w:val="en-CA"/>
        </w:rPr>
        <w:fldChar w:fldCharType="separate"/>
      </w:r>
      <w:r w:rsidR="00876325" w:rsidRPr="00876325">
        <w:rPr>
          <w:rFonts w:cs="Times New Roman"/>
          <w:noProof/>
          <w:lang w:val="en-CA"/>
        </w:rPr>
        <w:t>[8]</w:t>
      </w:r>
      <w:r w:rsidR="0073553A">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73553A">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[8]</w:t>
      </w:r>
      <w:r w:rsidR="0073553A">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73553A">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[9]</w:t>
      </w:r>
      <w:r w:rsidR="0073553A">
        <w:rPr>
          <w:rFonts w:eastAsia="Times New Roman"/>
        </w:rPr>
        <w:fldChar w:fldCharType="end"/>
      </w:r>
      <w:r>
        <w:rPr>
          <w:rFonts w:eastAsia="Times New Roman"/>
        </w:rPr>
        <w:t xml:space="preserve"> </w:t>
      </w:r>
      <w:r w:rsidR="0073553A">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Pr>
          <w:rFonts w:eastAsia="Times New Roman"/>
        </w:rPr>
        <w:fldChar w:fldCharType="separate"/>
      </w:r>
      <w:r w:rsidR="00866A1C" w:rsidRPr="00866A1C">
        <w:rPr>
          <w:rFonts w:eastAsia="Times New Roman"/>
          <w:noProof/>
        </w:rPr>
        <w:t>[6]</w:t>
      </w:r>
      <w:r w:rsidR="0073553A">
        <w:rPr>
          <w:rFonts w:eastAsia="Times New Roman"/>
        </w:rPr>
        <w:fldChar w:fldCharType="end"/>
      </w:r>
      <w:r w:rsidRPr="00032A7F">
        <w:rPr>
          <w:rFonts w:eastAsia="Times New Roman"/>
        </w:rPr>
        <w:t xml:space="preserve"> </w:t>
      </w:r>
      <w:r w:rsidR="0073553A">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73553A">
        <w:rPr>
          <w:rFonts w:eastAsia="Times New Roman"/>
        </w:rPr>
        <w:fldChar w:fldCharType="separate"/>
      </w:r>
      <w:r w:rsidR="00A440DB" w:rsidRPr="00A440DB">
        <w:rPr>
          <w:rFonts w:eastAsia="Times New Roman"/>
          <w:noProof/>
        </w:rPr>
        <w:t>[1]</w:t>
      </w:r>
      <w:r w:rsidR="0073553A">
        <w:rPr>
          <w:rFonts w:eastAsia="Times New Roman"/>
        </w:rPr>
        <w:fldChar w:fldCharType="end"/>
      </w:r>
      <w:r w:rsidR="00B4071D">
        <w:rPr>
          <w:rFonts w:eastAsia="Times New Roman"/>
        </w:rPr>
        <w:t xml:space="preserve"> </w:t>
      </w:r>
      <w:r w:rsidR="0073553A">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73553A">
        <w:rPr>
          <w:rFonts w:eastAsia="Times New Roman"/>
        </w:rPr>
        <w:fldChar w:fldCharType="separate"/>
      </w:r>
      <w:r w:rsidR="00B4071D" w:rsidRPr="00B4071D">
        <w:rPr>
          <w:rFonts w:eastAsia="Times New Roman"/>
          <w:noProof/>
        </w:rPr>
        <w:t>[8]</w:t>
      </w:r>
      <w:r w:rsidR="0073553A">
        <w:rPr>
          <w:rFonts w:eastAsia="Times New Roman"/>
        </w:rPr>
        <w:fldChar w:fldCharType="end"/>
      </w:r>
      <w:r w:rsidRPr="00032A7F">
        <w:rPr>
          <w:rFonts w:eastAsia="Times New Roman"/>
        </w:rPr>
        <w:t xml:space="preserve">. </w:t>
      </w:r>
    </w:p>
    <w:p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73553A">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73553A">
        <w:rPr>
          <w:rFonts w:eastAsia="Times New Roman"/>
        </w:rPr>
        <w:fldChar w:fldCharType="separate"/>
      </w:r>
      <w:r w:rsidR="00876325" w:rsidRPr="00876325">
        <w:rPr>
          <w:rFonts w:eastAsia="Times New Roman"/>
          <w:noProof/>
        </w:rPr>
        <w:t>[10]</w:t>
      </w:r>
      <w:r w:rsidR="0073553A">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61241A" w:rsidRDefault="0061241A" w:rsidP="00752119"/>
    <w:p w:rsidR="00480BFD" w:rsidRDefault="00B55125" w:rsidP="00086F3F">
      <w:pPr>
        <w:ind w:firstLine="720"/>
        <w:rPr>
          <w:ins w:id="1" w:author="Kyle Eastwood" w:date="2017-06-13T12:45:00Z"/>
          <w:lang w:val="en-CA"/>
        </w:rPr>
      </w:pPr>
      <w:commentRangeStart w:id="2"/>
      <w:r w:rsidRPr="00B55125">
        <w:rPr>
          <w:lang w:val="en-CA"/>
        </w:rPr>
        <w:t xml:space="preserve">The Canadian otologists’ EES survey has reported that 11% of otologists in Canada use TEES for cholesteatoma, tympanoplasty,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73553A" w:rsidRPr="00B551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rsidRPr="00B55125">
        <w:rPr>
          <w:lang w:val="en-CA"/>
        </w:rPr>
        <w:fldChar w:fldCharType="separate"/>
      </w:r>
      <w:r w:rsidR="00866A1C" w:rsidRPr="00866A1C">
        <w:rPr>
          <w:noProof/>
          <w:lang w:val="en-CA"/>
        </w:rPr>
        <w:t>[6]</w:t>
      </w:r>
      <w:r w:rsidR="0073553A"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w:t>
      </w:r>
      <w:commentRangeEnd w:id="2"/>
      <w:r w:rsidR="00480BFD">
        <w:rPr>
          <w:rStyle w:val="CommentReference"/>
        </w:rPr>
        <w:commentReference w:id="2"/>
      </w:r>
    </w:p>
    <w:p w:rsidR="00030BDD" w:rsidRDefault="00030BDD" w:rsidP="00030BDD">
      <w:pPr>
        <w:pStyle w:val="Heading2"/>
      </w:pPr>
      <w:r>
        <w:t xml:space="preserve">Methods: </w:t>
      </w:r>
    </w:p>
    <w:p w:rsidR="00480BFD" w:rsidRDefault="00480BFD" w:rsidP="00086F3F">
      <w:pPr>
        <w:ind w:firstLine="720"/>
        <w:rPr>
          <w:ins w:id="3" w:author="Kyle Eastwood" w:date="2017-06-13T12:45:00Z"/>
          <w:lang w:val="en-CA"/>
        </w:rPr>
      </w:pPr>
      <w:bookmarkStart w:id="4" w:name="_GoBack"/>
      <w:bookmarkEnd w:id="4"/>
    </w:p>
    <w:p w:rsidR="00086F3F" w:rsidRPr="00321A5D" w:rsidRDefault="00321A5D" w:rsidP="00086F3F">
      <w:pPr>
        <w:ind w:firstLine="720"/>
        <w:rPr>
          <w:lang w:val="en-CA"/>
        </w:rPr>
      </w:pPr>
      <w:commentRangeStart w:id="5"/>
      <w:r>
        <w:rPr>
          <w:lang w:val="en-CA"/>
        </w:rPr>
        <w:t xml:space="preserve">To develop the questionnaire, a </w:t>
      </w:r>
      <w:r w:rsidR="0073553A" w:rsidRPr="0073553A">
        <w:rPr>
          <w:highlight w:val="yellow"/>
          <w:lang w:val="en-CA"/>
          <w:rPrChange w:id="6" w:author="Kyle Eastwood" w:date="2017-06-13T12:48:00Z">
            <w:rPr>
              <w:lang w:val="en-CA"/>
            </w:rPr>
          </w:rPrChange>
        </w:rPr>
        <w:t xml:space="preserve">literature </w:t>
      </w:r>
      <w:commentRangeStart w:id="7"/>
      <w:r w:rsidR="0073553A" w:rsidRPr="0073553A">
        <w:rPr>
          <w:highlight w:val="yellow"/>
          <w:lang w:val="en-CA"/>
          <w:rPrChange w:id="8" w:author="Kyle Eastwood" w:date="2017-06-13T12:48:00Z">
            <w:rPr>
              <w:lang w:val="en-CA"/>
            </w:rPr>
          </w:rPrChange>
        </w:rPr>
        <w:t>search</w:t>
      </w:r>
      <w:commentRangeEnd w:id="7"/>
      <w:r w:rsidR="00480BFD">
        <w:rPr>
          <w:rStyle w:val="CommentReference"/>
        </w:rPr>
        <w:commentReference w:id="7"/>
      </w:r>
      <w:r>
        <w:rPr>
          <w:lang w:val="en-CA"/>
        </w:rPr>
        <w:t xml:space="preserve"> </w:t>
      </w:r>
      <w:ins w:id="9" w:author="Arushri Swarup" w:date="2017-06-13T21:36:00Z">
        <w:r w:rsidR="007517A3">
          <w:rPr>
            <w:lang w:val="en-CA"/>
          </w:rPr>
          <w:t xml:space="preserve">was conducted to identify the challenges experienced during TEES. </w:t>
        </w:r>
      </w:ins>
      <w:del w:id="10" w:author="Arushri Swarup" w:date="2017-06-13T21:37:00Z">
        <w:r w:rsidDel="007517A3">
          <w:rPr>
            <w:lang w:val="en-CA"/>
          </w:rPr>
          <w:delText>as</w:delText>
        </w:r>
      </w:del>
      <w:ins w:id="11" w:author="Arushri Swarup" w:date="2017-06-13T21:37:00Z">
        <w:r w:rsidR="007517A3">
          <w:rPr>
            <w:lang w:val="en-CA"/>
          </w:rPr>
          <w:t>As</w:t>
        </w:r>
      </w:ins>
      <w:r>
        <w:rPr>
          <w:lang w:val="en-CA"/>
        </w:rPr>
        <w:t xml:space="preserve"> well</w:t>
      </w:r>
      <w:ins w:id="12" w:author="Arushri Swarup" w:date="2017-06-13T21:37:00Z">
        <w:r w:rsidR="007517A3">
          <w:rPr>
            <w:lang w:val="en-CA"/>
          </w:rPr>
          <w:t>,</w:t>
        </w:r>
      </w:ins>
      <w:r>
        <w:rPr>
          <w:lang w:val="en-CA"/>
        </w:rPr>
        <w:t xml:space="preserve"> </w:t>
      </w:r>
      <w:del w:id="13" w:author="Arushri Swarup" w:date="2017-06-13T21:37:00Z">
        <w:r w:rsidDel="007517A3">
          <w:rPr>
            <w:lang w:val="en-CA"/>
          </w:rPr>
          <w:delText xml:space="preserve">as </w:delText>
        </w:r>
      </w:del>
      <w:r>
        <w:rPr>
          <w:lang w:val="en-CA"/>
        </w:rPr>
        <w:t xml:space="preserve">interviews with </w:t>
      </w:r>
      <w:r w:rsidR="00B55125" w:rsidRPr="00B55125">
        <w:rPr>
          <w:lang w:val="en-CA"/>
        </w:rPr>
        <w:t>local</w:t>
      </w:r>
      <w:ins w:id="14" w:author="Kyle Eastwood" w:date="2017-06-13T12:48:00Z">
        <w:r w:rsidR="00480BFD">
          <w:rPr>
            <w:lang w:val="en-CA"/>
          </w:rPr>
          <w:t xml:space="preserve"> </w:t>
        </w:r>
        <w:r w:rsidR="0073553A" w:rsidRPr="0073553A">
          <w:rPr>
            <w:highlight w:val="yellow"/>
            <w:lang w:val="en-CA"/>
            <w:rPrChange w:id="15" w:author="Kyle Eastwood" w:date="2017-06-13T12:48:00Z">
              <w:rPr>
                <w:lang w:val="en-CA"/>
              </w:rPr>
            </w:rPrChange>
          </w:rPr>
          <w:t>{how many}</w:t>
        </w:r>
      </w:ins>
      <w:r w:rsidR="00B55125" w:rsidRPr="00B55125">
        <w:rPr>
          <w:lang w:val="en-CA"/>
        </w:rPr>
        <w:t xml:space="preserve"> ear surgeons </w:t>
      </w:r>
      <w:r>
        <w:rPr>
          <w:lang w:val="en-CA"/>
        </w:rPr>
        <w:t xml:space="preserve">were used </w:t>
      </w:r>
      <w:r w:rsidR="00B55125" w:rsidRPr="00B55125">
        <w:rPr>
          <w:lang w:val="en-CA"/>
        </w:rPr>
        <w:t xml:space="preserve">to collect </w:t>
      </w:r>
      <w:r>
        <w:rPr>
          <w:lang w:val="en-CA"/>
        </w:rPr>
        <w:t xml:space="preserve">a list of </w:t>
      </w:r>
      <w:r w:rsidR="00B55125" w:rsidRPr="00B55125">
        <w:rPr>
          <w:lang w:val="en-CA"/>
        </w:rPr>
        <w:t xml:space="preserve">difficulties experienced during TEES and how to address these difficulties. </w:t>
      </w:r>
      <w:r w:rsidRPr="00321A5D">
        <w:rPr>
          <w:lang w:val="en-CA"/>
        </w:rPr>
        <w:t xml:space="preserve">The questionnaire asks surgeons to rate the degree of difficulty associated with specific tasks during TEES. </w:t>
      </w:r>
      <w:r w:rsidR="00086F3F">
        <w:rPr>
          <w:lang w:val="en-CA"/>
        </w:rPr>
        <w:t xml:space="preserve">The difficulties are: </w:t>
      </w:r>
      <w:commentRangeStart w:id="16"/>
      <w:r w:rsidR="00086F3F">
        <w:t>bleeding control to keep the operative field clean and maintain hemostasis, reaching inaccessible structures visualized by the endoscope, cutting and removing bone, keeping the endoscope lens clean to avoid removing it to clean the lens periodically, moving and positioning a graft into the intended position for tympanoplasty and dissection and removal of cholesteatoma.</w:t>
      </w:r>
      <w:commentRangeEnd w:id="5"/>
      <w:r w:rsidR="00480BFD">
        <w:rPr>
          <w:rStyle w:val="CommentReference"/>
        </w:rPr>
        <w:commentReference w:id="5"/>
      </w:r>
      <w:r w:rsidR="00086F3F">
        <w:t xml:space="preserve"> </w:t>
      </w:r>
      <w:commentRangeEnd w:id="16"/>
      <w:r w:rsidR="00480BFD">
        <w:rPr>
          <w:rStyle w:val="CommentReference"/>
        </w:rPr>
        <w:commentReference w:id="16"/>
      </w:r>
    </w:p>
    <w:p w:rsidR="00480BFD" w:rsidRDefault="00B55125" w:rsidP="007367B4">
      <w:pPr>
        <w:ind w:firstLine="720"/>
        <w:rPr>
          <w:ins w:id="17" w:author="Kyle Eastwood" w:date="2017-06-13T12:45:00Z"/>
        </w:rPr>
      </w:pPr>
      <w:r w:rsidRPr="00AC1CBF">
        <w:t xml:space="preserve">The questionnaire uses an analog visual scale to rate the degree to which they experience a list of difficulties during TEES. </w:t>
      </w:r>
    </w:p>
    <w:p w:rsidR="00B55125" w:rsidRPr="007367B4" w:rsidRDefault="00B55125" w:rsidP="007367B4">
      <w:pPr>
        <w:ind w:firstLine="720"/>
        <w:rPr>
          <w:lang w:val="en-CA"/>
        </w:rPr>
      </w:pPr>
      <w:commentRangeStart w:id="18"/>
      <w:r w:rsidRPr="00AC1CBF">
        <w:t xml:space="preserve">An analog visual scale was chosen as it is a continuous rating scale and so respondents can pick any value between the boundary points and visually see where their answer lies in the scale </w:t>
      </w:r>
      <w:r w:rsidR="0073553A" w:rsidRPr="00AC1CBF">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73553A" w:rsidRPr="00AC1CBF">
        <w:fldChar w:fldCharType="separate"/>
      </w:r>
      <w:r w:rsidR="00876325" w:rsidRPr="00876325">
        <w:rPr>
          <w:noProof/>
        </w:rPr>
        <w:t>[11]</w:t>
      </w:r>
      <w:r w:rsidR="0073553A" w:rsidRPr="00AC1CBF">
        <w:fldChar w:fldCharType="end"/>
      </w:r>
      <w:r w:rsidRPr="00AC1CBF">
        <w:t xml:space="preserve"> </w:t>
      </w:r>
      <w:r w:rsidR="0073553A" w:rsidRPr="00AC1CBF">
        <w:fldChar w:fldCharType="begin" w:fldLock="1"/>
      </w:r>
      <w:r w:rsidR="00876325">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73553A" w:rsidRPr="00AC1CBF">
        <w:fldChar w:fldCharType="separate"/>
      </w:r>
      <w:r w:rsidR="00876325" w:rsidRPr="00876325">
        <w:rPr>
          <w:noProof/>
        </w:rPr>
        <w:t>[12]</w:t>
      </w:r>
      <w:r w:rsidR="0073553A"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73553A">
        <w:fldChar w:fldCharType="begin" w:fldLock="1"/>
      </w:r>
      <w:r w:rsidR="00876325">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73553A">
        <w:fldChar w:fldCharType="separate"/>
      </w:r>
      <w:r w:rsidR="00876325" w:rsidRPr="00876325">
        <w:rPr>
          <w:noProof/>
        </w:rPr>
        <w:t>[11]</w:t>
      </w:r>
      <w:r w:rsidR="0073553A">
        <w:fldChar w:fldCharType="end"/>
      </w:r>
      <w:r w:rsidR="00D272CC">
        <w:t xml:space="preserve"> </w:t>
      </w:r>
      <w:r w:rsidR="0073553A">
        <w:fldChar w:fldCharType="begin" w:fldLock="1"/>
      </w:r>
      <w:r w:rsidR="00876325">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73553A">
        <w:fldChar w:fldCharType="separate"/>
      </w:r>
      <w:r w:rsidR="00876325" w:rsidRPr="00876325">
        <w:rPr>
          <w:noProof/>
        </w:rPr>
        <w:t>[13]</w:t>
      </w:r>
      <w:r w:rsidR="0073553A">
        <w:fldChar w:fldCharType="end"/>
      </w:r>
      <w:r w:rsidRPr="00AC1CBF">
        <w:t xml:space="preserve">. </w:t>
      </w:r>
      <w:commentRangeEnd w:id="18"/>
      <w:r w:rsidR="00480BFD">
        <w:rPr>
          <w:rStyle w:val="CommentReference"/>
        </w:rPr>
        <w:commentReference w:id="18"/>
      </w:r>
    </w:p>
    <w:p w:rsidR="00752119" w:rsidRDefault="0014467C" w:rsidP="00752119">
      <w:r>
        <w:tab/>
        <w:t>The questionnaire was sent to otologists who participated in the 2</w:t>
      </w:r>
      <w:r w:rsidRPr="0014467C">
        <w:rPr>
          <w:vertAlign w:val="superscript"/>
        </w:rPr>
        <w:t>nd</w:t>
      </w:r>
      <w:r>
        <w:t xml:space="preserve"> World Congress of Endoscopic Ear Surgery </w:t>
      </w:r>
      <w:r w:rsidRPr="0014467C">
        <w:rPr>
          <w:highlight w:val="yellow"/>
        </w:rPr>
        <w:t>&lt;insert number of attendees&gt;,</w:t>
      </w:r>
      <w:r>
        <w:t xml:space="preserve"> this group of otologists have an interest in TEES as they attended this TEES conference. </w:t>
      </w:r>
      <w:r w:rsidR="00E96D87" w:rsidRPr="00E96D87">
        <w:rPr>
          <w:highlight w:val="yellow"/>
        </w:rPr>
        <w:t>&lt;insert more groups of people once they have the survey&gt;</w:t>
      </w:r>
      <w:r w:rsidR="00E96D87">
        <w:t xml:space="preserve"> The responses were completely anonymous, and collected using </w:t>
      </w:r>
      <w:proofErr w:type="spellStart"/>
      <w:r w:rsidR="00E96D87">
        <w:t>SickKids</w:t>
      </w:r>
      <w:proofErr w:type="spellEnd"/>
      <w:r w:rsidR="00E96D87">
        <w:t xml:space="preserve"> </w:t>
      </w:r>
      <w:proofErr w:type="spellStart"/>
      <w:r w:rsidR="00E96D87">
        <w:t>RedCap</w:t>
      </w:r>
      <w:proofErr w:type="spellEnd"/>
      <w:r w:rsidR="00E96D87">
        <w:t xml:space="preserve"> project management software, which hosted the survey and managed the </w:t>
      </w:r>
      <w:r w:rsidR="000F2E0C">
        <w:t xml:space="preserve">anonymous </w:t>
      </w:r>
      <w:r w:rsidR="00E96D87">
        <w:t xml:space="preserve">responses. </w:t>
      </w:r>
    </w:p>
    <w:p w:rsidR="0014467C" w:rsidRDefault="0014467C" w:rsidP="00752119"/>
    <w:p w:rsidR="00752119" w:rsidRDefault="00752119" w:rsidP="00752119">
      <w:pPr>
        <w:pStyle w:val="Heading3"/>
      </w:pPr>
      <w:commentRangeStart w:id="19"/>
      <w:commentRangeStart w:id="20"/>
      <w:r>
        <w:t>Statistical Analysi</w:t>
      </w:r>
      <w:commentRangeEnd w:id="19"/>
      <w:r w:rsidR="00AA5327">
        <w:rPr>
          <w:rStyle w:val="CommentReference"/>
          <w:rFonts w:asciiTheme="minorHAnsi" w:eastAsiaTheme="minorHAnsi" w:hAnsiTheme="minorHAnsi" w:cstheme="minorBidi"/>
          <w:color w:val="auto"/>
        </w:rPr>
        <w:commentReference w:id="19"/>
      </w:r>
      <w:commentRangeEnd w:id="20"/>
      <w:r w:rsidR="00AA5327">
        <w:rPr>
          <w:rStyle w:val="CommentReference"/>
          <w:rFonts w:asciiTheme="minorHAnsi" w:eastAsiaTheme="minorHAnsi" w:hAnsiTheme="minorHAnsi" w:cstheme="minorBidi"/>
          <w:color w:val="auto"/>
        </w:rPr>
        <w:commentReference w:id="20"/>
      </w:r>
      <w:r>
        <w:t>s</w:t>
      </w:r>
      <w:r w:rsidR="00DB6365">
        <w:t xml:space="preserve"> </w:t>
      </w:r>
    </w:p>
    <w:p w:rsidR="00DB6365" w:rsidRPr="00DB6365" w:rsidRDefault="00DB6365" w:rsidP="00DB6365">
      <w:r w:rsidRPr="00DB6365">
        <w:t>http://blog.minitab.com/blog/adventures-in-statistics-2/choosing-between-a-nonparametric-test-and-a-parametric-test</w:t>
      </w:r>
    </w:p>
    <w:p w:rsidR="00B2654D" w:rsidRDefault="00B2654D" w:rsidP="00015BCD"/>
    <w:p w:rsidR="00015BCD" w:rsidRDefault="000F2E0C" w:rsidP="00015BCD">
      <w:r>
        <w:t xml:space="preserve">The </w:t>
      </w:r>
      <w:r w:rsidR="00D272CC">
        <w:t>continuous</w:t>
      </w:r>
      <w:r>
        <w:t xml:space="preserve"> data</w:t>
      </w:r>
      <w:r w:rsidR="00717583">
        <w:t xml:space="preserve"> was analyzed using </w:t>
      </w:r>
      <w:commentRangeStart w:id="21"/>
      <w:r>
        <w:t>ANOVA</w:t>
      </w:r>
      <w:commentRangeEnd w:id="21"/>
      <w:r w:rsidR="00C06B28">
        <w:rPr>
          <w:rStyle w:val="CommentReference"/>
        </w:rPr>
        <w:commentReference w:id="21"/>
      </w:r>
      <w:r>
        <w:t xml:space="preserve"> </w:t>
      </w:r>
      <w:r w:rsidR="00AA3FC3">
        <w:t>on</w:t>
      </w:r>
      <w:r>
        <w:t xml:space="preserve"> JUMP </w:t>
      </w:r>
      <w:commentRangeStart w:id="22"/>
      <w:r>
        <w:t>software</w:t>
      </w:r>
      <w:commentRangeEnd w:id="22"/>
      <w:r w:rsidR="00AA5327">
        <w:rPr>
          <w:rStyle w:val="CommentReference"/>
        </w:rPr>
        <w:commentReference w:id="22"/>
      </w:r>
      <w:r>
        <w:t xml:space="preserve">. </w:t>
      </w:r>
    </w:p>
    <w:p w:rsidR="00F56777" w:rsidRDefault="007517A3" w:rsidP="00015BCD">
      <w:ins w:id="23" w:author="Arushri Swarup" w:date="2017-06-13T21:36:00Z">
        <w:r>
          <w:t xml:space="preserve">Results </w:t>
        </w:r>
        <w:r>
          <w:t>–</w:t>
        </w:r>
        <w:r>
          <w:t xml:space="preserve"> some have no value, does that mean that they meant moderately useful?</w:t>
        </w:r>
      </w:ins>
    </w:p>
    <w:p w:rsidR="00015BCD" w:rsidRDefault="00015BCD" w:rsidP="00015BCD">
      <w:pPr>
        <w:pStyle w:val="Heading2"/>
      </w:pPr>
      <w:r>
        <w:lastRenderedPageBreak/>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otologists</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015BCD" w:rsidRDefault="00015BCD" w:rsidP="00015BCD"/>
    <w:p w:rsidR="00350E52" w:rsidRDefault="00350E52" w:rsidP="00015BCD">
      <w:pPr>
        <w:pStyle w:val="Heading2"/>
      </w:pPr>
    </w:p>
    <w:p w:rsidR="00350E52" w:rsidRDefault="00350E52" w:rsidP="00015BCD">
      <w:pPr>
        <w:pStyle w:val="Heading2"/>
      </w:pPr>
      <w:commentRangeStart w:id="24"/>
      <w:commentRangeStart w:id="25"/>
      <w:r>
        <w:rPr>
          <w:noProof/>
          <w:lang w:val="en-CA" w:eastAsia="en-CA"/>
        </w:rPr>
        <w:drawing>
          <wp:inline distT="0" distB="0" distL="0" distR="0">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24"/>
      <w:r w:rsidR="00AA5327">
        <w:rPr>
          <w:rStyle w:val="CommentReference"/>
          <w:rFonts w:asciiTheme="minorHAnsi" w:eastAsiaTheme="minorHAnsi" w:hAnsiTheme="minorHAnsi" w:cstheme="minorBidi"/>
          <w:color w:val="auto"/>
        </w:rPr>
        <w:commentReference w:id="24"/>
      </w:r>
      <w:commentRangeEnd w:id="25"/>
      <w:r w:rsidR="00492755">
        <w:rPr>
          <w:rStyle w:val="CommentReference"/>
          <w:rFonts w:asciiTheme="minorHAnsi" w:eastAsiaTheme="minorHAnsi" w:hAnsiTheme="minorHAnsi" w:cstheme="minorBidi"/>
          <w:color w:val="auto"/>
        </w:rPr>
        <w:commentReference w:id="25"/>
      </w:r>
    </w:p>
    <w:p w:rsidR="000F119D" w:rsidRDefault="000F119D" w:rsidP="000F119D"/>
    <w:p w:rsidR="000F119D" w:rsidRPr="000F119D" w:rsidRDefault="000F119D" w:rsidP="000F119D">
      <w:r>
        <w:t>The degree of need to facilitate each difficulty during TEES was over 50%, suggesting that each of these difficulties are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w:t>
      </w:r>
      <w:proofErr w:type="gramStart"/>
      <w:r>
        <w:t>% ,</w:t>
      </w:r>
      <w:proofErr w:type="gramEnd"/>
      <w:r>
        <w:t xml:space="preserve"> respectively. </w:t>
      </w:r>
    </w:p>
    <w:p w:rsidR="000E6B39" w:rsidRDefault="000E6B39" w:rsidP="000E6B39">
      <w:commentRangeStart w:id="26"/>
      <w:r>
        <w:rPr>
          <w:noProof/>
          <w:lang w:val="en-CA" w:eastAsia="en-CA"/>
        </w:rPr>
        <w:lastRenderedPageBreak/>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26"/>
      <w:r w:rsidR="00AA5327">
        <w:rPr>
          <w:rStyle w:val="CommentReference"/>
        </w:rPr>
        <w:commentReference w:id="26"/>
      </w:r>
    </w:p>
    <w:p w:rsidR="000E6B39" w:rsidRDefault="000E6B39" w:rsidP="000E6B39"/>
    <w:p w:rsidR="000E6B39" w:rsidRDefault="000E6B39" w:rsidP="000E6B39">
      <w:r>
        <w:rPr>
          <w:noProof/>
          <w:lang w:val="en-CA" w:eastAsia="en-CA"/>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0C3C" w:rsidRDefault="00340C3C" w:rsidP="000E6B39"/>
    <w:p w:rsidR="00F56777" w:rsidRDefault="00F56777" w:rsidP="00F56777"/>
    <w:p w:rsidR="00F56777" w:rsidRDefault="00F56777" w:rsidP="00F56777">
      <w:commentRangeStart w:id="27"/>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27"/>
      <w:r w:rsidR="00AA5327">
        <w:rPr>
          <w:rStyle w:val="CommentReference"/>
        </w:rPr>
        <w:commentReference w:id="27"/>
      </w:r>
    </w:p>
    <w:p w:rsidR="00F56777" w:rsidRDefault="00F56777" w:rsidP="00F56777"/>
    <w:p w:rsidR="00490FD1" w:rsidRPr="00490FD1" w:rsidRDefault="00015BCD" w:rsidP="00086F3F">
      <w:pPr>
        <w:pStyle w:val="Heading2"/>
      </w:pPr>
      <w:commentRangeStart w:id="28"/>
      <w:commentRangeStart w:id="29"/>
      <w:r>
        <w:t>Discussion</w:t>
      </w:r>
      <w:commentRangeEnd w:id="28"/>
      <w:r w:rsidR="00C06B28">
        <w:rPr>
          <w:rStyle w:val="CommentReference"/>
          <w:rFonts w:asciiTheme="minorHAnsi" w:eastAsiaTheme="minorHAnsi" w:hAnsiTheme="minorHAnsi" w:cstheme="minorBidi"/>
          <w:color w:val="auto"/>
        </w:rPr>
        <w:commentReference w:id="28"/>
      </w:r>
      <w:r>
        <w:t xml:space="preserve">: </w:t>
      </w:r>
      <w:commentRangeEnd w:id="29"/>
      <w:r w:rsidR="00C06B28">
        <w:rPr>
          <w:rStyle w:val="CommentReference"/>
          <w:rFonts w:asciiTheme="minorHAnsi" w:eastAsiaTheme="minorHAnsi" w:hAnsiTheme="minorHAnsi" w:cstheme="minorBidi"/>
          <w:color w:val="auto"/>
        </w:rPr>
        <w:commentReference w:id="29"/>
      </w:r>
    </w:p>
    <w:p w:rsidR="000B67EC" w:rsidRDefault="008D0425" w:rsidP="00414708">
      <w:pPr>
        <w:pStyle w:val="Heading3"/>
        <w:rPr>
          <w:lang w:val="en-CA"/>
        </w:rPr>
      </w:pPr>
      <w:r>
        <w:rPr>
          <w:lang w:val="en-CA"/>
        </w:rPr>
        <w:t>Bleeding c</w:t>
      </w:r>
      <w:r w:rsidR="000B67EC">
        <w:rPr>
          <w:lang w:val="en-CA"/>
        </w:rPr>
        <w:t xml:space="preserve">ontrol </w:t>
      </w:r>
    </w:p>
    <w:p w:rsidR="000B67EC" w:rsidRPr="00632743" w:rsidRDefault="000B67EC" w:rsidP="00414708">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73553A">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73553A">
        <w:fldChar w:fldCharType="separate"/>
      </w:r>
      <w:r w:rsidR="00866A1C" w:rsidRPr="00866A1C">
        <w:rPr>
          <w:noProof/>
        </w:rPr>
        <w:t>[5]</w:t>
      </w:r>
      <w:r w:rsidR="0073553A">
        <w:fldChar w:fldCharType="end"/>
      </w:r>
      <w:r>
        <w:t xml:space="preserve"> </w:t>
      </w:r>
      <w:r w:rsidR="0073553A">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73553A">
        <w:fldChar w:fldCharType="separate"/>
      </w:r>
      <w:r w:rsidR="00866A1C" w:rsidRPr="00866A1C">
        <w:rPr>
          <w:noProof/>
        </w:rPr>
        <w:t>[6]</w:t>
      </w:r>
      <w:r w:rsidR="0073553A">
        <w:fldChar w:fldCharType="end"/>
      </w:r>
      <w:r>
        <w:t xml:space="preserve">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rsidR="00866A1C">
        <w:t xml:space="preserve"> </w:t>
      </w:r>
      <w:r w:rsidR="0073553A">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73553A">
        <w:fldChar w:fldCharType="separate"/>
      </w:r>
      <w:r w:rsidR="00866A1C" w:rsidRPr="00866A1C">
        <w:rPr>
          <w:noProof/>
        </w:rPr>
        <w:t>[4]</w:t>
      </w:r>
      <w:r w:rsidR="0073553A">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w:t>
      </w:r>
      <w:r>
        <w:lastRenderedPageBreak/>
        <w:t xml:space="preserve">for suction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Specialized instruments are being developed to mitigate the problem of bleeding control. </w:t>
      </w:r>
      <w:r w:rsidR="00876325">
        <w:t xml:space="preserve">During TEES, Lea and </w:t>
      </w:r>
      <w:proofErr w:type="spellStart"/>
      <w:r w:rsidR="00876325">
        <w:t>Mijovic</w:t>
      </w:r>
      <w:proofErr w:type="spellEnd"/>
      <w:r w:rsidR="00876325">
        <w:t xml:space="preserve"> list techniques to maintain proper hemostasis, which helps account for the one-handed approach, including injection of local anesthetic and epinephrine, packing the ear canal with topical epinephrine soaked neuro-patties before surgery, maintaining hypotensive  anesthesia and gentle head elevation, careful instrument manipulation in external canal </w:t>
      </w:r>
      <w:r w:rsidR="001C12A0">
        <w:t>and</w:t>
      </w:r>
      <w:r w:rsidR="00876325">
        <w:t xml:space="preserve"> applying epinephrine soaked cotton balls while raising the </w:t>
      </w:r>
      <w:proofErr w:type="spellStart"/>
      <w:r w:rsidR="00876325">
        <w:t>tympanomeatal</w:t>
      </w:r>
      <w:proofErr w:type="spellEnd"/>
      <w:r w:rsidR="00876325">
        <w:t xml:space="preserve"> flap</w:t>
      </w:r>
      <w:r w:rsidR="001C12A0">
        <w:t xml:space="preserve"> </w:t>
      </w:r>
      <w:r w:rsidR="0073553A">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fldChar w:fldCharType="separate"/>
      </w:r>
      <w:r w:rsidR="001C12A0" w:rsidRPr="001C12A0">
        <w:rPr>
          <w:noProof/>
        </w:rPr>
        <w:t>[8]</w:t>
      </w:r>
      <w:r w:rsidR="0073553A">
        <w:fldChar w:fldCharType="end"/>
      </w:r>
      <w:r w:rsidR="001C12A0">
        <w:t>.</w:t>
      </w:r>
      <w:r w:rsidR="00876325">
        <w:t xml:space="preserve">  </w:t>
      </w:r>
    </w:p>
    <w:p w:rsidR="00414708" w:rsidRDefault="00414708" w:rsidP="00414708">
      <w:pPr>
        <w:pStyle w:val="Heading3"/>
        <w:rPr>
          <w:lang w:val="en-CA"/>
        </w:rPr>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epitympanic recess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Specialized instruments that have a curved tip in order to reach structures visualized by the endoscope are also being developed, particularly instruments to reach the sinus tympani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As well, residual cholesteatoma occurs if cholesteatoma is found in inaccessible areas </w:t>
      </w:r>
      <w:r w:rsidR="0073553A">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73553A">
        <w:fldChar w:fldCharType="separate"/>
      </w:r>
      <w:r w:rsidR="00876325" w:rsidRPr="00876325">
        <w:rPr>
          <w:noProof/>
        </w:rPr>
        <w:t>[14]</w:t>
      </w:r>
      <w:r w:rsidR="0073553A">
        <w:fldChar w:fldCharType="end"/>
      </w:r>
      <w:r>
        <w:t xml:space="preserve"> </w:t>
      </w:r>
      <w:r w:rsidR="0073553A">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73553A">
        <w:fldChar w:fldCharType="separate"/>
      </w:r>
      <w:r w:rsidR="00876325" w:rsidRPr="00876325">
        <w:rPr>
          <w:noProof/>
        </w:rPr>
        <w:t>[15]</w:t>
      </w:r>
      <w:r w:rsidR="0073553A">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r w:rsidRPr="000B67EC">
        <w:rPr>
          <w:highlight w:val="yellow"/>
        </w:rPr>
        <w:t>need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73553A">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73553A">
        <w:fldChar w:fldCharType="separate"/>
      </w:r>
      <w:r w:rsidRPr="00A440DB">
        <w:rPr>
          <w:noProof/>
        </w:rPr>
        <w:t>[3]</w:t>
      </w:r>
      <w:r w:rsidR="0073553A">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Pr="00041A9F"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73553A">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73553A">
        <w:fldChar w:fldCharType="separate"/>
      </w:r>
      <w:r w:rsidR="00876325" w:rsidRPr="00876325">
        <w:rPr>
          <w:noProof/>
        </w:rPr>
        <w:t>[16]</w:t>
      </w:r>
      <w:r w:rsidR="0073553A">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73553A">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73553A">
        <w:fldChar w:fldCharType="separate"/>
      </w:r>
      <w:r w:rsidR="00876325" w:rsidRPr="00876325">
        <w:rPr>
          <w:noProof/>
        </w:rPr>
        <w:t>[16]</w:t>
      </w:r>
      <w:r w:rsidR="0073553A">
        <w:fldChar w:fldCharType="end"/>
      </w:r>
      <w:r>
        <w:t>. Performing this technique single handedly can be challenging and so perhaps a tool that facilitates graft manipulation would be helpful for TEES surgeons</w:t>
      </w:r>
      <w:commentRangeStart w:id="30"/>
      <w:r>
        <w:t xml:space="preserve">. </w:t>
      </w:r>
      <w:r w:rsidR="00333E83">
        <w:t xml:space="preserve">Lea and </w:t>
      </w:r>
      <w:proofErr w:type="spellStart"/>
      <w:r w:rsidR="00333E83">
        <w:t>Mijovic</w:t>
      </w:r>
      <w:proofErr w:type="spellEnd"/>
      <w:r w:rsidR="00333E83">
        <w:t xml:space="preserve"> </w:t>
      </w:r>
      <w:commentRangeEnd w:id="30"/>
      <w:r w:rsidR="00E87C2C">
        <w:rPr>
          <w:rStyle w:val="CommentReference"/>
        </w:rPr>
        <w:commentReference w:id="30"/>
      </w:r>
      <w:r w:rsidR="00333E83">
        <w:t xml:space="preserve">show that cartilage or graft placement is easier when using two hands in a surgery video </w:t>
      </w:r>
      <w:r w:rsidR="0073553A">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73553A">
        <w:fldChar w:fldCharType="separate"/>
      </w:r>
      <w:r w:rsidR="00333E83" w:rsidRPr="00333E83">
        <w:rPr>
          <w:noProof/>
        </w:rPr>
        <w:t>[8]</w:t>
      </w:r>
      <w:r w:rsidR="0073553A">
        <w:fldChar w:fldCharType="end"/>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lastRenderedPageBreak/>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F83A69" w:rsidP="00132782">
      <w:pPr>
        <w:pStyle w:val="ListParagraph"/>
        <w:numPr>
          <w:ilvl w:val="1"/>
          <w:numId w:val="6"/>
        </w:numPr>
      </w:pPr>
      <w:r>
        <w:t>number of respondents</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73553A">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73553A">
        <w:fldChar w:fldCharType="separate"/>
      </w:r>
      <w:r w:rsidR="00876325" w:rsidRPr="00876325">
        <w:rPr>
          <w:noProof/>
        </w:rPr>
        <w:t>[17]</w:t>
      </w:r>
      <w:r w:rsidR="0073553A">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Technical challenges of neuroendoscopy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neuroendoscopy, as seen by the high number of </w:t>
      </w:r>
      <w:proofErr w:type="spellStart"/>
      <w:r>
        <w:t>peadiatric</w:t>
      </w:r>
      <w:proofErr w:type="spellEnd"/>
      <w:r>
        <w:t xml:space="preserve">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Purely Endoscopic Removal of Intraventricular Brain Tumors:</w:t>
      </w:r>
      <w:r>
        <w:t xml:space="preserve"> A Consensus Opinion and Update”</w:t>
      </w:r>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r>
        <w:t>how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rsidR="00DC50B3" w:rsidRDefault="0073553A"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rsidR="00BE7A8C" w:rsidRDefault="00BE7A8C">
      <w:r>
        <w:br w:type="page"/>
      </w:r>
    </w:p>
    <w:p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r w:rsidR="0073553A">
        <w:fldChar w:fldCharType="begin" w:fldLock="1"/>
      </w:r>
      <w:r w:rsidR="00DC50B3">
        <w:instrText xml:space="preserve">ADDIN Mendeley Bibliography CSL_BIBLIOGRAPHY </w:instrText>
      </w:r>
      <w:r w:rsidR="0073553A">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rsidR="00DC50B3" w:rsidRPr="00743726" w:rsidRDefault="0073553A"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yle Eastwood" w:date="2017-06-13T12:39:00Z" w:initials="KE">
    <w:p w:rsidR="00480BFD" w:rsidRDefault="00480BFD">
      <w:pPr>
        <w:pStyle w:val="CommentText"/>
      </w:pPr>
      <w:r>
        <w:rPr>
          <w:rStyle w:val="CommentReference"/>
        </w:rPr>
        <w:annotationRef/>
      </w:r>
      <w:r>
        <w:t>Identify, describe and rank?</w:t>
      </w:r>
    </w:p>
  </w:comment>
  <w:comment w:id="2" w:author="Kyle Eastwood" w:date="2017-06-13T12:44:00Z" w:initials="KE">
    <w:p w:rsidR="00480BFD" w:rsidRDefault="00480BFD">
      <w:pPr>
        <w:pStyle w:val="CommentText"/>
      </w:pPr>
      <w:r>
        <w:rPr>
          <w:rStyle w:val="CommentReference"/>
        </w:rPr>
        <w:annotationRef/>
      </w:r>
      <w:r>
        <w:t>This should not be in the methods – maybe intro, maybe another section</w:t>
      </w:r>
    </w:p>
  </w:comment>
  <w:comment w:id="7" w:author="Kyle Eastwood" w:date="2017-06-13T12:48:00Z" w:initials="KE">
    <w:p w:rsidR="00480BFD" w:rsidRDefault="00480BFD">
      <w:pPr>
        <w:pStyle w:val="CommentText"/>
      </w:pPr>
      <w:r>
        <w:rPr>
          <w:rStyle w:val="CommentReference"/>
        </w:rPr>
        <w:annotationRef/>
      </w:r>
      <w:r>
        <w:t>What type?</w:t>
      </w:r>
      <w:r w:rsidR="00AA5327">
        <w:t xml:space="preserve"> How did you do it?</w:t>
      </w:r>
    </w:p>
  </w:comment>
  <w:comment w:id="5" w:author="Kyle Eastwood" w:date="2017-06-13T12:45:00Z" w:initials="KE">
    <w:p w:rsidR="00480BFD" w:rsidRDefault="00480BFD">
      <w:pPr>
        <w:pStyle w:val="CommentText"/>
      </w:pPr>
      <w:r>
        <w:rPr>
          <w:rStyle w:val="CommentReference"/>
        </w:rPr>
        <w:annotationRef/>
      </w:r>
    </w:p>
  </w:comment>
  <w:comment w:id="16" w:author="Kyle Eastwood" w:date="2017-06-13T12:47:00Z" w:initials="KE">
    <w:p w:rsidR="00480BFD" w:rsidRDefault="00480BFD">
      <w:pPr>
        <w:pStyle w:val="CommentText"/>
      </w:pPr>
      <w:r>
        <w:rPr>
          <w:rStyle w:val="CommentReference"/>
        </w:rPr>
        <w:annotationRef/>
      </w:r>
      <w:r>
        <w:t>Maybe bullets? -&gt; Mention that you have included a copy of the questionnaire in the appendix or it is accessible by a link.</w:t>
      </w:r>
    </w:p>
  </w:comment>
  <w:comment w:id="18" w:author="Kyle Eastwood" w:date="2017-06-13T12:44:00Z" w:initials="KE">
    <w:p w:rsidR="00480BFD" w:rsidRDefault="00480BFD">
      <w:pPr>
        <w:pStyle w:val="CommentText"/>
      </w:pPr>
      <w:r>
        <w:rPr>
          <w:rStyle w:val="CommentReference"/>
        </w:rPr>
        <w:annotationRef/>
      </w:r>
      <w:r>
        <w:t>This should be in discussion</w:t>
      </w:r>
    </w:p>
  </w:comment>
  <w:comment w:id="19" w:author="Kyle Eastwood" w:date="2017-06-13T12:50:00Z" w:initials="KE">
    <w:p w:rsidR="00AA5327" w:rsidRDefault="00AA5327">
      <w:pPr>
        <w:pStyle w:val="CommentText"/>
      </w:pPr>
      <w:r>
        <w:rPr>
          <w:rStyle w:val="CommentReference"/>
        </w:rPr>
        <w:annotationRef/>
      </w:r>
      <w:r>
        <w:t xml:space="preserve">How are you conducting the qualitative side of the analysis. </w:t>
      </w:r>
    </w:p>
  </w:comment>
  <w:comment w:id="20" w:author="Kyle Eastwood" w:date="2017-06-13T12:56:00Z" w:initials="KE">
    <w:p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21" w:author="Kyle Eastwood" w:date="2017-06-13T13:00:00Z" w:initials="KE">
    <w:p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22" w:author="Kyle Eastwood" w:date="2017-06-13T12:49:00Z" w:initials="KE">
    <w:p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24" w:author="Kyle Eastwood" w:date="2017-06-13T12:57:00Z" w:initials="KE">
    <w:p w:rsidR="00AA5327" w:rsidRDefault="00AA5327">
      <w:pPr>
        <w:pStyle w:val="CommentText"/>
      </w:pPr>
      <w:r>
        <w:rPr>
          <w:rStyle w:val="CommentReference"/>
        </w:rPr>
        <w:annotationRef/>
      </w:r>
      <w:r>
        <w:t>Will you try to rank these in terms of order of importance?</w:t>
      </w:r>
    </w:p>
  </w:comment>
  <w:comment w:id="25" w:author="Kyle Eastwood" w:date="2017-06-13T13:11:00Z" w:initials="KE">
    <w:p w:rsidR="00492755" w:rsidRDefault="00492755">
      <w:pPr>
        <w:pStyle w:val="CommentText"/>
      </w:pPr>
      <w:r>
        <w:rPr>
          <w:rStyle w:val="CommentReference"/>
        </w:rPr>
        <w:annotationRef/>
      </w:r>
      <w:r>
        <w:t>Will you try and derive themes</w:t>
      </w:r>
      <w:r w:rsidR="00E87730">
        <w:t xml:space="preserve">? </w:t>
      </w:r>
      <w:proofErr w:type="spellStart"/>
      <w:r w:rsidR="00E87730">
        <w:t>Ie</w:t>
      </w:r>
      <w:proofErr w:type="spellEnd"/>
      <w:r w:rsidR="00E87730">
        <w:t>. Challenges are caused by manipulation difficulties, visualization challenges, planning and image guidance?  - like the neuro paper</w:t>
      </w:r>
    </w:p>
  </w:comment>
  <w:comment w:id="26" w:author="Kyle Eastwood" w:date="2017-06-13T12:57:00Z" w:initials="KE">
    <w:p w:rsidR="00AA5327" w:rsidRDefault="00AA5327">
      <w:pPr>
        <w:pStyle w:val="CommentText"/>
      </w:pPr>
      <w:r>
        <w:rPr>
          <w:rStyle w:val="CommentReference"/>
        </w:rPr>
        <w:annotationRef/>
      </w:r>
      <w:r>
        <w:t>I would summarize the demographic information of the surgeons first. This will provide the reader context for who was answering the “difficulty” questions</w:t>
      </w:r>
    </w:p>
    <w:p w:rsidR="00AA5327" w:rsidRDefault="00AA5327">
      <w:pPr>
        <w:pStyle w:val="CommentText"/>
      </w:pPr>
    </w:p>
    <w:p w:rsidR="00AA5327" w:rsidRDefault="00AA5327">
      <w:pPr>
        <w:pStyle w:val="CommentText"/>
      </w:pPr>
      <w:r>
        <w:t>I also suggest summarizing the demographic information in tables to be more concise</w:t>
      </w:r>
    </w:p>
  </w:comment>
  <w:comment w:id="27" w:author="Kyle Eastwood" w:date="2017-06-13T12:59:00Z" w:initials="KE">
    <w:p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28" w:author="Kyle Eastwood" w:date="2017-06-13T13:02:00Z" w:initials="KE">
    <w:p w:rsidR="00C06B28" w:rsidRDefault="00C06B28">
      <w:pPr>
        <w:pStyle w:val="CommentText"/>
      </w:pPr>
      <w:r>
        <w:rPr>
          <w:rStyle w:val="CommentReference"/>
        </w:rPr>
        <w:annotationRef/>
      </w:r>
      <w:r>
        <w:t xml:space="preserve">Start discussion with brief recap of study goal and method </w:t>
      </w:r>
      <w:proofErr w:type="spellStart"/>
      <w:r>
        <w:t>ie</w:t>
      </w:r>
      <w:proofErr w:type="spellEnd"/>
      <w:r>
        <w:t>. This study describes a survey of ENT TEES specialists that aims to understand…</w:t>
      </w:r>
    </w:p>
    <w:p w:rsidR="00391F05" w:rsidRDefault="00391F05">
      <w:pPr>
        <w:pStyle w:val="CommentText"/>
      </w:pPr>
    </w:p>
    <w:p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rsidR="00391F05" w:rsidRDefault="00391F05">
      <w:pPr>
        <w:pStyle w:val="CommentText"/>
      </w:pPr>
    </w:p>
    <w:p w:rsidR="00391F05" w:rsidRDefault="00391F05">
      <w:pPr>
        <w:pStyle w:val="CommentText"/>
      </w:pPr>
      <w:r>
        <w:t>Are you critiquing the technological solutions or just listing them? Are you distinguishing between solutions that are in the market vs “in development”</w:t>
      </w:r>
    </w:p>
    <w:p w:rsidR="00391F05" w:rsidRDefault="00391F05">
      <w:pPr>
        <w:pStyle w:val="CommentText"/>
      </w:pPr>
    </w:p>
    <w:p w:rsidR="00391F05" w:rsidRDefault="00391F05">
      <w:pPr>
        <w:pStyle w:val="CommentText"/>
      </w:pPr>
      <w:r>
        <w:t>You need to end some of these sections with a “so what” statement. When I read them, I feel like you are implying that the solutions you list are “getting the job done”</w:t>
      </w:r>
    </w:p>
  </w:comment>
  <w:comment w:id="29" w:author="Kyle Eastwood" w:date="2017-06-13T13:01:00Z" w:initials="KE">
    <w:p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30" w:author="Kyle Eastwood" w:date="2017-06-13T13:17:00Z" w:initials="KE">
    <w:p w:rsidR="00E87C2C" w:rsidRDefault="00E87C2C">
      <w:pPr>
        <w:pStyle w:val="CommentText"/>
      </w:pPr>
      <w:r>
        <w:rPr>
          <w:rStyle w:val="CommentReference"/>
        </w:rPr>
        <w:annotationRef/>
      </w:r>
      <w:r>
        <w:t>You cite the same people a lot -  I have been told to avoid this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3E6BE" w15:done="0"/>
  <w15:commentEx w15:paraId="1927BAE0" w15:done="0"/>
  <w15:commentEx w15:paraId="2438F187" w15:done="0"/>
  <w15:commentEx w15:paraId="37968CD4" w15:done="0"/>
  <w15:commentEx w15:paraId="25A5711E" w15:done="0"/>
  <w15:commentEx w15:paraId="56F1460B" w15:done="0"/>
  <w15:commentEx w15:paraId="0118EC0A" w15:done="0"/>
  <w15:commentEx w15:paraId="3423FF85" w15:paraIdParent="0118EC0A" w15:done="0"/>
  <w15:commentEx w15:paraId="640E5A85" w15:done="0"/>
  <w15:commentEx w15:paraId="15B3976B" w15:done="0"/>
  <w15:commentEx w15:paraId="25C49FAA" w15:done="0"/>
  <w15:commentEx w15:paraId="152372AE" w15:paraIdParent="25C49FAA" w15:done="0"/>
  <w15:commentEx w15:paraId="01B37EDA" w15:done="0"/>
  <w15:commentEx w15:paraId="5E162651" w15:done="0"/>
  <w15:commentEx w15:paraId="28278396" w15:done="0"/>
  <w15:commentEx w15:paraId="40AB8485" w15:done="0"/>
  <w15:commentEx w15:paraId="04728E14"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6"/>
  </w:num>
  <w:num w:numId="13">
    <w:abstractNumId w:val="6"/>
  </w:num>
  <w:num w:numId="14">
    <w:abstractNumId w:val="12"/>
  </w:num>
  <w:num w:numId="15">
    <w:abstractNumId w:val="15"/>
  </w:num>
  <w:num w:numId="16">
    <w:abstractNumId w:val="5"/>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42A4"/>
    <w:rsid w:val="00414708"/>
    <w:rsid w:val="00417EEA"/>
    <w:rsid w:val="00440BE7"/>
    <w:rsid w:val="00457A2B"/>
    <w:rsid w:val="00480BFD"/>
    <w:rsid w:val="00490FD1"/>
    <w:rsid w:val="00492755"/>
    <w:rsid w:val="004946F0"/>
    <w:rsid w:val="004E3980"/>
    <w:rsid w:val="00501CA9"/>
    <w:rsid w:val="005463E8"/>
    <w:rsid w:val="005D5B45"/>
    <w:rsid w:val="0061241A"/>
    <w:rsid w:val="00626E73"/>
    <w:rsid w:val="00632743"/>
    <w:rsid w:val="00635E1F"/>
    <w:rsid w:val="006527EB"/>
    <w:rsid w:val="00677D49"/>
    <w:rsid w:val="006A4781"/>
    <w:rsid w:val="006B2AD8"/>
    <w:rsid w:val="006D503B"/>
    <w:rsid w:val="006E6BEC"/>
    <w:rsid w:val="007039AD"/>
    <w:rsid w:val="00717583"/>
    <w:rsid w:val="0073553A"/>
    <w:rsid w:val="007367B4"/>
    <w:rsid w:val="00743726"/>
    <w:rsid w:val="007517A3"/>
    <w:rsid w:val="00752119"/>
    <w:rsid w:val="00775BB0"/>
    <w:rsid w:val="00783D5A"/>
    <w:rsid w:val="007A0AC6"/>
    <w:rsid w:val="007B7CB7"/>
    <w:rsid w:val="007C1B08"/>
    <w:rsid w:val="00812770"/>
    <w:rsid w:val="00814E34"/>
    <w:rsid w:val="00815668"/>
    <w:rsid w:val="00866A1C"/>
    <w:rsid w:val="00876325"/>
    <w:rsid w:val="0088566B"/>
    <w:rsid w:val="008D0425"/>
    <w:rsid w:val="008D470F"/>
    <w:rsid w:val="008F12E8"/>
    <w:rsid w:val="008F34BF"/>
    <w:rsid w:val="008F3D94"/>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535EB"/>
    <w:rsid w:val="00B55125"/>
    <w:rsid w:val="00B709A8"/>
    <w:rsid w:val="00B71630"/>
    <w:rsid w:val="00BB244B"/>
    <w:rsid w:val="00BE6365"/>
    <w:rsid w:val="00BE7A8C"/>
    <w:rsid w:val="00C06B28"/>
    <w:rsid w:val="00C17C21"/>
    <w:rsid w:val="00C42350"/>
    <w:rsid w:val="00C472E4"/>
    <w:rsid w:val="00C507DE"/>
    <w:rsid w:val="00CB3C93"/>
    <w:rsid w:val="00CF4112"/>
    <w:rsid w:val="00D272CC"/>
    <w:rsid w:val="00D33B34"/>
    <w:rsid w:val="00D64C5E"/>
    <w:rsid w:val="00DB6365"/>
    <w:rsid w:val="00DC50B3"/>
    <w:rsid w:val="00DF242E"/>
    <w:rsid w:val="00E13A27"/>
    <w:rsid w:val="00E41A53"/>
    <w:rsid w:val="00E87730"/>
    <w:rsid w:val="00E87C2C"/>
    <w:rsid w:val="00E96D87"/>
    <w:rsid w:val="00ED3161"/>
    <w:rsid w:val="00F56777"/>
    <w:rsid w:val="00F83A69"/>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6.8054465367161781</c:v>
                  </c:pt>
                  <c:pt idx="1">
                    <c:v>5.0158676788197356</c:v>
                  </c:pt>
                  <c:pt idx="2">
                    <c:v>3.6711022538526201</c:v>
                  </c:pt>
                  <c:pt idx="3">
                    <c:v>7.2652548868865265</c:v>
                  </c:pt>
                  <c:pt idx="4">
                    <c:v>7.3931274392731403</c:v>
                  </c:pt>
                  <c:pt idx="5">
                    <c:v>5.3053768772372267</c:v>
                  </c:pt>
                </c:numCache>
              </c:numRef>
            </c:plus>
            <c:minus>
              <c:numRef>
                <c:f>'EndoscopicEarSurgery_DATA_09-Ma'!$H$20:$M$20</c:f>
                <c:numCache>
                  <c:formatCode>General</c:formatCode>
                  <c:ptCount val="6"/>
                  <c:pt idx="0">
                    <c:v>6.8054465367161781</c:v>
                  </c:pt>
                  <c:pt idx="1">
                    <c:v>5.0158676788197356</c:v>
                  </c:pt>
                  <c:pt idx="2">
                    <c:v>3.6711022538526201</c:v>
                  </c:pt>
                  <c:pt idx="3">
                    <c:v>7.2652548868865265</c:v>
                  </c:pt>
                  <c:pt idx="4">
                    <c:v>7.3931274392731403</c:v>
                  </c:pt>
                  <c:pt idx="5">
                    <c:v>5.3053768772372267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72.642857142856556</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88645632"/>
        <c:axId val="88647552"/>
      </c:barChart>
      <c:catAx>
        <c:axId val="88645632"/>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88647552"/>
        <c:crosses val="autoZero"/>
        <c:auto val="1"/>
        <c:lblAlgn val="ctr"/>
        <c:lblOffset val="100"/>
      </c:catAx>
      <c:valAx>
        <c:axId val="88647552"/>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8864563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extLst xmlns:c16r2="http://schemas.microsoft.com/office/drawing/2015/06/chart">
            <c:ext xmlns:c16="http://schemas.microsoft.com/office/drawing/2014/chart" uri="{C3380CC4-5D6E-409C-BE32-E72D297353CC}">
              <c16:uniqueId val="{00000000-5D58-47F8-A3E4-AC5832256B33}"/>
            </c:ext>
          </c:extLst>
        </c:ser>
        <c:gapWidth val="219"/>
        <c:overlap val="-27"/>
        <c:axId val="131128704"/>
        <c:axId val="101004800"/>
      </c:barChart>
      <c:catAx>
        <c:axId val="13112870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04800"/>
        <c:crosses val="autoZero"/>
        <c:auto val="1"/>
        <c:lblAlgn val="ctr"/>
        <c:lblOffset val="100"/>
      </c:catAx>
      <c:valAx>
        <c:axId val="1010048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2870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extLst xmlns:c16r2="http://schemas.microsoft.com/office/drawing/2015/06/chart">
            <c:ext xmlns:c16="http://schemas.microsoft.com/office/drawing/2014/chart" uri="{C3380CC4-5D6E-409C-BE32-E72D297353CC}">
              <c16:uniqueId val="{00000000-E994-4E12-9955-66C7C4CFE317}"/>
            </c:ext>
          </c:extLst>
        </c:ser>
        <c:gapWidth val="219"/>
        <c:overlap val="-27"/>
        <c:axId val="101021568"/>
        <c:axId val="101048320"/>
      </c:barChart>
      <c:catAx>
        <c:axId val="10102156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8320"/>
        <c:crosses val="autoZero"/>
        <c:auto val="1"/>
        <c:lblAlgn val="ctr"/>
        <c:lblOffset val="100"/>
      </c:catAx>
      <c:valAx>
        <c:axId val="1010483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215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88B00-B78E-4F2D-932E-2F3784F5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10540</Words>
  <Characters>60078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cp:revision>
  <dcterms:created xsi:type="dcterms:W3CDTF">2017-06-13T20:16:00Z</dcterms:created>
  <dcterms:modified xsi:type="dcterms:W3CDTF">2017-06-14T01:37:00Z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