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FE6B7" w14:textId="77777777" w:rsidR="00107FE6" w:rsidRDefault="009F5ED2" w:rsidP="0000604D">
      <w:pPr>
        <w:pStyle w:val="Heading1"/>
        <w:jc w:val="both"/>
      </w:pPr>
      <w:r>
        <w:t>Time Flow Study Paper</w:t>
      </w:r>
    </w:p>
    <w:p w14:paraId="37B2D25F" w14:textId="77777777" w:rsidR="009F5ED2" w:rsidRDefault="009F5ED2" w:rsidP="0000604D">
      <w:pPr>
        <w:jc w:val="both"/>
      </w:pPr>
      <w:r>
        <w:t>Purpose: to analyze the efficiency of TEES</w:t>
      </w:r>
    </w:p>
    <w:p w14:paraId="623D62D2" w14:textId="77777777" w:rsidR="00B378B7" w:rsidRDefault="00B378B7" w:rsidP="0000604D">
      <w:pPr>
        <w:pStyle w:val="ListParagraph"/>
        <w:numPr>
          <w:ilvl w:val="0"/>
          <w:numId w:val="2"/>
        </w:numPr>
        <w:jc w:val="both"/>
      </w:pPr>
      <w:r>
        <w:t>Look up case reports on tympanoplasty</w:t>
      </w:r>
      <w:r w:rsidR="001A72CD">
        <w:t xml:space="preserve"> (follow a case report layout)</w:t>
      </w:r>
    </w:p>
    <w:p w14:paraId="34FE5C60" w14:textId="5561C679" w:rsidR="00C44C21" w:rsidRDefault="00C44C21" w:rsidP="00C44C21">
      <w:pPr>
        <w:pStyle w:val="ListParagraph"/>
        <w:numPr>
          <w:ilvl w:val="1"/>
          <w:numId w:val="2"/>
        </w:numPr>
        <w:jc w:val="both"/>
      </w:pPr>
      <w:r>
        <w:t>Case report to also comment on the different steps</w:t>
      </w:r>
    </w:p>
    <w:p w14:paraId="68050A19" w14:textId="77777777" w:rsidR="00B378B7" w:rsidRDefault="001A72CD" w:rsidP="0000604D">
      <w:pPr>
        <w:pStyle w:val="ListParagraph"/>
        <w:numPr>
          <w:ilvl w:val="0"/>
          <w:numId w:val="2"/>
        </w:numPr>
        <w:jc w:val="both"/>
      </w:pPr>
      <w:r>
        <w:t>Medline search on timing surgeries</w:t>
      </w:r>
    </w:p>
    <w:p w14:paraId="24614BEF" w14:textId="77777777" w:rsidR="001A72CD" w:rsidRDefault="001A72CD" w:rsidP="0000604D">
      <w:pPr>
        <w:pStyle w:val="ListParagraph"/>
        <w:numPr>
          <w:ilvl w:val="0"/>
          <w:numId w:val="2"/>
        </w:numPr>
        <w:jc w:val="both"/>
      </w:pPr>
      <w:r>
        <w:t xml:space="preserve">Inconsistencies in how procedures are performed -&gt; the technique/approach varies </w:t>
      </w:r>
    </w:p>
    <w:p w14:paraId="43AAC40D" w14:textId="77777777" w:rsidR="001A72CD" w:rsidRDefault="001A72CD" w:rsidP="0000604D">
      <w:pPr>
        <w:pStyle w:val="ListParagraph"/>
        <w:numPr>
          <w:ilvl w:val="0"/>
          <w:numId w:val="2"/>
        </w:numPr>
        <w:jc w:val="both"/>
      </w:pPr>
      <w:r>
        <w:t>Why underlay or interlay</w:t>
      </w:r>
    </w:p>
    <w:p w14:paraId="092FF15B" w14:textId="77777777" w:rsidR="00713495" w:rsidRPr="009F5ED2" w:rsidRDefault="00713495" w:rsidP="0000604D">
      <w:pPr>
        <w:pStyle w:val="ListParagraph"/>
        <w:numPr>
          <w:ilvl w:val="0"/>
          <w:numId w:val="2"/>
        </w:numPr>
        <w:jc w:val="both"/>
      </w:pPr>
      <w:r>
        <w:t>Mesh terms: time, time analysis</w:t>
      </w:r>
      <w:r w:rsidR="00D762A0">
        <w:t xml:space="preserve">  </w:t>
      </w:r>
    </w:p>
    <w:p w14:paraId="0F4AE03E" w14:textId="77777777" w:rsidR="009F5ED2" w:rsidRDefault="009F5ED2" w:rsidP="0000604D">
      <w:pPr>
        <w:pStyle w:val="Heading2"/>
        <w:jc w:val="both"/>
      </w:pPr>
      <w:r>
        <w:t>Abstract:</w:t>
      </w:r>
    </w:p>
    <w:p w14:paraId="46895622" w14:textId="77777777" w:rsidR="009F5ED2" w:rsidRPr="009F5ED2" w:rsidRDefault="009F5ED2" w:rsidP="0000604D">
      <w:pPr>
        <w:jc w:val="both"/>
      </w:pPr>
    </w:p>
    <w:p w14:paraId="1DBA2541" w14:textId="77777777" w:rsidR="009F5ED2" w:rsidRDefault="009F5ED2" w:rsidP="0000604D">
      <w:pPr>
        <w:pStyle w:val="Heading2"/>
        <w:jc w:val="both"/>
      </w:pPr>
      <w:r>
        <w:t xml:space="preserve">Background: </w:t>
      </w:r>
    </w:p>
    <w:p w14:paraId="0933EC5C" w14:textId="77777777" w:rsidR="001A72CD" w:rsidRDefault="001A72CD" w:rsidP="0000604D">
      <w:pPr>
        <w:jc w:val="both"/>
      </w:pPr>
      <w:r>
        <w:t xml:space="preserve">Focus on the inefficiencies in TEES in the background -&gt; are there papers that say this is inefficient, case reports that vary in terms of technique, times, blood loss, outcomes, etc. </w:t>
      </w:r>
    </w:p>
    <w:p w14:paraId="27FF2C50" w14:textId="77777777" w:rsidR="001A72CD" w:rsidRDefault="001A72CD" w:rsidP="0000604D">
      <w:pPr>
        <w:jc w:val="both"/>
      </w:pPr>
    </w:p>
    <w:p w14:paraId="0353B6F5" w14:textId="77777777" w:rsidR="001A72CD" w:rsidRDefault="001A72CD" w:rsidP="0000604D">
      <w:pPr>
        <w:jc w:val="both"/>
      </w:pPr>
      <w:r>
        <w:t xml:space="preserve">Condition of the patient, inefficiencies, using different tools </w:t>
      </w:r>
    </w:p>
    <w:p w14:paraId="3D9E89D4" w14:textId="77777777" w:rsidR="001A72CD" w:rsidRPr="001A72CD" w:rsidRDefault="001A72CD" w:rsidP="0000604D">
      <w:pPr>
        <w:jc w:val="both"/>
      </w:pPr>
    </w:p>
    <w:p w14:paraId="061A6609" w14:textId="77777777" w:rsidR="009F5ED2" w:rsidRDefault="009F5ED2" w:rsidP="0000604D">
      <w:pPr>
        <w:widowControl w:val="0"/>
        <w:autoSpaceDE w:val="0"/>
        <w:autoSpaceDN w:val="0"/>
        <w:adjustRightInd w:val="0"/>
        <w:spacing w:after="240"/>
        <w:jc w:val="both"/>
        <w:rPr>
          <w:rFonts w:cs="Times New Roman"/>
        </w:rPr>
      </w:pPr>
      <w:r>
        <w:rPr>
          <w:rFonts w:cs="Times New Roman"/>
        </w:rPr>
        <w:t xml:space="preserve">Rube et al. Recorded the time for MRI-guided angioplasty and assessed the efficiency and feasibility of the proposed workflow and framework for this type of procedure </w:t>
      </w:r>
      <w:r w:rsidR="00C23292">
        <w:rPr>
          <w:rFonts w:cs="Times New Roman"/>
        </w:rPr>
        <w:fldChar w:fldCharType="begin" w:fldLock="1"/>
      </w:r>
      <w:r>
        <w:rPr>
          <w:rFonts w:cs="Times New Roman"/>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"(Rube et al., 2015)", "plainTextFormattedCitation" : "(Rube et al., 2015)", "previouslyFormattedCitation" : "(Rube et al., 2015)" }, "properties" : { "noteIndex" : 0 }, "schema" : "https://github.com/citation-style-language/schema/raw/master/csl-citation.json" }</w:instrText>
      </w:r>
      <w:r w:rsidR="00C23292">
        <w:rPr>
          <w:rFonts w:cs="Times New Roman"/>
        </w:rPr>
        <w:fldChar w:fldCharType="separate"/>
      </w:r>
      <w:r w:rsidRPr="009F5ED2">
        <w:rPr>
          <w:rFonts w:cs="Times New Roman"/>
          <w:noProof/>
        </w:rPr>
        <w:t>(Rube et al., 2015)</w:t>
      </w:r>
      <w:r w:rsidR="00C23292">
        <w:rPr>
          <w:rFonts w:cs="Times New Roman"/>
        </w:rPr>
        <w:fldChar w:fldCharType="end"/>
      </w:r>
      <w:r>
        <w:rPr>
          <w:rFonts w:cs="Times New Roman"/>
        </w:rPr>
        <w:t xml:space="preserve">. Similarly in an attempt to show the efficiency of a dedicated minimally invasive operating room (OR), Hsiao et al. recorded the time for steps during laparoscopic procedures in two types of OR’s: a dedicated minimally invasive OR and a traditional OR </w:t>
      </w:r>
      <w:r w:rsidR="00C23292">
        <w:rPr>
          <w:rFonts w:cs="Times New Roman"/>
        </w:rPr>
        <w:fldChar w:fldCharType="begin" w:fldLock="1"/>
      </w:r>
      <w:r>
        <w:rPr>
          <w:rFonts w:cs="Times New Roman"/>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"(Hsiao, Machaidze, &amp; Pattaras, 2004)", "plainTextFormattedCitation" : "(Hsiao, Machaidze, &amp; Pattaras, 2004)", "previouslyFormattedCitation" : "(Hsiao, Machaidze, &amp; Pattaras, 2004)" }, "properties" : { "noteIndex" : 0 }, "schema" : "https://github.com/citation-style-language/schema/raw/master/csl-citation.json" }</w:instrText>
      </w:r>
      <w:r w:rsidR="00C23292">
        <w:rPr>
          <w:rFonts w:cs="Times New Roman"/>
        </w:rPr>
        <w:fldChar w:fldCharType="separate"/>
      </w:r>
      <w:r w:rsidRPr="009F5ED2">
        <w:rPr>
          <w:rFonts w:cs="Times New Roman"/>
          <w:noProof/>
        </w:rPr>
        <w:t>(Hsiao, Machaidze, &amp; Pattaras, 2004)</w:t>
      </w:r>
      <w:r w:rsidR="00C23292">
        <w:rPr>
          <w:rFonts w:cs="Times New Roman"/>
        </w:rPr>
        <w:fldChar w:fldCharType="end"/>
      </w:r>
      <w:r>
        <w:rPr>
          <w:rFonts w:cs="Times New Roman"/>
        </w:rPr>
        <w:t xml:space="preserve">. A time flow study was also used to measure the patient wait times before and after restructuring the practice patterns to assess the efficiency of the new practice </w:t>
      </w:r>
      <w:r w:rsidR="00C23292">
        <w:rPr>
          <w:rFonts w:cs="Times New Roman"/>
        </w:rPr>
        <w:fldChar w:fldCharType="begin" w:fldLock="1"/>
      </w:r>
      <w:r>
        <w:rPr>
          <w:rFonts w:cs="Times New Roman"/>
        </w:rPr>
        <w:instrText>ADDIN CSL_CITATION { "citationItems" : [ { "id" : "ITEM-1", "itemData" : { "DOI" : "10.1001/archpedi.156.12.1203", "ISSN" : "1072-4710", "PMID" : "1664", "abstract" : "OBJECTIVES: To use findings from a time-flow study at an academic pediatric practice to restructure practice patterns and to repeat the time-flow study to evaluate consequent changes in patient waiting times, total visit times, and room and nursing time usage rates. DESIGN: A before-and-after time-flow evaluation of patient waiting times, total visit times, and room and nursing time usage rates. SETTING: An inner-city academic pediatric practice located at a community health center affiliated with a major urban academic teaching hospital. PATIENTS: All patients visiting the pediatric practice during the weeks of April 26 through 30, 1999, and March 24 through 28, 2000. INTERVENTIONS: Initial time-flow findings generated in telephone messaging, provider scheduling, nursing location, and provider and preceptor documentation. MAIN OUTCOME MEASURES: Patient waiting times, total visit times, room usage rates, and nursing time usage rates. RESULTS: After the implementing of practice changes, mean total visit time declined from 91.9 to 78.3 minutes. Mean waiting time to be called by the nurse decreased 3.2 minutes, mean time spent with the provider decreased 4.6 minutes, and mean time to wait for a preceptor decreased by 8.8 minutes. Multivariate analysis controlling for visit type, provider type, and the type of postvisit interventions found that mean time of visit decreased by 13.6 minutes. Room and nursing time usage rates, resident satisfaction, and quality-of-care indicators remained largely unchanged. CONCLUSIONS: Time-flow studies can be useful instruments for academic ambulatory practices to identify and ameliorate practice inefficiencies without sacrificing quality of teaching or patient care.", "author" : [ { "dropping-particle" : "", "family" : "Racine", "given" : "a D", "non-dropping-particle" : "", "parse-names" : false, "suffix" : "" }, { "dropping-particle" : "", "family" : "Davidson", "given" : "a G", "non-dropping-particle" : "", "parse-names" : false, "suffix" : "" } ], "container-title" : "Arch Pediatr Adolesc Med", "id" : "ITEM-1", "issue" : "12", "issued" : { "date-parts" : [ [ "2002" ] ] }, "page" : "1203-1209", "title" : "Use of a time-flow study to improve patient waiting times at an inner-city academic pediatric practice", "type" : "article-journal", "volume" : "156" }, "uris" : [ "http://www.mendeley.com/documents/?uuid=33425d2d-3e2d-4ea6-b368-976c1625dce4", "http://www.mendeley.com/documents/?uuid=85e465bc-325b-4985-8e43-b634953241cc" ] } ], "mendeley" : { "formattedCitation" : "(Racine &amp; Davidson, 2002)", "plainTextFormattedCitation" : "(Racine &amp; Davidson, 2002)", "previouslyFormattedCitation" : "(Racine &amp; Davidson, 2002)" }, "properties" : { "noteIndex" : 0 }, "schema" : "https://github.com/citation-style-language/schema/raw/master/csl-citation.json" }</w:instrText>
      </w:r>
      <w:r w:rsidR="00C23292">
        <w:rPr>
          <w:rFonts w:cs="Times New Roman"/>
        </w:rPr>
        <w:fldChar w:fldCharType="separate"/>
      </w:r>
      <w:r w:rsidRPr="009F5ED2">
        <w:rPr>
          <w:rFonts w:cs="Times New Roman"/>
          <w:noProof/>
        </w:rPr>
        <w:t>(Racine &amp; Davidson, 2002)</w:t>
      </w:r>
      <w:r w:rsidR="00C23292">
        <w:rPr>
          <w:rFonts w:cs="Times New Roman"/>
        </w:rPr>
        <w:fldChar w:fldCharType="end"/>
      </w:r>
      <w:r>
        <w:rPr>
          <w:rFonts w:cs="Times New Roman"/>
        </w:rPr>
        <w:t xml:space="preserve">.  Time flow studies have been employed to analyze the efficiency and compare between surgery procedures and hospital protocols. </w:t>
      </w:r>
    </w:p>
    <w:p w14:paraId="3DC90D7C" w14:textId="77777777" w:rsidR="009F5ED2" w:rsidRDefault="009F5ED2" w:rsidP="0000604D">
      <w:pPr>
        <w:widowControl w:val="0"/>
        <w:autoSpaceDE w:val="0"/>
        <w:autoSpaceDN w:val="0"/>
        <w:adjustRightInd w:val="0"/>
        <w:spacing w:after="240"/>
        <w:jc w:val="both"/>
        <w:rPr>
          <w:rFonts w:cs="Times New Roman"/>
        </w:rPr>
      </w:pPr>
      <w:r>
        <w:rPr>
          <w:rFonts w:cs="Times New Roman"/>
        </w:rPr>
        <w:t>This study will also assess the feasibility and efficiency of endoscopic ear surgery using the same method: recording the times of steps in the procedure. This will aim to determine the inefficiencies and address the steps where further instrument design would be beneficial. This would also provide a good benchmark against which to measure efficiency and feasibility of future tools that would be developed.</w:t>
      </w:r>
      <w:r w:rsidR="00775A4A" w:rsidRPr="00775A4A">
        <w:rPr>
          <w:rFonts w:cs="Arial"/>
        </w:rPr>
        <w:t xml:space="preserve"> </w:t>
      </w:r>
      <w:r w:rsidR="00775A4A" w:rsidRPr="00FD3A3E">
        <w:rPr>
          <w:rFonts w:cs="Arial"/>
        </w:rPr>
        <w:t>This will aim to measure the efficiency of current endoscopic ear surgery and provide areas where instrumentation redesign is required.</w:t>
      </w:r>
    </w:p>
    <w:p w14:paraId="651719F3" w14:textId="77777777" w:rsidR="009F5ED2" w:rsidRPr="009F5ED2" w:rsidRDefault="009F5ED2" w:rsidP="0000604D">
      <w:pPr>
        <w:jc w:val="both"/>
      </w:pPr>
    </w:p>
    <w:p w14:paraId="424B5931" w14:textId="77777777" w:rsidR="009F5ED2" w:rsidRDefault="009F5ED2" w:rsidP="0000604D">
      <w:pPr>
        <w:pStyle w:val="Heading2"/>
        <w:jc w:val="both"/>
      </w:pPr>
      <w:r>
        <w:lastRenderedPageBreak/>
        <w:t xml:space="preserve">Methods: </w:t>
      </w:r>
      <w:bookmarkStart w:id="0" w:name="_GoBack"/>
      <w:bookmarkEnd w:id="0"/>
    </w:p>
    <w:p w14:paraId="5FA98570" w14:textId="77777777" w:rsidR="009F5ED2" w:rsidRDefault="00775A4A" w:rsidP="0000604D">
      <w:pPr>
        <w:pStyle w:val="Heading3"/>
        <w:jc w:val="both"/>
      </w:pPr>
      <w:r>
        <w:t xml:space="preserve">Study Design: </w:t>
      </w:r>
    </w:p>
    <w:p w14:paraId="05711553" w14:textId="77777777" w:rsidR="00C83A6D" w:rsidRDefault="00C83A6D" w:rsidP="0000604D">
      <w:pPr>
        <w:ind w:firstLine="720"/>
        <w:jc w:val="both"/>
      </w:pPr>
      <w:r>
        <w:t xml:space="preserve">The </w:t>
      </w:r>
      <w:proofErr w:type="spellStart"/>
      <w:r>
        <w:t>SickKids</w:t>
      </w:r>
      <w:proofErr w:type="spellEnd"/>
      <w:r>
        <w:t xml:space="preserve"> Research Ethics Board reviewed and approved the study.  </w:t>
      </w:r>
      <w:r w:rsidR="006F618E">
        <w:t>The participants for this</w:t>
      </w:r>
      <w:r>
        <w:t xml:space="preserve"> observational study included four staff otologists</w:t>
      </w:r>
      <w:r w:rsidR="006F618E">
        <w:t xml:space="preserve"> </w:t>
      </w:r>
      <w:r>
        <w:t xml:space="preserve">from Toronto: three from </w:t>
      </w:r>
      <w:proofErr w:type="spellStart"/>
      <w:r>
        <w:t>SickKids</w:t>
      </w:r>
      <w:proofErr w:type="spellEnd"/>
      <w:r>
        <w:t xml:space="preserve"> and one from Toronto General Hospital. Each participant </w:t>
      </w:r>
      <w:r w:rsidR="006F618E">
        <w:t>had</w:t>
      </w:r>
      <w:r>
        <w:t xml:space="preserve"> more than </w:t>
      </w:r>
      <w:r w:rsidRPr="00C83A6D">
        <w:rPr>
          <w:highlight w:val="yellow"/>
        </w:rPr>
        <w:t>&lt;insert number of years&gt;</w:t>
      </w:r>
      <w:r>
        <w:t xml:space="preserve"> years of experience in TEES. Patients who were undergoing tympanoplasty or cholesteatoma removal surgery using TEES were included in the study. Ten </w:t>
      </w:r>
      <w:r w:rsidRPr="00C83A6D">
        <w:rPr>
          <w:highlight w:val="yellow"/>
        </w:rPr>
        <w:t>(??)</w:t>
      </w:r>
      <w:r>
        <w:t xml:space="preserve"> surgeries from each otologist were studied.  </w:t>
      </w:r>
    </w:p>
    <w:p w14:paraId="5E4BB963" w14:textId="77777777" w:rsidR="000D26EB" w:rsidRPr="0000604D" w:rsidRDefault="000D26EB" w:rsidP="0000604D">
      <w:pPr>
        <w:widowControl w:val="0"/>
        <w:autoSpaceDE w:val="0"/>
        <w:autoSpaceDN w:val="0"/>
        <w:adjustRightInd w:val="0"/>
        <w:spacing w:after="240"/>
        <w:ind w:firstLine="720"/>
        <w:jc w:val="both"/>
        <w:rPr>
          <w:rFonts w:cs="Arial"/>
        </w:rPr>
      </w:pPr>
      <w:r>
        <w:rPr>
          <w:rFonts w:cs="Arial"/>
        </w:rPr>
        <w:t xml:space="preserve">The duration of the following steps were recorded using a standard stopwatch: cleaning out the ear canal, injecting anaesthesia, trimming the hairs, cleaning edges of the perforation, making the skin incision, raising the </w:t>
      </w:r>
      <w:proofErr w:type="spellStart"/>
      <w:r>
        <w:rPr>
          <w:rFonts w:cs="Arial"/>
        </w:rPr>
        <w:t>tympanomeatal</w:t>
      </w:r>
      <w:proofErr w:type="spellEnd"/>
      <w:r>
        <w:rPr>
          <w:rFonts w:cs="Arial"/>
        </w:rPr>
        <w:t xml:space="preserve"> flap, preparing the graft, placing and positioning the graft, replacing the flap, packing the ear canal. If the case was a cholesteatoma removal, then the time to remove cholesteatoma was also recorded. </w:t>
      </w:r>
    </w:p>
    <w:p w14:paraId="1A13F990" w14:textId="77777777" w:rsidR="009F5ED2" w:rsidRPr="00FD3A3E" w:rsidRDefault="009F5ED2" w:rsidP="0000604D">
      <w:pPr>
        <w:widowControl w:val="0"/>
        <w:autoSpaceDE w:val="0"/>
        <w:autoSpaceDN w:val="0"/>
        <w:adjustRightInd w:val="0"/>
        <w:spacing w:after="240"/>
        <w:ind w:firstLine="720"/>
        <w:jc w:val="both"/>
        <w:rPr>
          <w:rFonts w:cs="Arial"/>
        </w:rPr>
      </w:pPr>
      <w:r w:rsidRPr="00FD3A3E">
        <w:rPr>
          <w:rFonts w:cs="Arial"/>
        </w:rPr>
        <w:t>The type of instruments used during these different maneuvers and the number of changes between different instruments will also be noted. These observation</w:t>
      </w:r>
      <w:r>
        <w:rPr>
          <w:rFonts w:cs="Arial"/>
        </w:rPr>
        <w:t>s</w:t>
      </w:r>
      <w:r w:rsidRPr="00FD3A3E">
        <w:rPr>
          <w:rFonts w:cs="Arial"/>
        </w:rPr>
        <w:t xml:space="preserve"> will also lead to an appreciation of the ergonomic requirements of instruments during </w:t>
      </w:r>
      <w:r>
        <w:rPr>
          <w:rFonts w:cs="Arial"/>
        </w:rPr>
        <w:t>ear surgery</w:t>
      </w:r>
      <w:r w:rsidRPr="00FD3A3E">
        <w:rPr>
          <w:rFonts w:cs="Arial"/>
        </w:rPr>
        <w:t xml:space="preserve"> and the design advantages of different instruments for specific maneuvers.</w:t>
      </w:r>
    </w:p>
    <w:p w14:paraId="1FFBDF15" w14:textId="77777777" w:rsidR="000F2134" w:rsidRDefault="000F2134" w:rsidP="0000604D">
      <w:pPr>
        <w:widowControl w:val="0"/>
        <w:autoSpaceDE w:val="0"/>
        <w:autoSpaceDN w:val="0"/>
        <w:adjustRightInd w:val="0"/>
        <w:spacing w:after="240"/>
        <w:ind w:firstLine="720"/>
        <w:jc w:val="both"/>
        <w:rPr>
          <w:rFonts w:cs="Arial"/>
        </w:rPr>
      </w:pPr>
      <w:r w:rsidRPr="00DD34C9">
        <w:rPr>
          <w:noProof/>
          <w:lang w:val="en-US"/>
        </w:rPr>
        <w:drawing>
          <wp:inline distT="0" distB="0" distL="0" distR="0" wp14:anchorId="7B8A99F2" wp14:editId="6BE1E321">
            <wp:extent cx="5076108" cy="4417733"/>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B59C0B0" w14:textId="1CA9F37C" w:rsidR="009F5ED2" w:rsidRDefault="00E979B0" w:rsidP="0000604D">
      <w:pPr>
        <w:widowControl w:val="0"/>
        <w:autoSpaceDE w:val="0"/>
        <w:autoSpaceDN w:val="0"/>
        <w:adjustRightInd w:val="0"/>
        <w:spacing w:after="240"/>
        <w:ind w:firstLine="720"/>
        <w:jc w:val="both"/>
        <w:rPr>
          <w:rFonts w:cs="Arial"/>
        </w:rPr>
      </w:pPr>
      <w:r>
        <w:rPr>
          <w:rFonts w:cs="Arial"/>
        </w:rPr>
        <w:lastRenderedPageBreak/>
        <w:t xml:space="preserve">The </w:t>
      </w:r>
      <w:r w:rsidR="009F5ED2" w:rsidRPr="00FD3A3E">
        <w:rPr>
          <w:rFonts w:cs="Arial"/>
        </w:rPr>
        <w:t xml:space="preserve">variance in time-flow between cases </w:t>
      </w:r>
      <w:r>
        <w:rPr>
          <w:rFonts w:cs="Arial"/>
        </w:rPr>
        <w:t xml:space="preserve">was </w:t>
      </w:r>
      <w:r w:rsidR="009F5ED2" w:rsidRPr="00FD3A3E">
        <w:rPr>
          <w:rFonts w:cs="Arial"/>
        </w:rPr>
        <w:t xml:space="preserve">high between cases based on patient specific factors such as extent of </w:t>
      </w:r>
      <w:r>
        <w:rPr>
          <w:rFonts w:cs="Arial"/>
        </w:rPr>
        <w:t xml:space="preserve">bleeding, ear canal morphology and </w:t>
      </w:r>
      <w:r w:rsidR="009F5ED2" w:rsidRPr="00FD3A3E">
        <w:rPr>
          <w:rFonts w:cs="Arial"/>
        </w:rPr>
        <w:t xml:space="preserve">extent of disease. </w:t>
      </w:r>
      <w:r>
        <w:rPr>
          <w:rFonts w:cs="Arial"/>
        </w:rPr>
        <w:t xml:space="preserve">As well, often the surgeon was teaching a trainee how to perform the surgery; this contributed </w:t>
      </w:r>
      <w:r w:rsidR="0000604D">
        <w:rPr>
          <w:rFonts w:cs="Arial"/>
        </w:rPr>
        <w:t>to</w:t>
      </w:r>
      <w:r>
        <w:rPr>
          <w:rFonts w:cs="Arial"/>
        </w:rPr>
        <w:t xml:space="preserve"> longer durations of steps as the staff surgeon was not the only one</w:t>
      </w:r>
      <w:r w:rsidR="0000604D">
        <w:rPr>
          <w:rFonts w:cs="Arial"/>
        </w:rPr>
        <w:t xml:space="preserve"> operating.</w:t>
      </w:r>
      <w:r>
        <w:rPr>
          <w:rFonts w:cs="Arial"/>
        </w:rPr>
        <w:t xml:space="preserve"> </w:t>
      </w:r>
      <w:r w:rsidR="009F5ED2" w:rsidRPr="00FD3A3E">
        <w:rPr>
          <w:rFonts w:cs="Arial"/>
        </w:rPr>
        <w:t>Nevertheless, this methodology provide</w:t>
      </w:r>
      <w:r>
        <w:rPr>
          <w:rFonts w:cs="Arial"/>
        </w:rPr>
        <w:t>d</w:t>
      </w:r>
      <w:r w:rsidR="009F5ED2" w:rsidRPr="00FD3A3E">
        <w:rPr>
          <w:rFonts w:cs="Arial"/>
        </w:rPr>
        <w:t xml:space="preserve"> a more accurate assessment of surgical practice and challenges than anecdotal surgeon’s recall. Steps demanding a disproportionate amount of time or multiple changes in instrument will be determined from analysis of these data. This will reveal procedural areas in which surgical efficiency may be improved by instrument modification. </w:t>
      </w:r>
    </w:p>
    <w:p w14:paraId="0D41DC55" w14:textId="77777777" w:rsidR="009F5ED2" w:rsidRDefault="009F5ED2" w:rsidP="0000604D">
      <w:pPr>
        <w:pStyle w:val="Heading3"/>
        <w:jc w:val="both"/>
      </w:pPr>
      <w:r>
        <w:t>Statistical Analysis:</w:t>
      </w:r>
    </w:p>
    <w:p w14:paraId="32AE6BCA" w14:textId="400FDA00" w:rsidR="0000604D" w:rsidRPr="0000604D" w:rsidRDefault="0000604D" w:rsidP="0000604D">
      <w:r>
        <w:tab/>
        <w:t xml:space="preserve">The data was analyzed using the medians. </w:t>
      </w:r>
    </w:p>
    <w:p w14:paraId="686A0616" w14:textId="77777777" w:rsidR="009F5ED2" w:rsidRDefault="009F5ED2" w:rsidP="0000604D">
      <w:pPr>
        <w:pStyle w:val="Heading2"/>
        <w:jc w:val="both"/>
      </w:pPr>
      <w:r>
        <w:t xml:space="preserve">Results: </w:t>
      </w:r>
    </w:p>
    <w:p w14:paraId="467874CD" w14:textId="77777777" w:rsidR="00DD34C9" w:rsidRDefault="00DD34C9" w:rsidP="0000604D">
      <w:pPr>
        <w:jc w:val="both"/>
      </w:pPr>
    </w:p>
    <w:p w14:paraId="1625AB26" w14:textId="1335728C" w:rsidR="00DD34C9" w:rsidRPr="00DD34C9" w:rsidRDefault="00DD34AE" w:rsidP="0000604D">
      <w:pPr>
        <w:jc w:val="both"/>
      </w:pPr>
      <w:r>
        <w:br w:type="textWrapping" w:clear="all"/>
      </w:r>
    </w:p>
    <w:p w14:paraId="3E23A001" w14:textId="77777777" w:rsidR="009F5ED2" w:rsidRDefault="009F5ED2" w:rsidP="0000604D">
      <w:pPr>
        <w:pStyle w:val="Heading2"/>
        <w:jc w:val="both"/>
      </w:pPr>
      <w:r>
        <w:t xml:space="preserve">Discussion: </w:t>
      </w:r>
    </w:p>
    <w:p w14:paraId="77BE1FF9" w14:textId="77777777" w:rsidR="00FE4B45" w:rsidRDefault="00FF5B21" w:rsidP="00DD34AE">
      <w:pPr>
        <w:pStyle w:val="Heading3"/>
      </w:pPr>
      <w:r>
        <w:t xml:space="preserve">Cleaning out ear canal: </w:t>
      </w:r>
    </w:p>
    <w:p w14:paraId="53DD9CF3" w14:textId="77777777" w:rsidR="00FF5B21" w:rsidRDefault="00FF5B21" w:rsidP="00FF5B21">
      <w:r>
        <w:t xml:space="preserve">The ear wax is cleaned out of the external auditory canal (EAC) so to avoid dirtying the lens of the endoscope every time the endoscope is introduced into the EAC. Suction and wax curette </w:t>
      </w:r>
      <w:r w:rsidRPr="00FF5B21">
        <w:rPr>
          <w:highlight w:val="yellow"/>
        </w:rPr>
        <w:t>(</w:t>
      </w:r>
      <w:proofErr w:type="spellStart"/>
      <w:r w:rsidRPr="00FF5B21">
        <w:rPr>
          <w:highlight w:val="yellow"/>
        </w:rPr>
        <w:t>sp</w:t>
      </w:r>
      <w:proofErr w:type="spellEnd"/>
      <w:r w:rsidRPr="00FF5B21">
        <w:rPr>
          <w:highlight w:val="yellow"/>
        </w:rPr>
        <w:t>??)</w:t>
      </w:r>
      <w:r>
        <w:t xml:space="preserve"> are used for this. </w:t>
      </w:r>
    </w:p>
    <w:p w14:paraId="77DAFC1A" w14:textId="77777777" w:rsidR="00FF5B21" w:rsidRDefault="00FF5B21" w:rsidP="00FF5B21">
      <w:pPr>
        <w:pStyle w:val="Heading3"/>
      </w:pPr>
      <w:r>
        <w:t xml:space="preserve">Inject Anaesthesia: </w:t>
      </w:r>
    </w:p>
    <w:p w14:paraId="27066BE1" w14:textId="77777777" w:rsidR="00FF5B21" w:rsidRDefault="00FF5B21" w:rsidP="00FF5B21">
      <w:r>
        <w:t>This step provides local anaesthetic into the EAC and helps to maintain hemostasis.</w:t>
      </w:r>
    </w:p>
    <w:p w14:paraId="3C656916" w14:textId="77777777" w:rsidR="00FF5B21" w:rsidRDefault="00FF5B21" w:rsidP="00FF5B21">
      <w:pPr>
        <w:pStyle w:val="Heading3"/>
      </w:pPr>
      <w:r>
        <w:t xml:space="preserve">Trim ear hairs: </w:t>
      </w:r>
    </w:p>
    <w:p w14:paraId="197D3C5F" w14:textId="77777777" w:rsidR="00FF5B21" w:rsidRDefault="00FF5B21" w:rsidP="00FF5B21">
      <w:r>
        <w:t xml:space="preserve">This is another step to ensure the endoscope lens stays clean, as hairs can obstruct the visualization. This is a good training step for trainees to familiarize themselves with TEES and perform a simple yet important task. Scissors and middle ear scissors are used. </w:t>
      </w:r>
    </w:p>
    <w:p w14:paraId="7481D802" w14:textId="77777777" w:rsidR="00FF5B21" w:rsidRDefault="00FF5B21" w:rsidP="00FF5B21">
      <w:pPr>
        <w:pStyle w:val="Heading3"/>
      </w:pPr>
      <w:r>
        <w:t xml:space="preserve">Freshen the edges of the perforation: </w:t>
      </w:r>
    </w:p>
    <w:p w14:paraId="3448BA37" w14:textId="6AC8910B" w:rsidR="00FF5B21" w:rsidRDefault="00FF5B21" w:rsidP="00FF5B21">
      <w:r>
        <w:t xml:space="preserve">Cutting around the edges of the perforation in the tympanic </w:t>
      </w:r>
      <w:proofErr w:type="spellStart"/>
      <w:r>
        <w:t>membrance</w:t>
      </w:r>
      <w:proofErr w:type="spellEnd"/>
      <w:r>
        <w:t xml:space="preserve">, usually done with a knife or Rosen needle, allows the tympanic membrane to heal and the graft is used as a scaffold to facilitate this healing process. </w:t>
      </w:r>
      <w:r w:rsidRPr="00FF5B21">
        <w:rPr>
          <w:highlight w:val="yellow"/>
        </w:rPr>
        <w:t xml:space="preserve">[source = top ten reasons or Jane Lea’s training paper – search scaffold or freshen perforation in </w:t>
      </w:r>
      <w:proofErr w:type="spellStart"/>
      <w:r w:rsidRPr="00FF5B21">
        <w:rPr>
          <w:highlight w:val="yellow"/>
        </w:rPr>
        <w:t>mendeley</w:t>
      </w:r>
      <w:proofErr w:type="spellEnd"/>
      <w:r w:rsidRPr="00FF5B21">
        <w:rPr>
          <w:highlight w:val="yellow"/>
        </w:rPr>
        <w:t>]</w:t>
      </w:r>
      <w:r w:rsidR="007C462D">
        <w:t xml:space="preserve">. </w:t>
      </w:r>
    </w:p>
    <w:p w14:paraId="651CA2A0" w14:textId="77777777" w:rsidR="00FF5B21" w:rsidRDefault="00FF5B21" w:rsidP="00FF5B21">
      <w:pPr>
        <w:pStyle w:val="Heading3"/>
      </w:pPr>
      <w:r>
        <w:t xml:space="preserve">Making the skin incision </w:t>
      </w:r>
    </w:p>
    <w:p w14:paraId="1697BB61" w14:textId="77777777" w:rsidR="00FF5B21" w:rsidRDefault="00FF5B21" w:rsidP="00FF5B21">
      <w:r>
        <w:t xml:space="preserve">This is the incision used to raise the </w:t>
      </w:r>
      <w:proofErr w:type="spellStart"/>
      <w:r>
        <w:t>tympanomeatal</w:t>
      </w:r>
      <w:proofErr w:type="spellEnd"/>
      <w:r>
        <w:t xml:space="preserve"> flap. Round knife or suction round knife is used. </w:t>
      </w:r>
    </w:p>
    <w:p w14:paraId="55FC3741" w14:textId="5D31C4AA" w:rsidR="00FF5B21" w:rsidRDefault="00FF5B21" w:rsidP="00FF5B21">
      <w:pPr>
        <w:pStyle w:val="Heading3"/>
      </w:pPr>
      <w:r>
        <w:t xml:space="preserve">Raising </w:t>
      </w:r>
      <w:r w:rsidR="006C3AC7">
        <w:t xml:space="preserve">the </w:t>
      </w:r>
      <w:proofErr w:type="spellStart"/>
      <w:r w:rsidR="006C3AC7">
        <w:t>tympanomeatal</w:t>
      </w:r>
      <w:proofErr w:type="spellEnd"/>
      <w:r w:rsidR="006C3AC7">
        <w:t xml:space="preserve"> flap </w:t>
      </w:r>
    </w:p>
    <w:p w14:paraId="0BFDADB9" w14:textId="787E0358" w:rsidR="00E3773C" w:rsidRDefault="00E3773C" w:rsidP="00E3773C">
      <w:r>
        <w:t xml:space="preserve">According to Lea and </w:t>
      </w:r>
      <w:proofErr w:type="spellStart"/>
      <w:r>
        <w:t>Mijovic</w:t>
      </w:r>
      <w:proofErr w:type="spellEnd"/>
      <w:r>
        <w:t xml:space="preserve">, raising the </w:t>
      </w:r>
      <w:proofErr w:type="spellStart"/>
      <w:r>
        <w:t>tympanomeatal</w:t>
      </w:r>
      <w:proofErr w:type="spellEnd"/>
      <w:r>
        <w:t xml:space="preserve"> flap is the most challenging and bloodiest step of surgery </w:t>
      </w:r>
      <w:r>
        <w:fldChar w:fldCharType="begin" w:fldLock="1"/>
      </w:r>
      <w: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"(Mijovic &amp; Lea, 2015)", "plainTextFormattedCitation" : "(Mijovic &amp; Lea, 2015)", "previouslyFormattedCitation" : "(Mijovic &amp; Lea, 2015)" }, "properties" : { "noteIndex" : 0 }, "schema" : "https://github.com/citation-style-language/schema/raw/master/csl-citation.json" }</w:instrText>
      </w:r>
      <w:r>
        <w:fldChar w:fldCharType="separate"/>
      </w:r>
      <w:r w:rsidRPr="00E3773C">
        <w:rPr>
          <w:noProof/>
        </w:rPr>
        <w:t>(Mijovic &amp; Lea, 2015)</w:t>
      </w:r>
      <w:r>
        <w:fldChar w:fldCharType="end"/>
      </w:r>
      <w:r>
        <w:t xml:space="preserve">. </w:t>
      </w:r>
      <w:proofErr w:type="spellStart"/>
      <w:r w:rsidR="0083148A">
        <w:t>Panetti</w:t>
      </w:r>
      <w:proofErr w:type="spellEnd"/>
      <w:r w:rsidR="0083148A">
        <w:t xml:space="preserve"> suction instruments – suction right, left, round knife </w:t>
      </w:r>
      <w:proofErr w:type="gramStart"/>
      <w:r w:rsidR="0083148A">
        <w:t>are</w:t>
      </w:r>
      <w:proofErr w:type="gramEnd"/>
      <w:r w:rsidR="0083148A">
        <w:t xml:space="preserve"> used, </w:t>
      </w:r>
      <w:r w:rsidR="0083148A">
        <w:lastRenderedPageBreak/>
        <w:t xml:space="preserve">with cotton balls soaked in epinephrine to maintain hemostasis, forceps to take tissue off of structures, i.e. the malleus while dissecting the tympanic membrane layers. The length of this step ranges and this is due to trainee involvement, and graft positioning technique – interlay vs. underlay which may require separation of tympanic membrane layers.  </w:t>
      </w:r>
    </w:p>
    <w:p w14:paraId="06101475" w14:textId="77777777" w:rsidR="00707409" w:rsidRDefault="00707409" w:rsidP="00E3773C"/>
    <w:p w14:paraId="1DFE4D67" w14:textId="77777777" w:rsidR="00E3773C" w:rsidRDefault="00E3773C" w:rsidP="00E3773C">
      <w:r>
        <w:t xml:space="preserve">In tympanoplasty, the choice of the approach, graft material and graft placement technique depend on training, case load, resources and experience </w:t>
      </w:r>
      <w:r>
        <w:fldChar w:fldCharType="begin" w:fldLock="1"/>
      </w:r>
      <w:r>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"(James, Papsin, &amp; Papsin, 2012)", "plainTextFormattedCitation" : "(James, Papsin, &amp; Papsin, 2012)" }, "properties" : { "noteIndex" : 0 }, "schema" : "https://github.com/citation-style-language/schema/raw/master/csl-citation.json" }</w:instrText>
      </w:r>
      <w:r>
        <w:fldChar w:fldCharType="separate"/>
      </w:r>
      <w:r w:rsidRPr="00E3773C">
        <w:rPr>
          <w:noProof/>
        </w:rPr>
        <w:t>(James, Papsin, &amp; Papsin, 2012)</w:t>
      </w:r>
      <w:r>
        <w:fldChar w:fldCharType="end"/>
      </w:r>
      <w:r>
        <w:t xml:space="preserve">. The choice of underlay, interlay or overlay graft placement can affect the raising of the </w:t>
      </w:r>
      <w:proofErr w:type="spellStart"/>
      <w:r>
        <w:t>tympanomeatal</w:t>
      </w:r>
      <w:proofErr w:type="spellEnd"/>
      <w:r>
        <w:t xml:space="preserve"> flap because during interlay, the layers of the tympanic membrane must be separated which would take longer. </w:t>
      </w:r>
    </w:p>
    <w:p w14:paraId="5FC63911" w14:textId="6430A114" w:rsidR="00C44C21" w:rsidRDefault="00C44C21" w:rsidP="00C44C21">
      <w:pPr>
        <w:pStyle w:val="Heading3"/>
      </w:pPr>
      <w:r>
        <w:t>Preparing Graft</w:t>
      </w:r>
    </w:p>
    <w:p w14:paraId="7059E5F1" w14:textId="61FCA978" w:rsidR="00C44C21" w:rsidRPr="00C44C21" w:rsidRDefault="00C44C21" w:rsidP="00C44C21">
      <w:r w:rsidRPr="00C44C21">
        <w:rPr>
          <w:highlight w:val="yellow"/>
        </w:rPr>
        <w:t>Look up case reports/case studies that would list the different grafts used.</w:t>
      </w:r>
      <w:r>
        <w:t xml:space="preserve"> </w:t>
      </w:r>
    </w:p>
    <w:p w14:paraId="74225555" w14:textId="4D2DC7E1" w:rsidR="00C44C21" w:rsidRDefault="00C44C21" w:rsidP="00C44C21">
      <w:r>
        <w:t>The graft can be a synthetic/animal derived graft, patient’s fascia or cartilage.</w:t>
      </w:r>
    </w:p>
    <w:p w14:paraId="3EEEA122" w14:textId="4ECCDD1D" w:rsidR="000F2134" w:rsidRDefault="000F2134" w:rsidP="000F2134">
      <w:pPr>
        <w:pStyle w:val="Heading3"/>
      </w:pPr>
      <w:r>
        <w:t xml:space="preserve">Placing </w:t>
      </w:r>
      <w:r w:rsidR="00CD1582">
        <w:t xml:space="preserve">and positioning </w:t>
      </w:r>
      <w:r>
        <w:t>the Graft</w:t>
      </w:r>
    </w:p>
    <w:p w14:paraId="40F28D5B" w14:textId="77777777" w:rsidR="000F2134" w:rsidRDefault="000F2134" w:rsidP="000F2134">
      <w:r>
        <w:t xml:space="preserve">Graft placement techniques: </w:t>
      </w:r>
    </w:p>
    <w:p w14:paraId="3425B274" w14:textId="77777777" w:rsidR="000F2134" w:rsidRDefault="000F2134" w:rsidP="000F2134">
      <w:pPr>
        <w:pStyle w:val="ListParagraph"/>
        <w:numPr>
          <w:ilvl w:val="0"/>
          <w:numId w:val="2"/>
        </w:numPr>
      </w:pPr>
      <w:r>
        <w:t xml:space="preserve">Underlay = </w:t>
      </w:r>
    </w:p>
    <w:p w14:paraId="253BD02D" w14:textId="77777777" w:rsidR="000F2134" w:rsidRDefault="000F2134" w:rsidP="000F2134">
      <w:pPr>
        <w:pStyle w:val="ListParagraph"/>
        <w:numPr>
          <w:ilvl w:val="0"/>
          <w:numId w:val="2"/>
        </w:numPr>
      </w:pPr>
      <w:r>
        <w:t xml:space="preserve">Interlay = separating the layers of the tympanic membrane </w:t>
      </w:r>
    </w:p>
    <w:p w14:paraId="009A8E9A" w14:textId="1CCDC14E" w:rsidR="00CD1582" w:rsidRDefault="000F2134" w:rsidP="00C44C21">
      <w:pPr>
        <w:pStyle w:val="ListParagraph"/>
        <w:numPr>
          <w:ilvl w:val="0"/>
          <w:numId w:val="2"/>
        </w:numPr>
      </w:pPr>
      <w:r>
        <w:t>Lateral = cutting a slit in the top of the graft and placing it around the handle of the malleus</w:t>
      </w:r>
    </w:p>
    <w:p w14:paraId="0B95256D" w14:textId="77777777" w:rsidR="00CD1582" w:rsidRDefault="00CD1582" w:rsidP="00CD1582"/>
    <w:p w14:paraId="5A90A712" w14:textId="244B8784" w:rsidR="000F2134" w:rsidRDefault="00CD1582" w:rsidP="00CD1582">
      <w:pPr>
        <w:pStyle w:val="Heading3"/>
      </w:pPr>
      <w:r>
        <w:t>Replacing the Flap</w:t>
      </w:r>
    </w:p>
    <w:p w14:paraId="445D4D89" w14:textId="671B304D" w:rsidR="00CD1582" w:rsidRDefault="00CD1582" w:rsidP="00CD1582">
      <w:r>
        <w:t xml:space="preserve">The </w:t>
      </w:r>
      <w:proofErr w:type="spellStart"/>
      <w:r>
        <w:t>tympanomeatal</w:t>
      </w:r>
      <w:proofErr w:type="spellEnd"/>
      <w:r>
        <w:t xml:space="preserve"> flap is replaced. </w:t>
      </w:r>
      <w:proofErr w:type="spellStart"/>
      <w:r>
        <w:t>Derlacki</w:t>
      </w:r>
      <w:proofErr w:type="spellEnd"/>
      <w:r>
        <w:t xml:space="preserve">, Rosen, </w:t>
      </w:r>
    </w:p>
    <w:p w14:paraId="4A746553" w14:textId="1C7D8157" w:rsidR="00CD1582" w:rsidRDefault="00CD1582" w:rsidP="00CD1582">
      <w:pPr>
        <w:pStyle w:val="Heading3"/>
      </w:pPr>
      <w:r>
        <w:t>Packing the ear canal</w:t>
      </w:r>
    </w:p>
    <w:p w14:paraId="15D79C55" w14:textId="77777777" w:rsidR="00CD1582" w:rsidRPr="00CD1582" w:rsidRDefault="00CD1582" w:rsidP="00CD1582"/>
    <w:p w14:paraId="563C18CF" w14:textId="77777777" w:rsidR="000F2134" w:rsidRPr="00E3773C" w:rsidRDefault="000F2134" w:rsidP="00C44C21"/>
    <w:p w14:paraId="3FEC2EED" w14:textId="77777777" w:rsidR="009F5ED2" w:rsidRDefault="009F5ED2" w:rsidP="0000604D">
      <w:pPr>
        <w:pStyle w:val="Heading2"/>
        <w:jc w:val="both"/>
      </w:pPr>
      <w:r>
        <w:t xml:space="preserve">Conclusion: </w:t>
      </w:r>
    </w:p>
    <w:p w14:paraId="62D11103" w14:textId="77777777" w:rsidR="009F5ED2" w:rsidRDefault="009F5ED2" w:rsidP="00FE4B45">
      <w:pPr>
        <w:pStyle w:val="Heading2"/>
      </w:pPr>
      <w:r>
        <w:t xml:space="preserve">References: </w:t>
      </w:r>
    </w:p>
    <w:p w14:paraId="098694E8" w14:textId="77777777" w:rsidR="00E3773C" w:rsidRPr="00E3773C" w:rsidRDefault="00C23292" w:rsidP="00E3773C">
      <w:pPr>
        <w:widowControl w:val="0"/>
        <w:autoSpaceDE w:val="0"/>
        <w:autoSpaceDN w:val="0"/>
        <w:adjustRightInd w:val="0"/>
        <w:spacing w:before="200" w:after="0" w:line="240" w:lineRule="auto"/>
        <w:ind w:left="480" w:hanging="480"/>
        <w:rPr>
          <w:rFonts w:ascii="Calibri" w:hAnsi="Calibri" w:cs="Times New Roman"/>
          <w:noProof/>
          <w:szCs w:val="24"/>
        </w:rPr>
      </w:pPr>
      <w:r>
        <w:fldChar w:fldCharType="begin" w:fldLock="1"/>
      </w:r>
      <w:r w:rsidR="009F5ED2">
        <w:instrText xml:space="preserve">ADDIN Mendeley Bibliography CSL_BIBLIOGRAPHY </w:instrText>
      </w:r>
      <w:r>
        <w:fldChar w:fldCharType="separate"/>
      </w:r>
      <w:r w:rsidR="00E3773C" w:rsidRPr="00E3773C">
        <w:rPr>
          <w:rFonts w:ascii="Calibri" w:hAnsi="Calibri" w:cs="Times New Roman"/>
          <w:noProof/>
          <w:szCs w:val="24"/>
        </w:rPr>
        <w:t>Hsiao, K. C., Machaidze, Z., &amp; Pattaras, J. G. (2004). Time Management in the Operating Room : An Analysis of the Dedicated Minimally Invasive Surgery Suite, 300–303.</w:t>
      </w:r>
    </w:p>
    <w:p w14:paraId="0B0B4294" w14:textId="77777777"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James, A. L., Papsin, B. C., &amp; Papsin, B. C. (2012). Ten Top Considerations in Pediatric Tympanoplasty. </w:t>
      </w:r>
      <w:r w:rsidRPr="00E3773C">
        <w:rPr>
          <w:rFonts w:ascii="Calibri" w:hAnsi="Calibri" w:cs="Times New Roman"/>
          <w:i/>
          <w:iCs/>
          <w:noProof/>
          <w:szCs w:val="24"/>
        </w:rPr>
        <w:t>American Academy of Otolaryngology - Head and Neck Surgery</w:t>
      </w:r>
      <w:r w:rsidRPr="00E3773C">
        <w:rPr>
          <w:rFonts w:ascii="Calibri" w:hAnsi="Calibri" w:cs="Times New Roman"/>
          <w:noProof/>
          <w:szCs w:val="24"/>
        </w:rPr>
        <w:t>, (September), 992–998. https://doi.org/10.1177/0194599812460497</w:t>
      </w:r>
    </w:p>
    <w:p w14:paraId="4A05E761" w14:textId="77777777"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Mijovic, T., &amp; Lea, J. (2015). Training and Education in Endoscopic Ear Surgery. </w:t>
      </w:r>
      <w:r w:rsidRPr="00E3773C">
        <w:rPr>
          <w:rFonts w:ascii="Calibri" w:hAnsi="Calibri" w:cs="Times New Roman"/>
          <w:i/>
          <w:iCs/>
          <w:noProof/>
          <w:szCs w:val="24"/>
        </w:rPr>
        <w:t>Current Otorhinolaryngology Reports</w:t>
      </w:r>
      <w:r w:rsidRPr="00E3773C">
        <w:rPr>
          <w:rFonts w:ascii="Calibri" w:hAnsi="Calibri" w:cs="Times New Roman"/>
          <w:noProof/>
          <w:szCs w:val="24"/>
        </w:rPr>
        <w:t xml:space="preserve">, </w:t>
      </w:r>
      <w:r w:rsidRPr="00E3773C">
        <w:rPr>
          <w:rFonts w:ascii="Calibri" w:hAnsi="Calibri" w:cs="Times New Roman"/>
          <w:i/>
          <w:iCs/>
          <w:noProof/>
          <w:szCs w:val="24"/>
        </w:rPr>
        <w:t>3</w:t>
      </w:r>
      <w:r w:rsidRPr="00E3773C">
        <w:rPr>
          <w:rFonts w:ascii="Calibri" w:hAnsi="Calibri" w:cs="Times New Roman"/>
          <w:noProof/>
          <w:szCs w:val="24"/>
        </w:rPr>
        <w:t>(4), 193–199. https://doi.org/10.1007/s40136-015-0101-1</w:t>
      </w:r>
    </w:p>
    <w:p w14:paraId="5F8A563E" w14:textId="77777777" w:rsidR="00E3773C" w:rsidRPr="00E3773C" w:rsidRDefault="00E3773C" w:rsidP="00E3773C">
      <w:pPr>
        <w:widowControl w:val="0"/>
        <w:autoSpaceDE w:val="0"/>
        <w:autoSpaceDN w:val="0"/>
        <w:adjustRightInd w:val="0"/>
        <w:spacing w:before="200" w:after="0" w:line="240" w:lineRule="auto"/>
        <w:ind w:left="480" w:hanging="480"/>
        <w:rPr>
          <w:rFonts w:ascii="Calibri" w:hAnsi="Calibri" w:cs="Times New Roman"/>
          <w:noProof/>
          <w:szCs w:val="24"/>
        </w:rPr>
      </w:pPr>
      <w:r w:rsidRPr="00E3773C">
        <w:rPr>
          <w:rFonts w:ascii="Calibri" w:hAnsi="Calibri" w:cs="Times New Roman"/>
          <w:noProof/>
          <w:szCs w:val="24"/>
        </w:rPr>
        <w:t xml:space="preserve">Racine,  a D., &amp; Davidson,  a G. (2002). Use of a time-flow study to improve patient waiting times at an </w:t>
      </w:r>
      <w:r w:rsidRPr="00E3773C">
        <w:rPr>
          <w:rFonts w:ascii="Calibri" w:hAnsi="Calibri" w:cs="Times New Roman"/>
          <w:noProof/>
          <w:szCs w:val="24"/>
        </w:rPr>
        <w:lastRenderedPageBreak/>
        <w:t xml:space="preserve">inner-city academic pediatric practice. </w:t>
      </w:r>
      <w:r w:rsidRPr="00E3773C">
        <w:rPr>
          <w:rFonts w:ascii="Calibri" w:hAnsi="Calibri" w:cs="Times New Roman"/>
          <w:i/>
          <w:iCs/>
          <w:noProof/>
          <w:szCs w:val="24"/>
        </w:rPr>
        <w:t>Arch Pediatr Adolesc Med</w:t>
      </w:r>
      <w:r w:rsidRPr="00E3773C">
        <w:rPr>
          <w:rFonts w:ascii="Calibri" w:hAnsi="Calibri" w:cs="Times New Roman"/>
          <w:noProof/>
          <w:szCs w:val="24"/>
        </w:rPr>
        <w:t xml:space="preserve">, </w:t>
      </w:r>
      <w:r w:rsidRPr="00E3773C">
        <w:rPr>
          <w:rFonts w:ascii="Calibri" w:hAnsi="Calibri" w:cs="Times New Roman"/>
          <w:i/>
          <w:iCs/>
          <w:noProof/>
          <w:szCs w:val="24"/>
        </w:rPr>
        <w:t>156</w:t>
      </w:r>
      <w:r w:rsidRPr="00E3773C">
        <w:rPr>
          <w:rFonts w:ascii="Calibri" w:hAnsi="Calibri" w:cs="Times New Roman"/>
          <w:noProof/>
          <w:szCs w:val="24"/>
        </w:rPr>
        <w:t>(12), 1203–1209. https://doi.org/10.1001/archpedi.156.12.1203</w:t>
      </w:r>
    </w:p>
    <w:p w14:paraId="591B78D7" w14:textId="77777777" w:rsidR="00E3773C" w:rsidRPr="00E3773C" w:rsidRDefault="00E3773C" w:rsidP="00E3773C">
      <w:pPr>
        <w:widowControl w:val="0"/>
        <w:autoSpaceDE w:val="0"/>
        <w:autoSpaceDN w:val="0"/>
        <w:adjustRightInd w:val="0"/>
        <w:spacing w:before="200" w:after="0" w:line="240" w:lineRule="auto"/>
        <w:ind w:left="480" w:hanging="480"/>
        <w:rPr>
          <w:rFonts w:ascii="Calibri" w:hAnsi="Calibri"/>
          <w:noProof/>
        </w:rPr>
      </w:pPr>
      <w:r w:rsidRPr="00E3773C">
        <w:rPr>
          <w:rFonts w:ascii="Calibri" w:hAnsi="Calibri" w:cs="Times New Roman"/>
          <w:noProof/>
          <w:szCs w:val="24"/>
        </w:rPr>
        <w:t xml:space="preserve">Rube, M. A., Fernandez-gutierrez, F., Cox, B. F., Holbrook, B., Houston, J. G., White, R. D., … Melzer, A. (2015). HHS Public Access, </w:t>
      </w:r>
      <w:r w:rsidRPr="00E3773C">
        <w:rPr>
          <w:rFonts w:ascii="Calibri" w:hAnsi="Calibri" w:cs="Times New Roman"/>
          <w:i/>
          <w:iCs/>
          <w:noProof/>
          <w:szCs w:val="24"/>
        </w:rPr>
        <w:t>10</w:t>
      </w:r>
      <w:r w:rsidRPr="00E3773C">
        <w:rPr>
          <w:rFonts w:ascii="Calibri" w:hAnsi="Calibri" w:cs="Times New Roman"/>
          <w:noProof/>
          <w:szCs w:val="24"/>
        </w:rPr>
        <w:t>(5), 637–650. https://doi.org/10.1007/s11548-014-1102-0.Preclinical</w:t>
      </w:r>
    </w:p>
    <w:p w14:paraId="0DF7B4AA" w14:textId="77777777" w:rsidR="009F5ED2" w:rsidRPr="009F5ED2" w:rsidRDefault="00C23292" w:rsidP="00E3773C">
      <w:pPr>
        <w:widowControl w:val="0"/>
        <w:autoSpaceDE w:val="0"/>
        <w:autoSpaceDN w:val="0"/>
        <w:adjustRightInd w:val="0"/>
        <w:spacing w:before="200" w:after="0" w:line="240" w:lineRule="auto"/>
        <w:ind w:left="480" w:hanging="480"/>
      </w:pPr>
      <w:r>
        <w:fldChar w:fldCharType="end"/>
      </w:r>
    </w:p>
    <w:sectPr w:rsidR="009F5ED2" w:rsidRPr="009F5ED2" w:rsidSect="00107F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44197C"/>
    <w:multiLevelType w:val="hybridMultilevel"/>
    <w:tmpl w:val="6388E7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8FC0B48"/>
    <w:multiLevelType w:val="hybridMultilevel"/>
    <w:tmpl w:val="ED28ABC4"/>
    <w:lvl w:ilvl="0" w:tplc="86EEC98E">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9F5ED2"/>
    <w:rsid w:val="0000604D"/>
    <w:rsid w:val="000D26EB"/>
    <w:rsid w:val="000F2134"/>
    <w:rsid w:val="00107FE6"/>
    <w:rsid w:val="001A72CD"/>
    <w:rsid w:val="00452DC3"/>
    <w:rsid w:val="00463281"/>
    <w:rsid w:val="006C3AC7"/>
    <w:rsid w:val="006F618E"/>
    <w:rsid w:val="00707409"/>
    <w:rsid w:val="00713495"/>
    <w:rsid w:val="00775A4A"/>
    <w:rsid w:val="007C462D"/>
    <w:rsid w:val="0083148A"/>
    <w:rsid w:val="009E4EF1"/>
    <w:rsid w:val="009F5ED2"/>
    <w:rsid w:val="00B378B7"/>
    <w:rsid w:val="00BB2505"/>
    <w:rsid w:val="00BE5294"/>
    <w:rsid w:val="00C23292"/>
    <w:rsid w:val="00C44C21"/>
    <w:rsid w:val="00C83A6D"/>
    <w:rsid w:val="00CD1582"/>
    <w:rsid w:val="00D17C46"/>
    <w:rsid w:val="00D762A0"/>
    <w:rsid w:val="00DD34AE"/>
    <w:rsid w:val="00DD34C9"/>
    <w:rsid w:val="00E3773C"/>
    <w:rsid w:val="00E6679C"/>
    <w:rsid w:val="00E979B0"/>
    <w:rsid w:val="00FE4B45"/>
    <w:rsid w:val="00FF5B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928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FE6"/>
  </w:style>
  <w:style w:type="paragraph" w:styleId="Heading1">
    <w:name w:val="heading 1"/>
    <w:basedOn w:val="Normal"/>
    <w:next w:val="Normal"/>
    <w:link w:val="Heading1Char"/>
    <w:uiPriority w:val="9"/>
    <w:qFormat/>
    <w:rsid w:val="00FE4B45"/>
    <w:pPr>
      <w:keepNext/>
      <w:keepLines/>
      <w:spacing w:before="480" w:after="0"/>
      <w:outlineLvl w:val="0"/>
    </w:pPr>
    <w:rPr>
      <w:rFonts w:ascii="Calibri" w:eastAsiaTheme="majorEastAsia" w:hAnsi="Calibr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4B45"/>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DD34AE"/>
    <w:pPr>
      <w:keepNext/>
      <w:keepLines/>
      <w:spacing w:before="200" w:after="0"/>
      <w:outlineLvl w:val="2"/>
    </w:pPr>
    <w:rPr>
      <w:rFonts w:eastAsiaTheme="majorEastAsia" w:cstheme="majorBidi"/>
      <w:bCs/>
      <w:color w:val="4F81BD" w:themeColor="accent1"/>
    </w:rPr>
  </w:style>
  <w:style w:type="paragraph" w:styleId="Heading4">
    <w:name w:val="heading 4"/>
    <w:basedOn w:val="Normal"/>
    <w:next w:val="Normal"/>
    <w:link w:val="Heading4Char"/>
    <w:uiPriority w:val="9"/>
    <w:semiHidden/>
    <w:unhideWhenUsed/>
    <w:qFormat/>
    <w:rsid w:val="00FE4B45"/>
    <w:pPr>
      <w:keepNext/>
      <w:keepLines/>
      <w:spacing w:before="40" w:after="0"/>
      <w:outlineLvl w:val="3"/>
    </w:pPr>
    <w:rPr>
      <w:rFonts w:eastAsiaTheme="majorEastAsia"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4B45"/>
    <w:rPr>
      <w:rFonts w:ascii="Calibri" w:eastAsiaTheme="majorEastAsia" w:hAnsi="Calibr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4B4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rsid w:val="00DD34AE"/>
    <w:rPr>
      <w:rFonts w:eastAsiaTheme="majorEastAsia" w:cstheme="majorBidi"/>
      <w:bCs/>
      <w:color w:val="4F81BD" w:themeColor="accent1"/>
    </w:rPr>
  </w:style>
  <w:style w:type="paragraph" w:styleId="ListParagraph">
    <w:name w:val="List Paragraph"/>
    <w:basedOn w:val="Normal"/>
    <w:uiPriority w:val="34"/>
    <w:qFormat/>
    <w:rsid w:val="009F5ED2"/>
    <w:pPr>
      <w:spacing w:after="0" w:line="240" w:lineRule="auto"/>
      <w:ind w:left="720" w:firstLine="360"/>
      <w:contextualSpacing/>
    </w:pPr>
    <w:rPr>
      <w:rFonts w:eastAsiaTheme="minorEastAsia"/>
      <w:lang w:val="en-US" w:bidi="en-US"/>
    </w:rPr>
  </w:style>
  <w:style w:type="paragraph" w:customStyle="1" w:styleId="Normal1">
    <w:name w:val="Normal1"/>
    <w:rsid w:val="009F5ED2"/>
    <w:pPr>
      <w:spacing w:after="0"/>
      <w:ind w:firstLine="360"/>
    </w:pPr>
    <w:rPr>
      <w:rFonts w:ascii="Arial" w:eastAsia="Arial" w:hAnsi="Arial" w:cs="Arial"/>
      <w:color w:val="000000"/>
      <w:lang w:eastAsia="en-CA" w:bidi="en-US"/>
    </w:rPr>
  </w:style>
  <w:style w:type="paragraph" w:styleId="BalloonText">
    <w:name w:val="Balloon Text"/>
    <w:basedOn w:val="Normal"/>
    <w:link w:val="BalloonTextChar"/>
    <w:uiPriority w:val="99"/>
    <w:semiHidden/>
    <w:unhideWhenUsed/>
    <w:rsid w:val="00DD34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34C9"/>
    <w:rPr>
      <w:rFonts w:ascii="Tahoma" w:hAnsi="Tahoma" w:cs="Tahoma"/>
      <w:sz w:val="16"/>
      <w:szCs w:val="16"/>
    </w:rPr>
  </w:style>
  <w:style w:type="character" w:customStyle="1" w:styleId="Heading4Char">
    <w:name w:val="Heading 4 Char"/>
    <w:basedOn w:val="DefaultParagraphFont"/>
    <w:link w:val="Heading4"/>
    <w:uiPriority w:val="9"/>
    <w:semiHidden/>
    <w:rsid w:val="00FE4B45"/>
    <w:rPr>
      <w:rFonts w:eastAsiaTheme="majorEastAsia"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Time%20Flow%20Study\Time%20Flow%20Study%2023-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C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 Collection Form'!$AA$4</c:f>
              <c:strCache>
                <c:ptCount val="1"/>
                <c:pt idx="0">
                  <c:v>Median (min)</c:v>
                </c:pt>
              </c:strCache>
            </c:strRef>
          </c:tx>
          <c:spPr>
            <a:solidFill>
              <a:schemeClr val="accent1"/>
            </a:solidFill>
            <a:ln>
              <a:noFill/>
            </a:ln>
            <a:effectLst/>
          </c:spPr>
          <c:invertIfNegative val="0"/>
          <c:cat>
            <c:strRef>
              <c:f>'Data Collection Form'!$B$5:$B$19</c:f>
              <c:strCache>
                <c:ptCount val="15"/>
                <c:pt idx="0">
                  <c:v>Cleaning Out Ear canal</c:v>
                </c:pt>
                <c:pt idx="1">
                  <c:v>Injecting Anaesthesia</c:v>
                </c:pt>
                <c:pt idx="2">
                  <c:v>Hair Trimming</c:v>
                </c:pt>
                <c:pt idx="3">
                  <c:v>Cleaning Edges of Perforation</c:v>
                </c:pt>
                <c:pt idx="5">
                  <c:v>Making Skin Incision</c:v>
                </c:pt>
                <c:pt idx="6">
                  <c:v>Raising Flap</c:v>
                </c:pt>
                <c:pt idx="7">
                  <c:v>Preparing Graft</c:v>
                </c:pt>
                <c:pt idx="8">
                  <c:v>Placing Graft</c:v>
                </c:pt>
                <c:pt idx="11">
                  <c:v>Replacing Flap</c:v>
                </c:pt>
                <c:pt idx="14">
                  <c:v>Packing Ear Canal</c:v>
                </c:pt>
              </c:strCache>
            </c:strRef>
          </c:cat>
          <c:val>
            <c:numRef>
              <c:f>'Data Collection Form'!$AA$5:$AA$19</c:f>
              <c:numCache>
                <c:formatCode>General</c:formatCode>
                <c:ptCount val="15"/>
                <c:pt idx="0">
                  <c:v>2.333333333333333</c:v>
                </c:pt>
                <c:pt idx="1">
                  <c:v>2.9</c:v>
                </c:pt>
                <c:pt idx="2">
                  <c:v>2.516666666666663</c:v>
                </c:pt>
                <c:pt idx="3">
                  <c:v>3.5</c:v>
                </c:pt>
                <c:pt idx="5">
                  <c:v>1.866666666666667</c:v>
                </c:pt>
                <c:pt idx="6">
                  <c:v>23.5</c:v>
                </c:pt>
                <c:pt idx="7">
                  <c:v>2.55</c:v>
                </c:pt>
                <c:pt idx="8">
                  <c:v>10.0</c:v>
                </c:pt>
                <c:pt idx="11">
                  <c:v>2.625</c:v>
                </c:pt>
                <c:pt idx="14">
                  <c:v>4.366666666666666</c:v>
                </c:pt>
              </c:numCache>
            </c:numRef>
          </c:val>
        </c:ser>
        <c:dLbls>
          <c:showLegendKey val="0"/>
          <c:showVal val="0"/>
          <c:showCatName val="0"/>
          <c:showSerName val="0"/>
          <c:showPercent val="0"/>
          <c:showBubbleSize val="0"/>
        </c:dLbls>
        <c:gapWidth val="219"/>
        <c:overlap val="-27"/>
        <c:axId val="-2059940096"/>
        <c:axId val="2138856192"/>
      </c:barChart>
      <c:catAx>
        <c:axId val="-2059940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8856192"/>
        <c:crosses val="autoZero"/>
        <c:auto val="1"/>
        <c:lblAlgn val="ctr"/>
        <c:lblOffset val="100"/>
        <c:noMultiLvlLbl val="0"/>
      </c:catAx>
      <c:valAx>
        <c:axId val="213885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9940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468755-5D16-374A-855D-E7BFC35C8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2431</Words>
  <Characters>13859</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16258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23</cp:revision>
  <dcterms:created xsi:type="dcterms:W3CDTF">2017-06-12T00:51:00Z</dcterms:created>
  <dcterms:modified xsi:type="dcterms:W3CDTF">2017-06-13T18:09:00Z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f02e2194-1314-33c6-ac2e-4dc3f545970e</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