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E6" w:rsidRDefault="009F5ED2" w:rsidP="0000604D">
      <w:pPr>
        <w:pStyle w:val="Heading1"/>
        <w:jc w:val="both"/>
      </w:pPr>
      <w:r>
        <w:t>Time Flow Study Paper</w:t>
      </w:r>
    </w:p>
    <w:p w:rsidR="009F5ED2" w:rsidRDefault="009F5ED2" w:rsidP="0000604D">
      <w:pPr>
        <w:jc w:val="both"/>
      </w:pPr>
      <w:r>
        <w:t>Purpose: to analyze the efficiency of TEES</w:t>
      </w:r>
    </w:p>
    <w:p w:rsidR="00B378B7" w:rsidRDefault="00B378B7" w:rsidP="0000604D">
      <w:pPr>
        <w:pStyle w:val="ListParagraph"/>
        <w:numPr>
          <w:ilvl w:val="0"/>
          <w:numId w:val="2"/>
        </w:numPr>
        <w:jc w:val="both"/>
      </w:pPr>
      <w:r>
        <w:t>Look up case reports on tympanoplasty</w:t>
      </w:r>
      <w:r w:rsidR="001A72CD">
        <w:t xml:space="preserve"> (follow a case report layout)</w:t>
      </w:r>
    </w:p>
    <w:p w:rsidR="00B378B7" w:rsidRDefault="001A72CD" w:rsidP="0000604D">
      <w:pPr>
        <w:pStyle w:val="ListParagraph"/>
        <w:numPr>
          <w:ilvl w:val="0"/>
          <w:numId w:val="2"/>
        </w:numPr>
        <w:jc w:val="both"/>
      </w:pPr>
      <w:r>
        <w:t>Medline search on timing surgeries</w:t>
      </w:r>
    </w:p>
    <w:p w:rsidR="001A72CD" w:rsidRDefault="001A72CD" w:rsidP="0000604D">
      <w:pPr>
        <w:pStyle w:val="ListParagraph"/>
        <w:numPr>
          <w:ilvl w:val="0"/>
          <w:numId w:val="2"/>
        </w:numPr>
        <w:jc w:val="both"/>
      </w:pPr>
      <w:r>
        <w:t xml:space="preserve">Inconsistencies in how procedures are performed -&gt; the technique/approach varies </w:t>
      </w:r>
    </w:p>
    <w:p w:rsidR="001A72CD" w:rsidRDefault="001A72CD" w:rsidP="0000604D">
      <w:pPr>
        <w:pStyle w:val="ListParagraph"/>
        <w:numPr>
          <w:ilvl w:val="0"/>
          <w:numId w:val="2"/>
        </w:numPr>
        <w:jc w:val="both"/>
      </w:pPr>
      <w:r>
        <w:t>Why underlay or interlay</w:t>
      </w:r>
    </w:p>
    <w:p w:rsidR="00713495" w:rsidRPr="009F5ED2" w:rsidRDefault="00713495" w:rsidP="0000604D">
      <w:pPr>
        <w:pStyle w:val="ListParagraph"/>
        <w:numPr>
          <w:ilvl w:val="0"/>
          <w:numId w:val="2"/>
        </w:numPr>
        <w:jc w:val="both"/>
      </w:pPr>
      <w:r>
        <w:t>Mesh terms: time, time analysis</w:t>
      </w:r>
      <w:r w:rsidR="00D762A0">
        <w:t xml:space="preserve">  </w:t>
      </w:r>
    </w:p>
    <w:p w:rsidR="009F5ED2" w:rsidRDefault="009F5ED2" w:rsidP="0000604D">
      <w:pPr>
        <w:pStyle w:val="Heading2"/>
        <w:jc w:val="both"/>
      </w:pPr>
      <w:r>
        <w:t>Abstract:</w:t>
      </w:r>
    </w:p>
    <w:p w:rsidR="009F5ED2" w:rsidRPr="009F5ED2" w:rsidRDefault="009F5ED2" w:rsidP="0000604D">
      <w:pPr>
        <w:jc w:val="both"/>
      </w:pPr>
    </w:p>
    <w:p w:rsidR="009F5ED2" w:rsidRDefault="009F5ED2" w:rsidP="0000604D">
      <w:pPr>
        <w:pStyle w:val="Heading2"/>
        <w:jc w:val="both"/>
      </w:pPr>
      <w:r>
        <w:t xml:space="preserve">Background: </w:t>
      </w:r>
    </w:p>
    <w:p w:rsidR="001A72CD" w:rsidRDefault="001A72CD" w:rsidP="0000604D">
      <w:pPr>
        <w:jc w:val="both"/>
      </w:pPr>
      <w:r>
        <w:t xml:space="preserve">Focus on the inefficiencies in TEES in the background -&gt; are there papers that say this is inefficient, case reports that vary in terms of technique, times, blood loss, outcomes, etc. </w:t>
      </w:r>
    </w:p>
    <w:p w:rsidR="001A72CD" w:rsidRDefault="001A72CD" w:rsidP="0000604D">
      <w:pPr>
        <w:jc w:val="both"/>
      </w:pPr>
    </w:p>
    <w:p w:rsidR="001A72CD" w:rsidRDefault="001A72CD" w:rsidP="0000604D">
      <w:pPr>
        <w:jc w:val="both"/>
      </w:pPr>
      <w:r>
        <w:t xml:space="preserve">Condition of the patient, inefficiencies, using different tools </w:t>
      </w:r>
    </w:p>
    <w:p w:rsidR="001A72CD" w:rsidRPr="001A72CD" w:rsidRDefault="001A72CD" w:rsidP="0000604D">
      <w:pPr>
        <w:jc w:val="both"/>
      </w:pPr>
    </w:p>
    <w:p w:rsidR="009F5ED2" w:rsidRDefault="009F5ED2" w:rsidP="0000604D">
      <w:pPr>
        <w:widowControl w:val="0"/>
        <w:autoSpaceDE w:val="0"/>
        <w:autoSpaceDN w:val="0"/>
        <w:adjustRightInd w:val="0"/>
        <w:spacing w:after="240"/>
        <w:jc w:val="both"/>
        <w:rPr>
          <w:rFonts w:cs="Times New Roman"/>
        </w:rPr>
      </w:pPr>
      <w:r>
        <w:rPr>
          <w:rFonts w:cs="Times New Roman"/>
        </w:rPr>
        <w:t xml:space="preserve">Rube et al. Recorded the time for MRI-guided angioplasty and assessed the efficiency and feasibility of the proposed workflow and framework for this type of procedure </w:t>
      </w:r>
      <w:r w:rsidR="00C23292">
        <w:rPr>
          <w:rFonts w:cs="Times New Roman"/>
        </w:rPr>
        <w:fldChar w:fldCharType="begin" w:fldLock="1"/>
      </w:r>
      <w:r>
        <w:rPr>
          <w:rFonts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"(Rube et al., 2015)", "plainTextFormattedCitation" : "(Rube et al., 2015)", "previouslyFormattedCitation" : "(Rube et al., 2015)" }, "properties" : { "noteIndex" : 0 }, "schema" : "https://github.com/citation-style-language/schema/raw/master/csl-citation.json" }</w:instrText>
      </w:r>
      <w:r w:rsidR="00C23292">
        <w:rPr>
          <w:rFonts w:cs="Times New Roman"/>
        </w:rPr>
        <w:fldChar w:fldCharType="separate"/>
      </w:r>
      <w:r w:rsidRPr="009F5ED2">
        <w:rPr>
          <w:rFonts w:cs="Times New Roman"/>
          <w:noProof/>
        </w:rPr>
        <w:t>(Rube et al., 2015)</w:t>
      </w:r>
      <w:r w:rsidR="00C23292">
        <w:rPr>
          <w:rFonts w:cs="Times New Roman"/>
        </w:rPr>
        <w:fldChar w:fldCharType="end"/>
      </w:r>
      <w:r>
        <w:rPr>
          <w:rFonts w:cs="Times New Roman"/>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C23292">
        <w:rPr>
          <w:rFonts w:cs="Times New Roman"/>
        </w:rPr>
        <w:fldChar w:fldCharType="begin" w:fldLock="1"/>
      </w:r>
      <w:r>
        <w:rPr>
          <w:rFonts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"(Hsiao, Machaidze, &amp; Pattaras, 2004)", "plainTextFormattedCitation" : "(Hsiao, Machaidze, &amp; Pattaras, 2004)", "previouslyFormattedCitation" : "(Hsiao, Machaidze, &amp; Pattaras, 2004)" }, "properties" : { "noteIndex" : 0 }, "schema" : "https://github.com/citation-style-language/schema/raw/master/csl-citation.json" }</w:instrText>
      </w:r>
      <w:r w:rsidR="00C23292">
        <w:rPr>
          <w:rFonts w:cs="Times New Roman"/>
        </w:rPr>
        <w:fldChar w:fldCharType="separate"/>
      </w:r>
      <w:r w:rsidRPr="009F5ED2">
        <w:rPr>
          <w:rFonts w:cs="Times New Roman"/>
          <w:noProof/>
        </w:rPr>
        <w:t>(Hsiao, Machaidze, &amp; Pattaras, 2004)</w:t>
      </w:r>
      <w:r w:rsidR="00C23292">
        <w:rPr>
          <w:rFonts w:cs="Times New Roman"/>
        </w:rPr>
        <w:fldChar w:fldCharType="end"/>
      </w:r>
      <w:r>
        <w:rPr>
          <w:rFonts w:cs="Times New Roman"/>
        </w:rPr>
        <w:t xml:space="preserve">. A time flow study was also used to measure the patient wait times before and after restructuring the practice patterns to assess the efficiency of the new practice </w:t>
      </w:r>
      <w:r w:rsidR="00C23292">
        <w:rPr>
          <w:rFonts w:cs="Times New Roman"/>
        </w:rPr>
        <w:fldChar w:fldCharType="begin" w:fldLock="1"/>
      </w:r>
      <w:r>
        <w:rPr>
          <w:rFonts w:cs="Times New Roman"/>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"(Racine &amp; Davidson, 2002)", "plainTextFormattedCitation" : "(Racine &amp; Davidson, 2002)", "previouslyFormattedCitation" : "(Racine &amp; Davidson, 2002)" }, "properties" : { "noteIndex" : 0 }, "schema" : "https://github.com/citation-style-language/schema/raw/master/csl-citation.json" }</w:instrText>
      </w:r>
      <w:r w:rsidR="00C23292">
        <w:rPr>
          <w:rFonts w:cs="Times New Roman"/>
        </w:rPr>
        <w:fldChar w:fldCharType="separate"/>
      </w:r>
      <w:r w:rsidRPr="009F5ED2">
        <w:rPr>
          <w:rFonts w:cs="Times New Roman"/>
          <w:noProof/>
        </w:rPr>
        <w:t>(Racine &amp; Davidson, 2002)</w:t>
      </w:r>
      <w:r w:rsidR="00C23292">
        <w:rPr>
          <w:rFonts w:cs="Times New Roman"/>
        </w:rPr>
        <w:fldChar w:fldCharType="end"/>
      </w:r>
      <w:r>
        <w:rPr>
          <w:rFonts w:cs="Times New Roman"/>
        </w:rPr>
        <w:t xml:space="preserve">.  Time flow studies have been employed to analyze the efficiency and compare between surgery procedures and hospital protocols. </w:t>
      </w:r>
    </w:p>
    <w:p w:rsidR="009F5ED2" w:rsidRDefault="009F5ED2" w:rsidP="0000604D">
      <w:pPr>
        <w:widowControl w:val="0"/>
        <w:autoSpaceDE w:val="0"/>
        <w:autoSpaceDN w:val="0"/>
        <w:adjustRightInd w:val="0"/>
        <w:spacing w:after="240"/>
        <w:jc w:val="both"/>
        <w:rPr>
          <w:rFonts w:cs="Times New Roman"/>
        </w:rPr>
      </w:pPr>
      <w:r>
        <w:rPr>
          <w:rFonts w:cs="Times New Roman"/>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r w:rsidR="00775A4A" w:rsidRPr="00775A4A">
        <w:rPr>
          <w:rFonts w:cs="Arial"/>
        </w:rPr>
        <w:t xml:space="preserve"> </w:t>
      </w:r>
      <w:r w:rsidR="00775A4A" w:rsidRPr="00FD3A3E">
        <w:rPr>
          <w:rFonts w:cs="Arial"/>
        </w:rPr>
        <w:t>This will aim to measure the efficiency of current endoscopic ear surgery and provide areas where instrumentation redesign is required.</w:t>
      </w:r>
    </w:p>
    <w:p w:rsidR="009F5ED2" w:rsidRPr="009F5ED2" w:rsidRDefault="009F5ED2" w:rsidP="0000604D">
      <w:pPr>
        <w:jc w:val="both"/>
      </w:pPr>
    </w:p>
    <w:p w:rsidR="009F5ED2" w:rsidRDefault="009F5ED2" w:rsidP="0000604D">
      <w:pPr>
        <w:pStyle w:val="Heading2"/>
        <w:jc w:val="both"/>
      </w:pPr>
      <w:r>
        <w:lastRenderedPageBreak/>
        <w:t xml:space="preserve">Methods: </w:t>
      </w:r>
    </w:p>
    <w:p w:rsidR="009F5ED2" w:rsidRDefault="00775A4A" w:rsidP="0000604D">
      <w:pPr>
        <w:pStyle w:val="Heading3"/>
        <w:jc w:val="both"/>
      </w:pPr>
      <w:r>
        <w:t xml:space="preserve">Study Design: </w:t>
      </w:r>
    </w:p>
    <w:p w:rsidR="00C83A6D" w:rsidRDefault="00C83A6D" w:rsidP="0000604D">
      <w:pPr>
        <w:ind w:firstLine="720"/>
        <w:jc w:val="both"/>
      </w:pPr>
      <w:r>
        <w:t xml:space="preserve">The </w:t>
      </w:r>
      <w:proofErr w:type="spellStart"/>
      <w:r>
        <w:t>SickKids</w:t>
      </w:r>
      <w:proofErr w:type="spellEnd"/>
      <w:r>
        <w:t xml:space="preserve"> Research Ethics Board reviewed and approved the study.  </w:t>
      </w:r>
      <w:r w:rsidR="006F618E">
        <w:t>The participants for this</w:t>
      </w:r>
      <w:r>
        <w:t xml:space="preserve"> observational study included four staff otologists</w:t>
      </w:r>
      <w:r w:rsidR="006F618E">
        <w:t xml:space="preserve"> </w:t>
      </w:r>
      <w:r>
        <w:t xml:space="preserve">from Toronto: three from </w:t>
      </w:r>
      <w:proofErr w:type="spellStart"/>
      <w:r>
        <w:t>SickKids</w:t>
      </w:r>
      <w:proofErr w:type="spellEnd"/>
      <w:r>
        <w:t xml:space="preserve"> and one from Toronto General Hospital. Each participant </w:t>
      </w:r>
      <w:r w:rsidR="006F618E">
        <w:t>had</w:t>
      </w:r>
      <w:r>
        <w:t xml:space="preserve"> more than </w:t>
      </w:r>
      <w:r w:rsidRPr="00C83A6D">
        <w:rPr>
          <w:highlight w:val="yellow"/>
        </w:rPr>
        <w:t>&lt;insert number of years&gt;</w:t>
      </w:r>
      <w:r>
        <w:t xml:space="preserve"> years of experience in TEES. Patients who were undergoing tympanoplasty or cholesteatoma removal surgery using TEES were included in the study. Ten </w:t>
      </w:r>
      <w:r w:rsidRPr="00C83A6D">
        <w:rPr>
          <w:highlight w:val="yellow"/>
        </w:rPr>
        <w:t>(??)</w:t>
      </w:r>
      <w:r>
        <w:t xml:space="preserve"> surgeries from each otologist were studied.  </w:t>
      </w:r>
    </w:p>
    <w:p w:rsidR="000D26EB" w:rsidRPr="0000604D" w:rsidRDefault="000D26EB" w:rsidP="0000604D">
      <w:pPr>
        <w:widowControl w:val="0"/>
        <w:autoSpaceDE w:val="0"/>
        <w:autoSpaceDN w:val="0"/>
        <w:adjustRightInd w:val="0"/>
        <w:spacing w:after="240"/>
        <w:ind w:firstLine="720"/>
        <w:jc w:val="both"/>
        <w:rPr>
          <w:rFonts w:cs="Arial"/>
        </w:rPr>
      </w:pPr>
      <w:r>
        <w:rPr>
          <w:rFonts w:cs="Arial"/>
        </w:rPr>
        <w:t xml:space="preserve">The duration of the following steps were recorded using a standard stopwatch: cleaning out the ear canal, injecting anaesthesia, trimming the hairs, cleaning edges of the perforation, making the skin incision, raising the </w:t>
      </w:r>
      <w:proofErr w:type="spellStart"/>
      <w:r>
        <w:rPr>
          <w:rFonts w:cs="Arial"/>
        </w:rPr>
        <w:t>tympanomeatal</w:t>
      </w:r>
      <w:proofErr w:type="spellEnd"/>
      <w:r>
        <w:rPr>
          <w:rFonts w:cs="Arial"/>
        </w:rPr>
        <w:t xml:space="preserve"> flap, preparing the graft, placing and positioning the graft, replacing the flap, packing the ear canal. If the case was a cholesteatoma removal, then the time to remove cholesteatoma was also recorded. </w:t>
      </w:r>
    </w:p>
    <w:p w:rsidR="009F5ED2" w:rsidRPr="00FD3A3E" w:rsidRDefault="009F5ED2" w:rsidP="0000604D">
      <w:pPr>
        <w:widowControl w:val="0"/>
        <w:autoSpaceDE w:val="0"/>
        <w:autoSpaceDN w:val="0"/>
        <w:adjustRightInd w:val="0"/>
        <w:spacing w:after="240"/>
        <w:ind w:firstLine="720"/>
        <w:jc w:val="both"/>
        <w:rPr>
          <w:rFonts w:cs="Arial"/>
        </w:rPr>
      </w:pPr>
      <w:r w:rsidRPr="00FD3A3E">
        <w:rPr>
          <w:rFonts w:cs="Arial"/>
        </w:rPr>
        <w:t xml:space="preserve">The type of instruments used during these different </w:t>
      </w:r>
      <w:proofErr w:type="spellStart"/>
      <w:r w:rsidRPr="00FD3A3E">
        <w:rPr>
          <w:rFonts w:cs="Arial"/>
        </w:rPr>
        <w:t>maneuvers</w:t>
      </w:r>
      <w:proofErr w:type="spellEnd"/>
      <w:r w:rsidRPr="00FD3A3E">
        <w:rPr>
          <w:rFonts w:cs="Arial"/>
        </w:rPr>
        <w:t xml:space="preserve"> and the number of changes between different instruments will also be noted. These observation</w:t>
      </w:r>
      <w:r>
        <w:rPr>
          <w:rFonts w:cs="Arial"/>
        </w:rPr>
        <w:t>s</w:t>
      </w:r>
      <w:r w:rsidRPr="00FD3A3E">
        <w:rPr>
          <w:rFonts w:cs="Arial"/>
        </w:rPr>
        <w:t xml:space="preserve"> will also lead to an appreciation of the ergonomic requirements of instruments during </w:t>
      </w:r>
      <w:r>
        <w:rPr>
          <w:rFonts w:cs="Arial"/>
        </w:rPr>
        <w:t>ear surgery</w:t>
      </w:r>
      <w:r w:rsidRPr="00FD3A3E">
        <w:rPr>
          <w:rFonts w:cs="Arial"/>
        </w:rPr>
        <w:t xml:space="preserve"> and the design advantages of different instruments for specific </w:t>
      </w:r>
      <w:proofErr w:type="spellStart"/>
      <w:r w:rsidRPr="00FD3A3E">
        <w:rPr>
          <w:rFonts w:cs="Arial"/>
        </w:rPr>
        <w:t>maneuvers</w:t>
      </w:r>
      <w:proofErr w:type="spellEnd"/>
      <w:r w:rsidRPr="00FD3A3E">
        <w:rPr>
          <w:rFonts w:cs="Arial"/>
        </w:rPr>
        <w:t>.</w:t>
      </w:r>
    </w:p>
    <w:p w:rsidR="009F5ED2" w:rsidRDefault="00E979B0" w:rsidP="0000604D">
      <w:pPr>
        <w:widowControl w:val="0"/>
        <w:autoSpaceDE w:val="0"/>
        <w:autoSpaceDN w:val="0"/>
        <w:adjustRightInd w:val="0"/>
        <w:spacing w:after="240"/>
        <w:ind w:firstLine="720"/>
        <w:jc w:val="both"/>
        <w:rPr>
          <w:rFonts w:cs="Arial"/>
        </w:rPr>
      </w:pPr>
      <w:r>
        <w:rPr>
          <w:rFonts w:cs="Arial"/>
        </w:rPr>
        <w:t xml:space="preserve">The </w:t>
      </w:r>
      <w:r w:rsidR="009F5ED2" w:rsidRPr="00FD3A3E">
        <w:rPr>
          <w:rFonts w:cs="Arial"/>
        </w:rPr>
        <w:t xml:space="preserve">variance in time-flow between cases </w:t>
      </w:r>
      <w:r>
        <w:rPr>
          <w:rFonts w:cs="Arial"/>
        </w:rPr>
        <w:t xml:space="preserve">was </w:t>
      </w:r>
      <w:r w:rsidR="009F5ED2" w:rsidRPr="00FD3A3E">
        <w:rPr>
          <w:rFonts w:cs="Arial"/>
        </w:rPr>
        <w:t xml:space="preserve">high between cases based on patient specific factors such as extent of </w:t>
      </w:r>
      <w:r>
        <w:rPr>
          <w:rFonts w:cs="Arial"/>
        </w:rPr>
        <w:t xml:space="preserve">bleeding, ear canal morphology and </w:t>
      </w:r>
      <w:r w:rsidR="009F5ED2" w:rsidRPr="00FD3A3E">
        <w:rPr>
          <w:rFonts w:cs="Arial"/>
        </w:rPr>
        <w:t xml:space="preserve">extent of disease. </w:t>
      </w:r>
      <w:r>
        <w:rPr>
          <w:rFonts w:cs="Arial"/>
        </w:rPr>
        <w:t xml:space="preserve">As well, often the surgeon was teaching a trainee how to perform the surgery; this contributed </w:t>
      </w:r>
      <w:r w:rsidR="0000604D">
        <w:rPr>
          <w:rFonts w:cs="Arial"/>
        </w:rPr>
        <w:t>to</w:t>
      </w:r>
      <w:r>
        <w:rPr>
          <w:rFonts w:cs="Arial"/>
        </w:rPr>
        <w:t xml:space="preserve"> longer durations of steps as the staff surgeon was not the only one</w:t>
      </w:r>
      <w:r w:rsidR="0000604D">
        <w:rPr>
          <w:rFonts w:cs="Arial"/>
        </w:rPr>
        <w:t xml:space="preserve"> operating.</w:t>
      </w:r>
      <w:r>
        <w:rPr>
          <w:rFonts w:cs="Arial"/>
        </w:rPr>
        <w:t xml:space="preserve"> </w:t>
      </w:r>
      <w:r w:rsidR="009F5ED2" w:rsidRPr="00FD3A3E">
        <w:rPr>
          <w:rFonts w:cs="Arial"/>
        </w:rPr>
        <w:t>Nevertheless, this methodology provide</w:t>
      </w:r>
      <w:r>
        <w:rPr>
          <w:rFonts w:cs="Arial"/>
        </w:rPr>
        <w:t>d</w:t>
      </w:r>
      <w:r w:rsidR="009F5ED2" w:rsidRPr="00FD3A3E">
        <w:rPr>
          <w:rFonts w:cs="Arial"/>
        </w:rPr>
        <w:t xml:space="preserv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9F5ED2" w:rsidRDefault="009F5ED2" w:rsidP="0000604D">
      <w:pPr>
        <w:pStyle w:val="Heading3"/>
        <w:jc w:val="both"/>
      </w:pPr>
      <w:r>
        <w:t>Statistical Analysis:</w:t>
      </w:r>
    </w:p>
    <w:p w:rsidR="0000604D" w:rsidRPr="0000604D" w:rsidRDefault="0000604D" w:rsidP="0000604D">
      <w:r>
        <w:tab/>
        <w:t xml:space="preserve">The data was analyzed using the medians. </w:t>
      </w:r>
    </w:p>
    <w:p w:rsidR="009F5ED2" w:rsidRDefault="009F5ED2" w:rsidP="0000604D">
      <w:pPr>
        <w:pStyle w:val="Heading2"/>
        <w:jc w:val="both"/>
      </w:pPr>
      <w:r>
        <w:t xml:space="preserve">Results: </w:t>
      </w:r>
    </w:p>
    <w:p w:rsidR="00DD34C9" w:rsidRDefault="00DD34C9" w:rsidP="0000604D">
      <w:pPr>
        <w:jc w:val="both"/>
      </w:pPr>
    </w:p>
    <w:p w:rsidR="00DD34C9" w:rsidRPr="00DD34C9" w:rsidRDefault="00DD34C9" w:rsidP="0000604D">
      <w:pPr>
        <w:jc w:val="both"/>
      </w:pPr>
      <w:r w:rsidRPr="00DD34C9">
        <w:rPr>
          <w:noProof/>
          <w:lang w:eastAsia="en-CA"/>
        </w:rPr>
        <w:lastRenderedPageBreak/>
        <w:drawing>
          <wp:inline distT="0" distB="0" distL="0" distR="0">
            <wp:extent cx="4750955" cy="3547918"/>
            <wp:effectExtent l="19050" t="0" r="115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F5ED2" w:rsidRDefault="009F5ED2" w:rsidP="0000604D">
      <w:pPr>
        <w:pStyle w:val="Heading2"/>
        <w:jc w:val="both"/>
      </w:pPr>
      <w:r>
        <w:t xml:space="preserve">Discussion: </w:t>
      </w:r>
    </w:p>
    <w:p w:rsidR="00E3773C" w:rsidRDefault="00E3773C" w:rsidP="00E3773C">
      <w:r>
        <w:t xml:space="preserve">According to Lea and </w:t>
      </w:r>
      <w:proofErr w:type="spellStart"/>
      <w:r>
        <w:t>Mijovic</w:t>
      </w:r>
      <w:proofErr w:type="spellEnd"/>
      <w:r>
        <w:t xml:space="preserve">, raising the </w:t>
      </w:r>
      <w:proofErr w:type="spellStart"/>
      <w:r>
        <w:t>tympanomeatal</w:t>
      </w:r>
      <w:proofErr w:type="spellEnd"/>
      <w:r>
        <w:t xml:space="preserve"> flap is the most challenging and bloodiest step of surgery </w:t>
      </w:r>
      <w:r>
        <w:fldChar w:fldCharType="begin" w:fldLock="1"/>
      </w:r>
      <w: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"(Mijovic &amp; Lea, 2015)", "plainTextFormattedCitation" : "(Mijovic &amp; Lea, 2015)", "previouslyFormattedCitation" : "(Mijovic &amp; Lea, 2015)" }, "properties" : { "noteIndex" : 0 }, "schema" : "https://github.com/citation-style-language/schema/raw/master/csl-citation.json" }</w:instrText>
      </w:r>
      <w:r>
        <w:fldChar w:fldCharType="separate"/>
      </w:r>
      <w:r w:rsidRPr="00E3773C">
        <w:rPr>
          <w:noProof/>
        </w:rPr>
        <w:t>(Mijovic &amp; Lea, 2015)</w:t>
      </w:r>
      <w:r>
        <w:fldChar w:fldCharType="end"/>
      </w:r>
      <w:r>
        <w:t xml:space="preserve">. </w:t>
      </w:r>
    </w:p>
    <w:p w:rsidR="00E3773C" w:rsidRPr="00E3773C" w:rsidRDefault="00E3773C" w:rsidP="00E3773C">
      <w:r>
        <w:t xml:space="preserve">In tympanoplasty, the choice of the approach, graft material and graft placement technique depend on training, case load, resources and experience </w:t>
      </w:r>
      <w:r>
        <w:fldChar w:fldCharType="begin" w:fldLock="1"/>
      </w:r>
      <w: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"(James, Papsin, &amp; Papsin, 2012)", "plainTextFormattedCitation" : "(James, Papsin, &amp; Papsin, 2012)" }, "properties" : { "noteIndex" : 0 }, "schema" : "https://github.com/citation-style-language/schema/raw/master/csl-citation.json" }</w:instrText>
      </w:r>
      <w:r>
        <w:fldChar w:fldCharType="separate"/>
      </w:r>
      <w:r w:rsidRPr="00E3773C">
        <w:rPr>
          <w:noProof/>
        </w:rPr>
        <w:t>(James, Papsin, &amp; Papsin, 2012)</w:t>
      </w:r>
      <w:r>
        <w:fldChar w:fldCharType="end"/>
      </w:r>
      <w:r>
        <w:t xml:space="preserve">. The choice of underlay, interlay or overlay graft placement can affect the raising of the </w:t>
      </w:r>
      <w:proofErr w:type="spellStart"/>
      <w:r>
        <w:t>tympanomeatal</w:t>
      </w:r>
      <w:proofErr w:type="spellEnd"/>
      <w:r>
        <w:t xml:space="preserve"> flap because during interlay, the layers of the tympanic membrane must be separated which would take longer. </w:t>
      </w:r>
    </w:p>
    <w:p w:rsidR="009F5ED2" w:rsidRDefault="009F5ED2" w:rsidP="0000604D">
      <w:pPr>
        <w:pStyle w:val="Heading2"/>
        <w:jc w:val="both"/>
      </w:pPr>
      <w:r>
        <w:t xml:space="preserve">Conclusion: </w:t>
      </w:r>
    </w:p>
    <w:p w:rsidR="009F5ED2" w:rsidRDefault="009F5ED2" w:rsidP="0000604D">
      <w:pPr>
        <w:widowControl w:val="0"/>
        <w:autoSpaceDE w:val="0"/>
        <w:autoSpaceDN w:val="0"/>
        <w:adjustRightInd w:val="0"/>
        <w:spacing w:before="200" w:after="0" w:line="240" w:lineRule="auto"/>
        <w:ind w:left="480" w:hanging="480"/>
        <w:jc w:val="both"/>
      </w:pPr>
      <w:r>
        <w:t xml:space="preserve">References: </w:t>
      </w:r>
    </w:p>
    <w:p w:rsidR="00E3773C" w:rsidRPr="00E3773C" w:rsidRDefault="00C23292" w:rsidP="00E3773C">
      <w:pPr>
        <w:widowControl w:val="0"/>
        <w:autoSpaceDE w:val="0"/>
        <w:autoSpaceDN w:val="0"/>
        <w:adjustRightInd w:val="0"/>
        <w:spacing w:before="200" w:after="0" w:line="240" w:lineRule="auto"/>
        <w:ind w:left="480" w:hanging="480"/>
        <w:rPr>
          <w:rFonts w:ascii="Calibri" w:hAnsi="Calibri" w:cs="Times New Roman"/>
          <w:noProof/>
          <w:szCs w:val="24"/>
        </w:rPr>
      </w:pPr>
      <w:r>
        <w:fldChar w:fldCharType="begin" w:fldLock="1"/>
      </w:r>
      <w:r w:rsidR="009F5ED2">
        <w:instrText xml:space="preserve">ADDIN Mendeley Bibliography CSL_BIBLIOGRAPHY </w:instrText>
      </w:r>
      <w:r>
        <w:fldChar w:fldCharType="separate"/>
      </w:r>
      <w:r w:rsidR="00E3773C" w:rsidRPr="00E3773C">
        <w:rPr>
          <w:rFonts w:ascii="Calibri" w:hAnsi="Calibri" w:cs="Times New Roman"/>
          <w:noProof/>
          <w:szCs w:val="24"/>
        </w:rPr>
        <w:t>Hsiao, K. C., Machaidze, Z., &amp; Pattaras, J. G. (2004). Time Management in the Operating Room : An Analysis of the Dedicated Minimally Invasive Surgery Suite, 300–303.</w:t>
      </w:r>
    </w:p>
    <w:p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James, A. L., Papsin, B. C., &amp; Papsin, B. C. (2012). Ten Top Considerations in Pediatric Tympanoplasty. </w:t>
      </w:r>
      <w:r w:rsidRPr="00E3773C">
        <w:rPr>
          <w:rFonts w:ascii="Calibri" w:hAnsi="Calibri" w:cs="Times New Roman"/>
          <w:i/>
          <w:iCs/>
          <w:noProof/>
          <w:szCs w:val="24"/>
        </w:rPr>
        <w:t>American Academy of Otolaryngology - Head and Neck Surgery</w:t>
      </w:r>
      <w:r w:rsidRPr="00E3773C">
        <w:rPr>
          <w:rFonts w:ascii="Calibri" w:hAnsi="Calibri" w:cs="Times New Roman"/>
          <w:noProof/>
          <w:szCs w:val="24"/>
        </w:rPr>
        <w:t>, (September), 992–998. https://doi.org/10.1177/0194599812460497</w:t>
      </w:r>
    </w:p>
    <w:p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Mijovic, T., &amp; Lea, J. (2015). Training and Education in Endoscopic Ear Surgery. </w:t>
      </w:r>
      <w:r w:rsidRPr="00E3773C">
        <w:rPr>
          <w:rFonts w:ascii="Calibri" w:hAnsi="Calibri" w:cs="Times New Roman"/>
          <w:i/>
          <w:iCs/>
          <w:noProof/>
          <w:szCs w:val="24"/>
        </w:rPr>
        <w:t>Current Otorhinolaryngology Reports</w:t>
      </w:r>
      <w:r w:rsidRPr="00E3773C">
        <w:rPr>
          <w:rFonts w:ascii="Calibri" w:hAnsi="Calibri" w:cs="Times New Roman"/>
          <w:noProof/>
          <w:szCs w:val="24"/>
        </w:rPr>
        <w:t xml:space="preserve">, </w:t>
      </w:r>
      <w:r w:rsidRPr="00E3773C">
        <w:rPr>
          <w:rFonts w:ascii="Calibri" w:hAnsi="Calibri" w:cs="Times New Roman"/>
          <w:i/>
          <w:iCs/>
          <w:noProof/>
          <w:szCs w:val="24"/>
        </w:rPr>
        <w:t>3</w:t>
      </w:r>
      <w:r w:rsidRPr="00E3773C">
        <w:rPr>
          <w:rFonts w:ascii="Calibri" w:hAnsi="Calibri" w:cs="Times New Roman"/>
          <w:noProof/>
          <w:szCs w:val="24"/>
        </w:rPr>
        <w:t>(4), 193–199. https://doi.org/10.1007/s40136-015-0101-1</w:t>
      </w:r>
    </w:p>
    <w:p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Racine,  a D., &amp; Davidson,  a G. (2002). Use of a time-flow study to improve patient waiting times at an inner-city academic pediatric practice. </w:t>
      </w:r>
      <w:r w:rsidRPr="00E3773C">
        <w:rPr>
          <w:rFonts w:ascii="Calibri" w:hAnsi="Calibri" w:cs="Times New Roman"/>
          <w:i/>
          <w:iCs/>
          <w:noProof/>
          <w:szCs w:val="24"/>
        </w:rPr>
        <w:t>Arch Pediatr Adolesc Med</w:t>
      </w:r>
      <w:r w:rsidRPr="00E3773C">
        <w:rPr>
          <w:rFonts w:ascii="Calibri" w:hAnsi="Calibri" w:cs="Times New Roman"/>
          <w:noProof/>
          <w:szCs w:val="24"/>
        </w:rPr>
        <w:t xml:space="preserve">, </w:t>
      </w:r>
      <w:r w:rsidRPr="00E3773C">
        <w:rPr>
          <w:rFonts w:ascii="Calibri" w:hAnsi="Calibri" w:cs="Times New Roman"/>
          <w:i/>
          <w:iCs/>
          <w:noProof/>
          <w:szCs w:val="24"/>
        </w:rPr>
        <w:t>156</w:t>
      </w:r>
      <w:r w:rsidRPr="00E3773C">
        <w:rPr>
          <w:rFonts w:ascii="Calibri" w:hAnsi="Calibri" w:cs="Times New Roman"/>
          <w:noProof/>
          <w:szCs w:val="24"/>
        </w:rPr>
        <w:t>(12), 1203–1209. https://doi.org/10.1001/archpedi.156.12.1203</w:t>
      </w:r>
    </w:p>
    <w:p w:rsidR="00E3773C" w:rsidRPr="00E3773C" w:rsidRDefault="00E3773C" w:rsidP="00E3773C">
      <w:pPr>
        <w:widowControl w:val="0"/>
        <w:autoSpaceDE w:val="0"/>
        <w:autoSpaceDN w:val="0"/>
        <w:adjustRightInd w:val="0"/>
        <w:spacing w:before="200" w:after="0" w:line="240" w:lineRule="auto"/>
        <w:ind w:left="480" w:hanging="480"/>
        <w:rPr>
          <w:rFonts w:ascii="Calibri" w:hAnsi="Calibri"/>
          <w:noProof/>
        </w:rPr>
      </w:pPr>
      <w:r w:rsidRPr="00E3773C">
        <w:rPr>
          <w:rFonts w:ascii="Calibri" w:hAnsi="Calibri" w:cs="Times New Roman"/>
          <w:noProof/>
          <w:szCs w:val="24"/>
        </w:rPr>
        <w:lastRenderedPageBreak/>
        <w:t xml:space="preserve">Rube, M. A., Fernandez-gutierrez, F., Cox, B. F., Holbrook, B., Houston, J. G., White, R. D., … Melzer, A. (2015). HHS Public Access, </w:t>
      </w:r>
      <w:r w:rsidRPr="00E3773C">
        <w:rPr>
          <w:rFonts w:ascii="Calibri" w:hAnsi="Calibri" w:cs="Times New Roman"/>
          <w:i/>
          <w:iCs/>
          <w:noProof/>
          <w:szCs w:val="24"/>
        </w:rPr>
        <w:t>10</w:t>
      </w:r>
      <w:r w:rsidRPr="00E3773C">
        <w:rPr>
          <w:rFonts w:ascii="Calibri" w:hAnsi="Calibri" w:cs="Times New Roman"/>
          <w:noProof/>
          <w:szCs w:val="24"/>
        </w:rPr>
        <w:t>(5), 637–650. https://doi.org/10.1007/s11548-014-1102-0.Preclinical</w:t>
      </w:r>
    </w:p>
    <w:p w:rsidR="009F5ED2" w:rsidRPr="009F5ED2" w:rsidRDefault="00C23292" w:rsidP="00E3773C">
      <w:pPr>
        <w:widowControl w:val="0"/>
        <w:autoSpaceDE w:val="0"/>
        <w:autoSpaceDN w:val="0"/>
        <w:adjustRightInd w:val="0"/>
        <w:spacing w:before="200" w:after="0" w:line="240" w:lineRule="auto"/>
        <w:ind w:left="480" w:hanging="480"/>
      </w:pPr>
      <w:r>
        <w:fldChar w:fldCharType="end"/>
      </w:r>
    </w:p>
    <w:sectPr w:rsidR="009F5ED2" w:rsidRPr="009F5ED2" w:rsidSect="00107F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8FC0B48"/>
    <w:multiLevelType w:val="hybridMultilevel"/>
    <w:tmpl w:val="ED28ABC4"/>
    <w:lvl w:ilvl="0" w:tplc="86EEC98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ED2"/>
    <w:rsid w:val="0000604D"/>
    <w:rsid w:val="000D26EB"/>
    <w:rsid w:val="00107FE6"/>
    <w:rsid w:val="001A72CD"/>
    <w:rsid w:val="006F618E"/>
    <w:rsid w:val="00713495"/>
    <w:rsid w:val="00775A4A"/>
    <w:rsid w:val="009E4EF1"/>
    <w:rsid w:val="009F5ED2"/>
    <w:rsid w:val="00B378B7"/>
    <w:rsid w:val="00BE5294"/>
    <w:rsid w:val="00C23292"/>
    <w:rsid w:val="00C83A6D"/>
    <w:rsid w:val="00D762A0"/>
    <w:rsid w:val="00DD34C9"/>
    <w:rsid w:val="00E3773C"/>
    <w:rsid w:val="00E6679C"/>
    <w:rsid w:val="00E979B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E6"/>
  </w:style>
  <w:style w:type="paragraph" w:styleId="Heading1">
    <w:name w:val="heading 1"/>
    <w:basedOn w:val="Normal"/>
    <w:next w:val="Normal"/>
    <w:link w:val="Heading1Char"/>
    <w:uiPriority w:val="9"/>
    <w:qFormat/>
    <w:rsid w:val="009F5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5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5E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5E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5E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F5ED2"/>
    <w:pPr>
      <w:spacing w:after="0" w:line="240" w:lineRule="auto"/>
      <w:ind w:left="720" w:firstLine="360"/>
      <w:contextualSpacing/>
    </w:pPr>
    <w:rPr>
      <w:rFonts w:eastAsiaTheme="minorEastAsia"/>
      <w:lang w:val="en-US" w:bidi="en-US"/>
    </w:rPr>
  </w:style>
  <w:style w:type="paragraph" w:customStyle="1" w:styleId="Normal1">
    <w:name w:val="Normal1"/>
    <w:rsid w:val="009F5ED2"/>
    <w:pPr>
      <w:spacing w:after="0"/>
      <w:ind w:firstLine="360"/>
    </w:pPr>
    <w:rPr>
      <w:rFonts w:ascii="Arial" w:eastAsia="Arial" w:hAnsi="Arial" w:cs="Arial"/>
      <w:color w:val="000000"/>
      <w:lang w:eastAsia="en-CA" w:bidi="en-US"/>
    </w:rPr>
  </w:style>
  <w:style w:type="paragraph" w:styleId="BalloonText">
    <w:name w:val="Balloon Text"/>
    <w:basedOn w:val="Normal"/>
    <w:link w:val="BalloonTextChar"/>
    <w:uiPriority w:val="99"/>
    <w:semiHidden/>
    <w:unhideWhenUsed/>
    <w:rsid w:val="00DD3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Time%20Flow%20Study\Time%20Flow%20Study%2023-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barChart>
        <c:barDir val="col"/>
        <c:grouping val="clustered"/>
        <c:ser>
          <c:idx val="0"/>
          <c:order val="0"/>
          <c:tx>
            <c:strRef>
              <c:f>'Data Collection Form'!$AA$4</c:f>
              <c:strCache>
                <c:ptCount val="1"/>
                <c:pt idx="0">
                  <c:v>Median (min)</c:v>
                </c:pt>
              </c:strCache>
            </c:strRef>
          </c:tx>
          <c:spPr>
            <a:solidFill>
              <a:schemeClr val="accent1"/>
            </a:solidFill>
            <a:ln>
              <a:noFill/>
            </a:ln>
            <a:effectLst/>
          </c:spPr>
          <c:cat>
            <c:strRef>
              <c:f>'Data Collection Form'!$B$5:$B$19</c:f>
              <c:strCache>
                <c:ptCount val="15"/>
                <c:pt idx="0">
                  <c:v>Cleaning Out Ear canal</c:v>
                </c:pt>
                <c:pt idx="1">
                  <c:v>Injecting Anaesthesia</c:v>
                </c:pt>
                <c:pt idx="2">
                  <c:v>Hair Trimming</c:v>
                </c:pt>
                <c:pt idx="3">
                  <c:v>Cleaning Edges of Perforation</c:v>
                </c:pt>
                <c:pt idx="5">
                  <c:v>Making Skin Incision</c:v>
                </c:pt>
                <c:pt idx="6">
                  <c:v>Raising Flap</c:v>
                </c:pt>
                <c:pt idx="7">
                  <c:v>Preparing Graft</c:v>
                </c:pt>
                <c:pt idx="8">
                  <c:v>Placing Graft</c:v>
                </c:pt>
                <c:pt idx="11">
                  <c:v>Replacing Flap</c:v>
                </c:pt>
                <c:pt idx="14">
                  <c:v>Packing Ear Canal</c:v>
                </c:pt>
              </c:strCache>
            </c:strRef>
          </c:cat>
          <c:val>
            <c:numRef>
              <c:f>'Data Collection Form'!$AA$5:$AA$19</c:f>
              <c:numCache>
                <c:formatCode>General</c:formatCode>
                <c:ptCount val="15"/>
                <c:pt idx="0">
                  <c:v>2.3333333333333335</c:v>
                </c:pt>
                <c:pt idx="1">
                  <c:v>2.9</c:v>
                </c:pt>
                <c:pt idx="2">
                  <c:v>2.5166666666666653</c:v>
                </c:pt>
                <c:pt idx="3">
                  <c:v>3.5</c:v>
                </c:pt>
                <c:pt idx="5">
                  <c:v>1.8666666666666667</c:v>
                </c:pt>
                <c:pt idx="6">
                  <c:v>23.5</c:v>
                </c:pt>
                <c:pt idx="7">
                  <c:v>2.5499999999999998</c:v>
                </c:pt>
                <c:pt idx="8">
                  <c:v>10</c:v>
                </c:pt>
                <c:pt idx="11">
                  <c:v>2.625</c:v>
                </c:pt>
                <c:pt idx="14">
                  <c:v>4.3666666666666663</c:v>
                </c:pt>
              </c:numCache>
            </c:numRef>
          </c:val>
        </c:ser>
        <c:gapWidth val="219"/>
        <c:overlap val="-27"/>
        <c:axId val="94646272"/>
        <c:axId val="98877824"/>
      </c:barChart>
      <c:catAx>
        <c:axId val="9464627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77824"/>
        <c:crosses val="autoZero"/>
        <c:auto val="1"/>
        <c:lblAlgn val="ctr"/>
        <c:lblOffset val="100"/>
      </c:catAx>
      <c:valAx>
        <c:axId val="988778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4627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F584DA-4B42-4348-9355-D9D145D2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9</cp:revision>
  <dcterms:created xsi:type="dcterms:W3CDTF">2017-06-12T00:51:00Z</dcterms:created>
  <dcterms:modified xsi:type="dcterms:W3CDTF">2017-06-13T01:09:00Z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