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E6" w:rsidRDefault="009F5ED2" w:rsidP="009F5ED2">
      <w:pPr>
        <w:pStyle w:val="Heading1"/>
      </w:pPr>
      <w:r>
        <w:t>Time Flow Study Paper</w:t>
      </w:r>
    </w:p>
    <w:p w:rsidR="009F5ED2" w:rsidRPr="009F5ED2" w:rsidRDefault="009F5ED2" w:rsidP="009F5ED2">
      <w:r>
        <w:t>Purpose: to analyze the efficiency of TEES</w:t>
      </w:r>
    </w:p>
    <w:p w:rsidR="009F5ED2" w:rsidRDefault="009F5ED2" w:rsidP="009F5ED2">
      <w:pPr>
        <w:pStyle w:val="Heading2"/>
      </w:pPr>
      <w:r>
        <w:t>Abstract:</w:t>
      </w:r>
    </w:p>
    <w:p w:rsidR="009F5ED2" w:rsidRPr="009F5ED2" w:rsidRDefault="009F5ED2" w:rsidP="009F5ED2"/>
    <w:p w:rsidR="009F5ED2" w:rsidRDefault="009F5ED2" w:rsidP="009F5ED2">
      <w:pPr>
        <w:pStyle w:val="Heading2"/>
      </w:pPr>
      <w:r>
        <w:t xml:space="preserve">Background: </w:t>
      </w:r>
    </w:p>
    <w:p w:rsidR="009F5ED2" w:rsidRDefault="009F5ED2" w:rsidP="009F5ED2">
      <w:pPr>
        <w:widowControl w:val="0"/>
        <w:autoSpaceDE w:val="0"/>
        <w:autoSpaceDN w:val="0"/>
        <w:adjustRightInd w:val="0"/>
        <w:spacing w:after="240"/>
        <w:jc w:val="both"/>
        <w:rPr>
          <w:rFonts w:cs="Times New Roman"/>
        </w:rPr>
      </w:pPr>
      <w:r>
        <w:rPr>
          <w:rFonts w:cs="Times New Roman"/>
        </w:rPr>
        <w:t xml:space="preserve">Rube et al. Recorded the time for MRI-guided angioplasty and assessed the efficiency and feasibility of the proposed workflow and framework for this type of procedure </w:t>
      </w:r>
      <w:r w:rsidR="00E6679C">
        <w:rPr>
          <w:rFonts w:cs="Times New Roman"/>
        </w:rPr>
        <w:fldChar w:fldCharType="begin" w:fldLock="1"/>
      </w:r>
      <w:r>
        <w:rPr>
          <w:rFonts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"(Rube et al., 2015)", "plainTextFormattedCitation" : "(Rube et al., 2015)", "previouslyFormattedCitation" : "(Rube et al., 2015)" }, "properties" : { "noteIndex" : 0 }, "schema" : "https://github.com/citation-style-language/schema/raw/master/csl-citation.json" }</w:instrText>
      </w:r>
      <w:r w:rsidR="00E6679C">
        <w:rPr>
          <w:rFonts w:cs="Times New Roman"/>
        </w:rPr>
        <w:fldChar w:fldCharType="separate"/>
      </w:r>
      <w:r w:rsidRPr="009F5ED2">
        <w:rPr>
          <w:rFonts w:cs="Times New Roman"/>
          <w:noProof/>
        </w:rPr>
        <w:t>(Rube et al., 2015)</w:t>
      </w:r>
      <w:r w:rsidR="00E6679C">
        <w:rPr>
          <w:rFonts w:cs="Times New Roman"/>
        </w:rPr>
        <w:fldChar w:fldCharType="end"/>
      </w:r>
      <w:r>
        <w:rPr>
          <w:rFonts w:cs="Times New Roman"/>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E6679C">
        <w:rPr>
          <w:rFonts w:cs="Times New Roman"/>
        </w:rPr>
        <w:fldChar w:fldCharType="begin" w:fldLock="1"/>
      </w:r>
      <w:r>
        <w:rPr>
          <w:rFonts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"(Hsiao, Machaidze, &amp; Pattaras, 2004)", "plainTextFormattedCitation" : "(Hsiao, Machaidze, &amp; Pattaras, 2004)", "previouslyFormattedCitation" : "(Hsiao, Machaidze, &amp; Pattaras, 2004)" }, "properties" : { "noteIndex" : 0 }, "schema" : "https://github.com/citation-style-language/schema/raw/master/csl-citation.json" }</w:instrText>
      </w:r>
      <w:r w:rsidR="00E6679C">
        <w:rPr>
          <w:rFonts w:cs="Times New Roman"/>
        </w:rPr>
        <w:fldChar w:fldCharType="separate"/>
      </w:r>
      <w:r w:rsidRPr="009F5ED2">
        <w:rPr>
          <w:rFonts w:cs="Times New Roman"/>
          <w:noProof/>
        </w:rPr>
        <w:t>(Hsiao, Machaidze, &amp; Pattaras, 2004)</w:t>
      </w:r>
      <w:r w:rsidR="00E6679C">
        <w:rPr>
          <w:rFonts w:cs="Times New Roman"/>
        </w:rPr>
        <w:fldChar w:fldCharType="end"/>
      </w:r>
      <w:r>
        <w:rPr>
          <w:rFonts w:cs="Times New Roman"/>
        </w:rPr>
        <w:t xml:space="preserve">. A time flow study was also used to measure the patient wait times before and after restructuring the practice patterns to assess the efficiency of the new practice </w:t>
      </w:r>
      <w:r w:rsidR="00E6679C">
        <w:rPr>
          <w:rFonts w:cs="Times New Roman"/>
        </w:rPr>
        <w:fldChar w:fldCharType="begin" w:fldLock="1"/>
      </w:r>
      <w:r>
        <w:rPr>
          <w:rFonts w:cs="Times New Roman"/>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"(Racine &amp; Davidson, 2002)", "plainTextFormattedCitation" : "(Racine &amp; Davidson, 2002)", "previouslyFormattedCitation" : "(Racine &amp; Davidson, 2002)" }, "properties" : { "noteIndex" : 0 }, "schema" : "https://github.com/citation-style-language/schema/raw/master/csl-citation.json" }</w:instrText>
      </w:r>
      <w:r w:rsidR="00E6679C">
        <w:rPr>
          <w:rFonts w:cs="Times New Roman"/>
        </w:rPr>
        <w:fldChar w:fldCharType="separate"/>
      </w:r>
      <w:r w:rsidRPr="009F5ED2">
        <w:rPr>
          <w:rFonts w:cs="Times New Roman"/>
          <w:noProof/>
        </w:rPr>
        <w:t>(Racine &amp; Davidson, 2002)</w:t>
      </w:r>
      <w:r w:rsidR="00E6679C">
        <w:rPr>
          <w:rFonts w:cs="Times New Roman"/>
        </w:rPr>
        <w:fldChar w:fldCharType="end"/>
      </w:r>
      <w:r>
        <w:rPr>
          <w:rFonts w:cs="Times New Roman"/>
        </w:rPr>
        <w:t xml:space="preserve">.  Time flow studies have been employed to analyze the efficiency and compare between surgery procedures and hospital protocols. </w:t>
      </w:r>
    </w:p>
    <w:p w:rsidR="009F5ED2" w:rsidRDefault="009F5ED2" w:rsidP="009F5ED2">
      <w:pPr>
        <w:widowControl w:val="0"/>
        <w:autoSpaceDE w:val="0"/>
        <w:autoSpaceDN w:val="0"/>
        <w:adjustRightInd w:val="0"/>
        <w:spacing w:after="240"/>
        <w:jc w:val="both"/>
        <w:rPr>
          <w:rFonts w:cs="Times New Roman"/>
        </w:rPr>
      </w:pPr>
      <w:r>
        <w:rPr>
          <w:rFonts w:cs="Times New Roman"/>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rsidR="009F5ED2" w:rsidRPr="009F5ED2" w:rsidRDefault="009F5ED2" w:rsidP="009F5ED2"/>
    <w:p w:rsidR="009F5ED2" w:rsidRDefault="009F5ED2" w:rsidP="009F5ED2">
      <w:pPr>
        <w:pStyle w:val="Heading2"/>
      </w:pPr>
      <w:r>
        <w:t xml:space="preserve">Methods: </w:t>
      </w:r>
    </w:p>
    <w:p w:rsidR="009F5ED2" w:rsidRDefault="009F5ED2" w:rsidP="009F5ED2"/>
    <w:p w:rsidR="009F5ED2" w:rsidRPr="00FD3A3E" w:rsidRDefault="009F5ED2" w:rsidP="009F5ED2">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xml:space="preserve">. The type of instruments used during these different </w:t>
      </w:r>
      <w:proofErr w:type="spellStart"/>
      <w:r w:rsidRPr="00FD3A3E">
        <w:rPr>
          <w:rFonts w:cs="Arial"/>
        </w:rPr>
        <w:t>maneuvers</w:t>
      </w:r>
      <w:proofErr w:type="spellEnd"/>
      <w:r w:rsidRPr="00FD3A3E">
        <w:rPr>
          <w:rFonts w:cs="Arial"/>
        </w:rPr>
        <w:t xml:space="preserve"> and the number of changes between different instruments will also be noted. These observation</w:t>
      </w:r>
      <w:r>
        <w:rPr>
          <w:rFonts w:cs="Arial"/>
        </w:rPr>
        <w:t>s</w:t>
      </w:r>
      <w:r w:rsidRPr="00FD3A3E">
        <w:rPr>
          <w:rFonts w:cs="Arial"/>
        </w:rPr>
        <w:t xml:space="preserve"> will also lead to an appreciation of the ergonomic requirements of instruments during </w:t>
      </w:r>
      <w:r>
        <w:rPr>
          <w:rFonts w:cs="Arial"/>
        </w:rPr>
        <w:t>ear surgery</w:t>
      </w:r>
      <w:r w:rsidRPr="00FD3A3E">
        <w:rPr>
          <w:rFonts w:cs="Arial"/>
        </w:rPr>
        <w:t xml:space="preserve"> and the design advantages of different instruments for specific </w:t>
      </w:r>
      <w:proofErr w:type="spellStart"/>
      <w:r w:rsidRPr="00FD3A3E">
        <w:rPr>
          <w:rFonts w:cs="Arial"/>
        </w:rPr>
        <w:t>maneuvers</w:t>
      </w:r>
      <w:proofErr w:type="spellEnd"/>
      <w:r w:rsidRPr="00FD3A3E">
        <w:rPr>
          <w:rFonts w:cs="Arial"/>
        </w:rPr>
        <w:t>.</w:t>
      </w:r>
    </w:p>
    <w:p w:rsidR="009F5ED2" w:rsidRDefault="009F5ED2" w:rsidP="009F5ED2">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w:t>
      </w:r>
      <w:r w:rsidRPr="00FD3A3E">
        <w:rPr>
          <w:rFonts w:cs="Arial"/>
        </w:rPr>
        <w:lastRenderedPageBreak/>
        <w:t xml:space="preserve">anecdotal surgeon’s recall. Steps demanding a disproportionate amount of time or multiple changes in instrument will be determined from analysis of these data. This will reveal procedural areas in which surgical efficiency may be improved by instrument modification. </w:t>
      </w:r>
    </w:p>
    <w:p w:rsidR="009F5ED2" w:rsidRDefault="009F5ED2" w:rsidP="009F5ED2">
      <w:pPr>
        <w:widowControl w:val="0"/>
        <w:autoSpaceDE w:val="0"/>
        <w:autoSpaceDN w:val="0"/>
        <w:adjustRightInd w:val="0"/>
        <w:spacing w:after="240"/>
        <w:jc w:val="both"/>
        <w:rPr>
          <w:rFonts w:cs="Arial"/>
        </w:rPr>
      </w:pPr>
    </w:p>
    <w:p w:rsidR="009F5ED2" w:rsidRDefault="009F5ED2" w:rsidP="009F5ED2">
      <w:pPr>
        <w:widowControl w:val="0"/>
        <w:autoSpaceDE w:val="0"/>
        <w:autoSpaceDN w:val="0"/>
        <w:adjustRightInd w:val="0"/>
        <w:spacing w:after="240"/>
        <w:jc w:val="both"/>
        <w:rPr>
          <w:rFonts w:cs="Arial"/>
        </w:rPr>
      </w:pPr>
    </w:p>
    <w:p w:rsidR="009F5ED2" w:rsidRDefault="009F5ED2" w:rsidP="009F5ED2">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785"/>
        <w:gridCol w:w="2910"/>
        <w:gridCol w:w="1665"/>
        <w:gridCol w:w="1455"/>
      </w:tblGrid>
      <w:tr w:rsidR="009F5ED2" w:rsidRPr="003E4DF5" w:rsidTr="00CF4A39">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9F5ED2" w:rsidRPr="003E4DF5" w:rsidTr="00CF4A39">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9F5ED2" w:rsidRPr="003E4DF5" w:rsidTr="00CF4A39">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Cholesteatoma</w:t>
            </w:r>
            <w:proofErr w:type="spellEnd"/>
            <w:r w:rsidRPr="003E4DF5">
              <w:rPr>
                <w:rFonts w:asciiTheme="minorHAnsi" w:hAnsiTheme="minorHAnsi"/>
                <w:sz w:val="16"/>
                <w:szCs w:val="16"/>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r w:rsidR="009F5ED2" w:rsidRPr="003E4DF5" w:rsidTr="00CF4A39">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rsidR="009F5ED2" w:rsidRPr="003E4DF5" w:rsidRDefault="009F5ED2" w:rsidP="00CF4A39">
            <w:pPr>
              <w:pStyle w:val="Normal1"/>
              <w:widowControl w:val="0"/>
              <w:rPr>
                <w:rFonts w:asciiTheme="minorHAnsi" w:hAnsiTheme="minorHAnsi"/>
                <w:sz w:val="16"/>
                <w:szCs w:val="16"/>
              </w:rPr>
            </w:pPr>
          </w:p>
        </w:tc>
      </w:tr>
    </w:tbl>
    <w:p w:rsidR="009F5ED2" w:rsidRDefault="009F5ED2" w:rsidP="009F5ED2">
      <w:pPr>
        <w:widowControl w:val="0"/>
        <w:autoSpaceDE w:val="0"/>
        <w:autoSpaceDN w:val="0"/>
        <w:adjustRightInd w:val="0"/>
        <w:spacing w:after="240"/>
        <w:jc w:val="both"/>
        <w:rPr>
          <w:rFonts w:cs="Arial"/>
        </w:rPr>
      </w:pPr>
    </w:p>
    <w:p w:rsidR="009F5ED2" w:rsidRPr="009F5ED2" w:rsidRDefault="009F5ED2" w:rsidP="009F5ED2">
      <w:r>
        <w:rPr>
          <w:rFonts w:cs="Arial"/>
        </w:rPr>
        <w:t xml:space="preserve">The patient chart states whether or not the patient has consented to recording their surgery duration. The date and time of the surgeries of patients who had consented are linked to the 5 digit code in a separate spreadsheet. This key sheet and the results sheet are kept in a file on a </w:t>
      </w:r>
      <w:proofErr w:type="spellStart"/>
      <w:r>
        <w:rPr>
          <w:rFonts w:cs="Arial"/>
        </w:rPr>
        <w:t>SickKids</w:t>
      </w:r>
      <w:proofErr w:type="spellEnd"/>
      <w:r>
        <w:rPr>
          <w:rFonts w:cs="Arial"/>
        </w:rPr>
        <w:t xml:space="preserve"> research computer.</w:t>
      </w:r>
    </w:p>
    <w:p w:rsidR="009F5ED2" w:rsidRDefault="009F5ED2" w:rsidP="009F5ED2">
      <w:pPr>
        <w:pStyle w:val="Heading3"/>
      </w:pPr>
      <w:r>
        <w:t>Statistical Analysis:</w:t>
      </w:r>
    </w:p>
    <w:p w:rsidR="009F5ED2" w:rsidRDefault="009F5ED2" w:rsidP="009F5ED2">
      <w:pPr>
        <w:pStyle w:val="Heading2"/>
      </w:pPr>
      <w:r>
        <w:t xml:space="preserve">Results: </w:t>
      </w:r>
    </w:p>
    <w:p w:rsidR="00DD34C9" w:rsidRDefault="00DD34C9" w:rsidP="00DD34C9"/>
    <w:p w:rsidR="00DD34C9" w:rsidRPr="00DD34C9" w:rsidRDefault="00DD34C9" w:rsidP="00DD34C9">
      <w:r w:rsidRPr="00DD34C9">
        <w:drawing>
          <wp:inline distT="0" distB="0" distL="0" distR="0">
            <wp:extent cx="4750955" cy="3547918"/>
            <wp:effectExtent l="19050" t="0" r="115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F5ED2" w:rsidRDefault="009F5ED2" w:rsidP="009F5ED2">
      <w:pPr>
        <w:pStyle w:val="Heading2"/>
      </w:pPr>
      <w:r>
        <w:t xml:space="preserve">Discussion: </w:t>
      </w:r>
    </w:p>
    <w:p w:rsidR="009F5ED2" w:rsidRDefault="009F5ED2" w:rsidP="009F5ED2">
      <w:pPr>
        <w:pStyle w:val="Heading2"/>
      </w:pPr>
      <w:r>
        <w:t xml:space="preserve">Conclusion: </w:t>
      </w:r>
    </w:p>
    <w:p w:rsidR="009F5ED2" w:rsidRDefault="009F5ED2" w:rsidP="009F5ED2">
      <w:pPr>
        <w:widowControl w:val="0"/>
        <w:autoSpaceDE w:val="0"/>
        <w:autoSpaceDN w:val="0"/>
        <w:adjustRightInd w:val="0"/>
        <w:spacing w:before="200" w:after="0" w:line="240" w:lineRule="auto"/>
        <w:ind w:left="480" w:hanging="480"/>
      </w:pPr>
      <w:r>
        <w:t xml:space="preserve">References: </w:t>
      </w:r>
    </w:p>
    <w:p w:rsidR="009F5ED2" w:rsidRPr="009F5ED2" w:rsidRDefault="00E6679C" w:rsidP="009F5ED2">
      <w:pPr>
        <w:widowControl w:val="0"/>
        <w:autoSpaceDE w:val="0"/>
        <w:autoSpaceDN w:val="0"/>
        <w:adjustRightInd w:val="0"/>
        <w:spacing w:before="200" w:after="0" w:line="240" w:lineRule="auto"/>
        <w:ind w:left="480" w:hanging="480"/>
        <w:rPr>
          <w:rFonts w:ascii="Calibri" w:hAnsi="Calibri" w:cs="Times New Roman"/>
          <w:noProof/>
          <w:szCs w:val="24"/>
        </w:rPr>
      </w:pPr>
      <w:r>
        <w:fldChar w:fldCharType="begin" w:fldLock="1"/>
      </w:r>
      <w:r w:rsidR="009F5ED2">
        <w:instrText xml:space="preserve">ADDIN Mendeley Bibliography CSL_BIBLIOGRAPHY </w:instrText>
      </w:r>
      <w:r>
        <w:fldChar w:fldCharType="separate"/>
      </w:r>
      <w:r w:rsidR="009F5ED2" w:rsidRPr="009F5ED2">
        <w:rPr>
          <w:rFonts w:ascii="Calibri" w:hAnsi="Calibri" w:cs="Times New Roman"/>
          <w:noProof/>
          <w:szCs w:val="24"/>
        </w:rPr>
        <w:t>Hsiao, K. C., Machaidze, Z., &amp; Pattaras, J. G. (2004). Time Management in the Operating Room : An Analysis of the Dedicated Minimally Invasive Surgery Suite, 300–303.</w:t>
      </w:r>
    </w:p>
    <w:p w:rsidR="009F5ED2" w:rsidRPr="009F5ED2" w:rsidRDefault="009F5ED2" w:rsidP="009F5ED2">
      <w:pPr>
        <w:widowControl w:val="0"/>
        <w:autoSpaceDE w:val="0"/>
        <w:autoSpaceDN w:val="0"/>
        <w:adjustRightInd w:val="0"/>
        <w:spacing w:before="200" w:after="0" w:line="240" w:lineRule="auto"/>
        <w:ind w:left="480" w:hanging="480"/>
        <w:rPr>
          <w:rFonts w:ascii="Calibri" w:hAnsi="Calibri" w:cs="Times New Roman"/>
          <w:noProof/>
          <w:szCs w:val="24"/>
        </w:rPr>
      </w:pPr>
      <w:r w:rsidRPr="009F5ED2">
        <w:rPr>
          <w:rFonts w:ascii="Calibri" w:hAnsi="Calibri" w:cs="Times New Roman"/>
          <w:noProof/>
          <w:szCs w:val="24"/>
        </w:rPr>
        <w:t xml:space="preserve">Racine,  a D., &amp; Davidson,  a G. (2002). Use of a time-flow study to improve patient waiting times at an inner-city academic pediatric practice. </w:t>
      </w:r>
      <w:r w:rsidRPr="009F5ED2">
        <w:rPr>
          <w:rFonts w:ascii="Calibri" w:hAnsi="Calibri" w:cs="Times New Roman"/>
          <w:i/>
          <w:iCs/>
          <w:noProof/>
          <w:szCs w:val="24"/>
        </w:rPr>
        <w:t>Arch Pediatr Adolesc Med</w:t>
      </w:r>
      <w:r w:rsidRPr="009F5ED2">
        <w:rPr>
          <w:rFonts w:ascii="Calibri" w:hAnsi="Calibri" w:cs="Times New Roman"/>
          <w:noProof/>
          <w:szCs w:val="24"/>
        </w:rPr>
        <w:t xml:space="preserve">, </w:t>
      </w:r>
      <w:r w:rsidRPr="009F5ED2">
        <w:rPr>
          <w:rFonts w:ascii="Calibri" w:hAnsi="Calibri" w:cs="Times New Roman"/>
          <w:i/>
          <w:iCs/>
          <w:noProof/>
          <w:szCs w:val="24"/>
        </w:rPr>
        <w:t>156</w:t>
      </w:r>
      <w:r w:rsidRPr="009F5ED2">
        <w:rPr>
          <w:rFonts w:ascii="Calibri" w:hAnsi="Calibri" w:cs="Times New Roman"/>
          <w:noProof/>
          <w:szCs w:val="24"/>
        </w:rPr>
        <w:t>(12), 1203–1209. https://doi.org/10.1001/archpedi.156.12.1203</w:t>
      </w:r>
    </w:p>
    <w:p w:rsidR="009F5ED2" w:rsidRPr="009F5ED2" w:rsidRDefault="009F5ED2" w:rsidP="009F5ED2">
      <w:pPr>
        <w:widowControl w:val="0"/>
        <w:autoSpaceDE w:val="0"/>
        <w:autoSpaceDN w:val="0"/>
        <w:adjustRightInd w:val="0"/>
        <w:spacing w:before="200" w:after="0" w:line="240" w:lineRule="auto"/>
        <w:ind w:left="480" w:hanging="480"/>
        <w:rPr>
          <w:rFonts w:ascii="Calibri" w:hAnsi="Calibri"/>
          <w:noProof/>
        </w:rPr>
      </w:pPr>
      <w:r w:rsidRPr="009F5ED2">
        <w:rPr>
          <w:rFonts w:ascii="Calibri" w:hAnsi="Calibri" w:cs="Times New Roman"/>
          <w:noProof/>
          <w:szCs w:val="24"/>
        </w:rPr>
        <w:lastRenderedPageBreak/>
        <w:t xml:space="preserve">Rube, M. A., Fernandez-gutierrez, F., Cox, B. F., Holbrook, B., Houston, J. G., White, R. D., … Melzer, A. (2015). HHS Public Access, </w:t>
      </w:r>
      <w:r w:rsidRPr="009F5ED2">
        <w:rPr>
          <w:rFonts w:ascii="Calibri" w:hAnsi="Calibri" w:cs="Times New Roman"/>
          <w:i/>
          <w:iCs/>
          <w:noProof/>
          <w:szCs w:val="24"/>
        </w:rPr>
        <w:t>10</w:t>
      </w:r>
      <w:r w:rsidRPr="009F5ED2">
        <w:rPr>
          <w:rFonts w:ascii="Calibri" w:hAnsi="Calibri" w:cs="Times New Roman"/>
          <w:noProof/>
          <w:szCs w:val="24"/>
        </w:rPr>
        <w:t>(5), 637–650. https://doi.org/10.1007/s11548-014-1102-0.Preclinical</w:t>
      </w:r>
    </w:p>
    <w:p w:rsidR="009F5ED2" w:rsidRPr="009F5ED2" w:rsidRDefault="00E6679C" w:rsidP="009F5ED2">
      <w:pPr>
        <w:widowControl w:val="0"/>
        <w:autoSpaceDE w:val="0"/>
        <w:autoSpaceDN w:val="0"/>
        <w:adjustRightInd w:val="0"/>
        <w:spacing w:before="200" w:after="0" w:line="240" w:lineRule="auto"/>
        <w:ind w:left="480" w:hanging="480"/>
      </w:pPr>
      <w:r>
        <w:fldChar w:fldCharType="end"/>
      </w:r>
    </w:p>
    <w:sectPr w:rsidR="009F5ED2" w:rsidRPr="009F5ED2" w:rsidSect="00107F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5ED2"/>
    <w:rsid w:val="00107FE6"/>
    <w:rsid w:val="009F5ED2"/>
    <w:rsid w:val="00DD34C9"/>
    <w:rsid w:val="00E6679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E6"/>
  </w:style>
  <w:style w:type="paragraph" w:styleId="Heading1">
    <w:name w:val="heading 1"/>
    <w:basedOn w:val="Normal"/>
    <w:next w:val="Normal"/>
    <w:link w:val="Heading1Char"/>
    <w:uiPriority w:val="9"/>
    <w:qFormat/>
    <w:rsid w:val="009F5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5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5E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E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5E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5ED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F5ED2"/>
    <w:pPr>
      <w:spacing w:after="0" w:line="240" w:lineRule="auto"/>
      <w:ind w:left="720" w:firstLine="360"/>
      <w:contextualSpacing/>
    </w:pPr>
    <w:rPr>
      <w:rFonts w:eastAsiaTheme="minorEastAsia"/>
      <w:lang w:val="en-US" w:bidi="en-US"/>
    </w:rPr>
  </w:style>
  <w:style w:type="paragraph" w:customStyle="1" w:styleId="Normal1">
    <w:name w:val="Normal1"/>
    <w:rsid w:val="009F5ED2"/>
    <w:pPr>
      <w:spacing w:after="0"/>
      <w:ind w:firstLine="360"/>
    </w:pPr>
    <w:rPr>
      <w:rFonts w:ascii="Arial" w:eastAsia="Arial" w:hAnsi="Arial" w:cs="Arial"/>
      <w:color w:val="000000"/>
      <w:lang w:eastAsia="en-CA" w:bidi="en-US"/>
    </w:rPr>
  </w:style>
  <w:style w:type="paragraph" w:styleId="BalloonText">
    <w:name w:val="Balloon Text"/>
    <w:basedOn w:val="Normal"/>
    <w:link w:val="BalloonTextChar"/>
    <w:uiPriority w:val="99"/>
    <w:semiHidden/>
    <w:unhideWhenUsed/>
    <w:rsid w:val="00DD3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Time%20Flow%20Study\Time%20Flow%20Study%2023-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barChart>
        <c:barDir val="col"/>
        <c:grouping val="clustered"/>
        <c:ser>
          <c:idx val="0"/>
          <c:order val="0"/>
          <c:tx>
            <c:strRef>
              <c:f>'Data Collection Form'!$AA$4</c:f>
              <c:strCache>
                <c:ptCount val="1"/>
                <c:pt idx="0">
                  <c:v>Median (min)</c:v>
                </c:pt>
              </c:strCache>
            </c:strRef>
          </c:tx>
          <c:spPr>
            <a:solidFill>
              <a:schemeClr val="accent1"/>
            </a:solidFill>
            <a:ln>
              <a:noFill/>
            </a:ln>
            <a:effectLst/>
          </c:spPr>
          <c:cat>
            <c:strRef>
              <c:f>'Data Collection Form'!$B$5:$B$19</c:f>
              <c:strCache>
                <c:ptCount val="15"/>
                <c:pt idx="0">
                  <c:v>Cleaning Out Ear canal</c:v>
                </c:pt>
                <c:pt idx="1">
                  <c:v>Injecting Anaesthesia</c:v>
                </c:pt>
                <c:pt idx="2">
                  <c:v>Hair Trimming</c:v>
                </c:pt>
                <c:pt idx="3">
                  <c:v>Cleaning Edges of Perforation</c:v>
                </c:pt>
                <c:pt idx="5">
                  <c:v>Making Skin Incision</c:v>
                </c:pt>
                <c:pt idx="6">
                  <c:v>Raising Flap</c:v>
                </c:pt>
                <c:pt idx="7">
                  <c:v>Preparing Graft</c:v>
                </c:pt>
                <c:pt idx="8">
                  <c:v>Placing Graft</c:v>
                </c:pt>
                <c:pt idx="11">
                  <c:v>Replacing Flap</c:v>
                </c:pt>
                <c:pt idx="14">
                  <c:v>Packing Ear Canal</c:v>
                </c:pt>
              </c:strCache>
            </c:strRef>
          </c:cat>
          <c:val>
            <c:numRef>
              <c:f>'Data Collection Form'!$AA$5:$AA$19</c:f>
              <c:numCache>
                <c:formatCode>General</c:formatCode>
                <c:ptCount val="15"/>
                <c:pt idx="0">
                  <c:v>2.3333333333333335</c:v>
                </c:pt>
                <c:pt idx="1">
                  <c:v>2.9</c:v>
                </c:pt>
                <c:pt idx="2">
                  <c:v>2.5166666666666662</c:v>
                </c:pt>
                <c:pt idx="3">
                  <c:v>3.5</c:v>
                </c:pt>
                <c:pt idx="5">
                  <c:v>1.8666666666666667</c:v>
                </c:pt>
                <c:pt idx="6">
                  <c:v>23.5</c:v>
                </c:pt>
                <c:pt idx="7">
                  <c:v>2.5499999999999998</c:v>
                </c:pt>
                <c:pt idx="8">
                  <c:v>10</c:v>
                </c:pt>
                <c:pt idx="11">
                  <c:v>2.625</c:v>
                </c:pt>
                <c:pt idx="14">
                  <c:v>4.3666666666666663</c:v>
                </c:pt>
              </c:numCache>
            </c:numRef>
          </c:val>
        </c:ser>
        <c:gapWidth val="219"/>
        <c:overlap val="-27"/>
        <c:axId val="132695168"/>
        <c:axId val="132696704"/>
      </c:barChart>
      <c:catAx>
        <c:axId val="13269516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96704"/>
        <c:crosses val="autoZero"/>
        <c:auto val="1"/>
        <c:lblAlgn val="ctr"/>
        <c:lblOffset val="100"/>
      </c:catAx>
      <c:valAx>
        <c:axId val="13269670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9516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D1393-0981-4686-98C1-821D0F46E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1615</Words>
  <Characters>9207</Characters>
  <Application>Microsoft Office Word</Application>
  <DocSecurity>0</DocSecurity>
  <Lines>76</Lines>
  <Paragraphs>21</Paragraphs>
  <ScaleCrop>false</ScaleCrop>
  <Company>HSC</Company>
  <LinksUpToDate>false</LinksUpToDate>
  <CharactersWithSpaces>10801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2017-06-12T00:51:00Z</dcterms:created>
  <dcterms:modified xsi:type="dcterms:W3CDTF">2017-06-12T00:57:00Z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