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92F" w:rsidRDefault="008C4705">
      <w:pPr>
        <w:pStyle w:val="Text"/>
        <w:ind w:firstLine="0"/>
        <w:rPr>
          <w:sz w:val="2"/>
          <w:szCs w:val="18"/>
        </w:rPr>
      </w:pPr>
      <w:bookmarkStart w:id="0" w:name="_GoBack"/>
      <w:bookmarkEnd w:id="0"/>
      <w:r>
        <w:rPr>
          <w:sz w:val="2"/>
          <w:szCs w:val="18"/>
        </w:rPr>
        <w:t xml:space="preserve">    </w:t>
      </w:r>
      <w:r w:rsidR="00C2692F">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C2692F" w:rsidP="00C2692F">
      <w:pPr>
        <w:pStyle w:val="Authors"/>
        <w:framePr w:wrap="notBeside" w:x="1614"/>
      </w:pPr>
      <w:r>
        <w:t xml:space="preserve">First A. Author, Second B. Author, Jr., and Third C. Author, </w:t>
      </w:r>
      <w:r>
        <w:rPr>
          <w:rStyle w:val="MemberType"/>
        </w:rPr>
        <w:t>Member, IEEE</w:t>
      </w:r>
    </w:p>
    <w:p w:rsidR="00C2692F" w:rsidRDefault="00C2692F" w:rsidP="00C2692F">
      <w:pPr>
        <w:pStyle w:val="Abstract"/>
        <w:spacing w:before="0"/>
      </w:pPr>
      <w:r>
        <w:rPr>
          <w:i/>
          <w:iCs/>
        </w:rPr>
        <w:t>Abstract</w:t>
      </w:r>
      <w:r>
        <w:t>—</w:t>
      </w:r>
      <w:r w:rsidRPr="00B32A40">
        <w:t xml:space="preserve"> </w:t>
      </w:r>
      <w:proofErr w:type="gramStart"/>
      <w:r>
        <w:t>This</w:t>
      </w:r>
      <w:proofErr w:type="gramEnd"/>
      <w:r>
        <w:t xml:space="preserve"> electronic document is a “live” template. The various components of </w:t>
      </w:r>
      <w:r w:rsidRPr="005B520E">
        <w:t>your</w:t>
      </w:r>
      <w:r>
        <w:t xml:space="preserve"> paper [title, text, heads, etc.] are already defined on the style sheet, as illustrated by the portions given in this document.</w:t>
      </w:r>
    </w:p>
    <w:p w:rsidR="00C2692F" w:rsidRDefault="00C2692F" w:rsidP="00C2692F">
      <w:pPr>
        <w:pStyle w:val="Heading1"/>
        <w:spacing w:before="120" w:after="120"/>
      </w:pPr>
      <w:r>
        <w:t>I</w:t>
      </w:r>
      <w:r>
        <w:rPr>
          <w:sz w:val="16"/>
          <w:szCs w:val="16"/>
        </w:rPr>
        <w:t>NTRODUCTION</w:t>
      </w:r>
    </w:p>
    <w:p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Pr="005B520E">
        <w:t>throughout a conference proceedings</w:t>
      </w:r>
      <w:proofErr w:type="gramEnd"/>
      <w:r w:rsidRPr="005B520E">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rsidRPr="005B520E">
        <w:t>you.</w:t>
      </w:r>
      <w:proofErr w:type="gramEnd"/>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proofErr w:type="gramStart"/>
      <w:r w:rsidRPr="005B520E">
        <w:t>Number equations consecutively.</w:t>
      </w:r>
      <w:proofErr w:type="gramEnd"/>
      <w:r w:rsidRPr="005B520E">
        <w:t xml:space="preserve">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w:t>
      </w:r>
      <w:proofErr w:type="gramStart"/>
      <w:r w:rsidRPr="005B520E">
        <w:lastRenderedPageBreak/>
        <w:t>quantities</w:t>
      </w:r>
      <w:proofErr w:type="gramEnd"/>
      <w:r w:rsidRPr="005B520E">
        <w:t xml:space="preserve">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w:t>
      </w:r>
      <w:proofErr w:type="gramStart"/>
      <w:r w:rsidRPr="005B520E">
        <w:t>non</w:t>
      </w:r>
      <w:proofErr w:type="gramEnd"/>
      <w:r w:rsidRPr="005B520E">
        <w:t>”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roofErr w:type="gramStart"/>
      <w:r w:rsidRPr="005B520E">
        <w:t>”.</w:t>
      </w:r>
      <w:proofErr w:type="gramEnd"/>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w:t>
      </w:r>
      <w:r w:rsidRPr="005B520E">
        <w:lastRenderedPageBreak/>
        <w:t>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 xml:space="preserve">Text heads organize the topics on a relational, hierarchical basis. For example, the paper title is the primary text head because all subsequent material relates and </w:t>
      </w:r>
      <w:r w:rsidRPr="005B520E">
        <w:lastRenderedPageBreak/>
        <w:t>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proofErr w:type="gramStart"/>
      <w:r w:rsidRPr="005B520E">
        <w:t xml:space="preserve">Positioning Figures and Tables: </w:t>
      </w:r>
      <w:r w:rsidRPr="005B520E">
        <w:rPr>
          <w:i w:val="0"/>
          <w:iCs w:val="0"/>
        </w:rPr>
        <w:t>Place figures and tables at the top and bottom of columns.</w:t>
      </w:r>
      <w:proofErr w:type="gramEnd"/>
      <w:r w:rsidRPr="005B520E">
        <w:rPr>
          <w:i w:val="0"/>
          <w:iCs w:val="0"/>
        </w:rPr>
        <w:t xml:space="preserve">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6B199D" w:rsidP="00C2692F">
      <w:pPr>
        <w:pStyle w:val="figurecaption"/>
      </w:pPr>
      <w:r w:rsidRPr="006B199D">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 wrapcoords="-67 -180 -67 21420 21667 21420 21667 -180 -67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lastRenderedPageBreak/>
        <w:t>Acknowledgment</w:t>
      </w:r>
    </w:p>
    <w:p w:rsidR="00C2692F" w:rsidRDefault="00C2692F" w:rsidP="001A13E6">
      <w:pPr>
        <w:pStyle w:val="Text"/>
        <w:spacing w:after="120" w:line="228" w:lineRule="auto"/>
        <w:ind w:firstLine="288"/>
      </w:pPr>
      <w:r w:rsidRPr="005B520E">
        <w:t xml:space="preserve">The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proofErr w:type="gramStart"/>
      <w:r>
        <w:rPr>
          <w:i/>
          <w:iCs/>
          <w:sz w:val="16"/>
          <w:szCs w:val="16"/>
        </w:rPr>
        <w:t>An</w:t>
      </w:r>
      <w:proofErr w:type="gramEnd"/>
      <w:r>
        <w:rPr>
          <w:i/>
          <w:iCs/>
          <w:sz w:val="16"/>
          <w:szCs w:val="16"/>
        </w:rPr>
        <w:t xml:space="preserve">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w:t>
      </w:r>
      <w:proofErr w:type="spellStart"/>
      <w:r>
        <w:t>Tagawa</w:t>
      </w:r>
      <w:proofErr w:type="spellEnd"/>
      <w:r>
        <w:t xml:space="preserve">,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C2692F" w:rsidRDefault="00C2692F">
      <w:pPr>
        <w:pStyle w:val="References"/>
        <w:numPr>
          <w:ilvl w:val="0"/>
          <w:numId w:val="19"/>
        </w:numPr>
      </w:pPr>
      <w:r>
        <w:t xml:space="preserve">M. Young, </w:t>
      </w:r>
      <w:proofErr w:type="gramStart"/>
      <w:r>
        <w:rPr>
          <w:i/>
          <w:iCs/>
        </w:rPr>
        <w:t>The</w:t>
      </w:r>
      <w:proofErr w:type="gramEnd"/>
      <w:r>
        <w:rPr>
          <w:i/>
          <w:iCs/>
        </w:rPr>
        <w:t xml:space="preserv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xml:space="preserve">. </w:t>
      </w:r>
      <w:proofErr w:type="spellStart"/>
      <w:r>
        <w:rPr>
          <w:i/>
          <w:iCs/>
          <w:sz w:val="16"/>
          <w:szCs w:val="16"/>
        </w:rPr>
        <w:t>Allerton</w:t>
      </w:r>
      <w:proofErr w:type="spellEnd"/>
      <w:r>
        <w:rPr>
          <w:i/>
          <w:iCs/>
          <w:sz w:val="16"/>
          <w:szCs w:val="16"/>
        </w:rPr>
        <w:t xml:space="preserve">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lastRenderedPageBreak/>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 xml:space="preserve">N. Kawasaki, “Parametric study of thermal and chemical </w:t>
      </w:r>
      <w:proofErr w:type="spellStart"/>
      <w:r>
        <w:t>nonequilibrium</w:t>
      </w:r>
      <w:proofErr w:type="spellEnd"/>
      <w:r>
        <w:t xml:space="preserve">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A09" w:rsidRDefault="00124A09">
      <w:r>
        <w:separator/>
      </w:r>
    </w:p>
  </w:endnote>
  <w:endnote w:type="continuationSeparator" w:id="0">
    <w:p w:rsidR="00124A09" w:rsidRDefault="00124A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A09" w:rsidRDefault="00124A09"/>
  </w:footnote>
  <w:footnote w:type="continuationSeparator" w:id="0">
    <w:p w:rsidR="00124A09" w:rsidRDefault="00124A09">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92F" w:rsidRDefault="00C2692F">
    <w:pPr>
      <w:framePr w:wrap="auto" w:vAnchor="text" w:hAnchor="margin" w:xAlign="right" w:y="1"/>
    </w:pPr>
  </w:p>
  <w:p w:rsidR="00C2692F" w:rsidRDefault="00C2692F" w:rsidP="00C2692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attachedTemplate r:id="rId1"/>
  <w:stylePaneFormatFilter w:val="3F0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1"/>
    <w:footnote w:id="0"/>
  </w:footnotePr>
  <w:endnotePr>
    <w:endnote w:id="-1"/>
    <w:endnote w:id="0"/>
  </w:endnotePr>
  <w:compat/>
  <w:rsids>
    <w:rsidRoot w:val="00EA58F8"/>
    <w:rsid w:val="00124A09"/>
    <w:rsid w:val="0015028E"/>
    <w:rsid w:val="001A13E6"/>
    <w:rsid w:val="002E781C"/>
    <w:rsid w:val="00430366"/>
    <w:rsid w:val="006B199D"/>
    <w:rsid w:val="006C6760"/>
    <w:rsid w:val="007C713D"/>
    <w:rsid w:val="007F61BC"/>
    <w:rsid w:val="008C4705"/>
    <w:rsid w:val="008F08DE"/>
    <w:rsid w:val="0098250C"/>
    <w:rsid w:val="009D197E"/>
    <w:rsid w:val="00C2692F"/>
    <w:rsid w:val="00D01553"/>
    <w:rsid w:val="00D5304F"/>
    <w:rsid w:val="00EA58F8"/>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B199D"/>
    <w:pPr>
      <w:autoSpaceDE w:val="0"/>
      <w:autoSpaceDN w:val="0"/>
    </w:pPr>
  </w:style>
  <w:style w:type="paragraph" w:styleId="Heading1">
    <w:name w:val="heading 1"/>
    <w:basedOn w:val="Normal"/>
    <w:next w:val="Normal"/>
    <w:qFormat/>
    <w:rsid w:val="006B199D"/>
    <w:pPr>
      <w:keepNext/>
      <w:numPr>
        <w:numId w:val="1"/>
      </w:numPr>
      <w:spacing w:before="240" w:after="80"/>
      <w:jc w:val="center"/>
      <w:outlineLvl w:val="0"/>
    </w:pPr>
    <w:rPr>
      <w:smallCaps/>
      <w:kern w:val="28"/>
    </w:rPr>
  </w:style>
  <w:style w:type="paragraph" w:styleId="Heading2">
    <w:name w:val="heading 2"/>
    <w:basedOn w:val="Normal"/>
    <w:next w:val="Normal"/>
    <w:qFormat/>
    <w:rsid w:val="006B199D"/>
    <w:pPr>
      <w:keepNext/>
      <w:numPr>
        <w:ilvl w:val="1"/>
        <w:numId w:val="1"/>
      </w:numPr>
      <w:spacing w:before="120" w:after="60"/>
      <w:ind w:left="144"/>
      <w:outlineLvl w:val="1"/>
    </w:pPr>
    <w:rPr>
      <w:i/>
      <w:iCs/>
    </w:rPr>
  </w:style>
  <w:style w:type="paragraph" w:styleId="Heading3">
    <w:name w:val="heading 3"/>
    <w:basedOn w:val="Normal"/>
    <w:next w:val="Normal"/>
    <w:qFormat/>
    <w:rsid w:val="006B199D"/>
    <w:pPr>
      <w:keepNext/>
      <w:numPr>
        <w:ilvl w:val="2"/>
        <w:numId w:val="1"/>
      </w:numPr>
      <w:ind w:left="288"/>
      <w:outlineLvl w:val="2"/>
    </w:pPr>
    <w:rPr>
      <w:i/>
      <w:iCs/>
    </w:rPr>
  </w:style>
  <w:style w:type="paragraph" w:styleId="Heading4">
    <w:name w:val="heading 4"/>
    <w:basedOn w:val="Normal"/>
    <w:next w:val="Normal"/>
    <w:qFormat/>
    <w:rsid w:val="006B199D"/>
    <w:pPr>
      <w:keepNext/>
      <w:numPr>
        <w:ilvl w:val="3"/>
        <w:numId w:val="1"/>
      </w:numPr>
      <w:spacing w:before="240" w:after="60"/>
      <w:outlineLvl w:val="3"/>
    </w:pPr>
    <w:rPr>
      <w:i/>
      <w:iCs/>
      <w:sz w:val="18"/>
      <w:szCs w:val="18"/>
    </w:rPr>
  </w:style>
  <w:style w:type="paragraph" w:styleId="Heading5">
    <w:name w:val="heading 5"/>
    <w:basedOn w:val="Normal"/>
    <w:next w:val="Normal"/>
    <w:qFormat/>
    <w:rsid w:val="006B199D"/>
    <w:pPr>
      <w:numPr>
        <w:ilvl w:val="4"/>
        <w:numId w:val="1"/>
      </w:numPr>
      <w:spacing w:before="240" w:after="60"/>
      <w:outlineLvl w:val="4"/>
    </w:pPr>
    <w:rPr>
      <w:sz w:val="18"/>
      <w:szCs w:val="18"/>
    </w:rPr>
  </w:style>
  <w:style w:type="paragraph" w:styleId="Heading6">
    <w:name w:val="heading 6"/>
    <w:basedOn w:val="Normal"/>
    <w:next w:val="Normal"/>
    <w:qFormat/>
    <w:rsid w:val="006B199D"/>
    <w:pPr>
      <w:numPr>
        <w:ilvl w:val="5"/>
        <w:numId w:val="1"/>
      </w:numPr>
      <w:spacing w:before="240" w:after="60"/>
      <w:outlineLvl w:val="5"/>
    </w:pPr>
    <w:rPr>
      <w:i/>
      <w:iCs/>
      <w:sz w:val="16"/>
      <w:szCs w:val="16"/>
    </w:rPr>
  </w:style>
  <w:style w:type="paragraph" w:styleId="Heading7">
    <w:name w:val="heading 7"/>
    <w:basedOn w:val="Normal"/>
    <w:next w:val="Normal"/>
    <w:qFormat/>
    <w:rsid w:val="006B199D"/>
    <w:pPr>
      <w:numPr>
        <w:ilvl w:val="6"/>
        <w:numId w:val="1"/>
      </w:numPr>
      <w:spacing w:before="240" w:after="60"/>
      <w:outlineLvl w:val="6"/>
    </w:pPr>
    <w:rPr>
      <w:sz w:val="16"/>
      <w:szCs w:val="16"/>
    </w:rPr>
  </w:style>
  <w:style w:type="paragraph" w:styleId="Heading8">
    <w:name w:val="heading 8"/>
    <w:basedOn w:val="Normal"/>
    <w:next w:val="Normal"/>
    <w:qFormat/>
    <w:rsid w:val="006B199D"/>
    <w:pPr>
      <w:numPr>
        <w:ilvl w:val="7"/>
        <w:numId w:val="1"/>
      </w:numPr>
      <w:spacing w:before="240" w:after="60"/>
      <w:outlineLvl w:val="7"/>
    </w:pPr>
    <w:rPr>
      <w:i/>
      <w:iCs/>
      <w:sz w:val="16"/>
      <w:szCs w:val="16"/>
    </w:rPr>
  </w:style>
  <w:style w:type="paragraph" w:styleId="Heading9">
    <w:name w:val="heading 9"/>
    <w:basedOn w:val="Normal"/>
    <w:next w:val="Normal"/>
    <w:qFormat/>
    <w:rsid w:val="006B199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B199D"/>
    <w:pPr>
      <w:spacing w:before="20"/>
      <w:ind w:firstLine="202"/>
      <w:jc w:val="both"/>
    </w:pPr>
    <w:rPr>
      <w:b/>
      <w:bCs/>
      <w:sz w:val="18"/>
      <w:szCs w:val="18"/>
    </w:rPr>
  </w:style>
  <w:style w:type="paragraph" w:customStyle="1" w:styleId="Authors">
    <w:name w:val="Authors"/>
    <w:basedOn w:val="Normal"/>
    <w:next w:val="Normal"/>
    <w:rsid w:val="006B199D"/>
    <w:pPr>
      <w:framePr w:w="9072" w:hSpace="187" w:vSpace="187" w:wrap="notBeside" w:vAnchor="text" w:hAnchor="page" w:xAlign="center" w:y="1"/>
      <w:spacing w:after="320"/>
      <w:jc w:val="center"/>
    </w:pPr>
    <w:rPr>
      <w:sz w:val="22"/>
      <w:szCs w:val="22"/>
    </w:rPr>
  </w:style>
  <w:style w:type="character" w:customStyle="1" w:styleId="MemberType">
    <w:name w:val="MemberType"/>
    <w:rsid w:val="006B199D"/>
    <w:rPr>
      <w:rFonts w:ascii="Times New Roman" w:hAnsi="Times New Roman" w:cs="Times New Roman"/>
      <w:i/>
      <w:iCs/>
      <w:sz w:val="22"/>
      <w:szCs w:val="22"/>
    </w:rPr>
  </w:style>
  <w:style w:type="paragraph" w:styleId="Title">
    <w:name w:val="Title"/>
    <w:basedOn w:val="Normal"/>
    <w:next w:val="Normal"/>
    <w:qFormat/>
    <w:rsid w:val="006B199D"/>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6B199D"/>
    <w:pPr>
      <w:ind w:firstLine="202"/>
      <w:jc w:val="both"/>
    </w:pPr>
    <w:rPr>
      <w:sz w:val="16"/>
      <w:szCs w:val="16"/>
    </w:rPr>
  </w:style>
  <w:style w:type="paragraph" w:customStyle="1" w:styleId="References">
    <w:name w:val="References"/>
    <w:basedOn w:val="Normal"/>
    <w:rsid w:val="006B199D"/>
    <w:pPr>
      <w:numPr>
        <w:numId w:val="12"/>
      </w:numPr>
      <w:jc w:val="both"/>
    </w:pPr>
    <w:rPr>
      <w:sz w:val="16"/>
      <w:szCs w:val="16"/>
    </w:rPr>
  </w:style>
  <w:style w:type="paragraph" w:customStyle="1" w:styleId="IndexTerms">
    <w:name w:val="IndexTerms"/>
    <w:basedOn w:val="Normal"/>
    <w:next w:val="Normal"/>
    <w:rsid w:val="006B199D"/>
    <w:pPr>
      <w:ind w:firstLine="202"/>
      <w:jc w:val="both"/>
    </w:pPr>
    <w:rPr>
      <w:b/>
      <w:bCs/>
      <w:sz w:val="18"/>
      <w:szCs w:val="18"/>
    </w:rPr>
  </w:style>
  <w:style w:type="character" w:styleId="FootnoteReference">
    <w:name w:val="footnote reference"/>
    <w:semiHidden/>
    <w:rsid w:val="006B199D"/>
    <w:rPr>
      <w:vertAlign w:val="superscript"/>
    </w:rPr>
  </w:style>
  <w:style w:type="paragraph" w:styleId="Footer">
    <w:name w:val="footer"/>
    <w:basedOn w:val="Normal"/>
    <w:rsid w:val="006B199D"/>
    <w:pPr>
      <w:tabs>
        <w:tab w:val="center" w:pos="4320"/>
        <w:tab w:val="right" w:pos="8640"/>
      </w:tabs>
    </w:pPr>
  </w:style>
  <w:style w:type="paragraph" w:customStyle="1" w:styleId="Text">
    <w:name w:val="Text"/>
    <w:basedOn w:val="Normal"/>
    <w:rsid w:val="006B199D"/>
    <w:pPr>
      <w:widowControl w:val="0"/>
      <w:spacing w:line="252" w:lineRule="auto"/>
      <w:ind w:firstLine="202"/>
      <w:jc w:val="both"/>
    </w:pPr>
  </w:style>
  <w:style w:type="paragraph" w:customStyle="1" w:styleId="FigureCaption0">
    <w:name w:val="Figure Caption"/>
    <w:basedOn w:val="Normal"/>
    <w:rsid w:val="006B199D"/>
    <w:pPr>
      <w:jc w:val="both"/>
    </w:pPr>
    <w:rPr>
      <w:sz w:val="16"/>
      <w:szCs w:val="16"/>
    </w:rPr>
  </w:style>
  <w:style w:type="paragraph" w:customStyle="1" w:styleId="TableTitle">
    <w:name w:val="Table Title"/>
    <w:basedOn w:val="Normal"/>
    <w:rsid w:val="006B199D"/>
    <w:pPr>
      <w:jc w:val="center"/>
    </w:pPr>
    <w:rPr>
      <w:smallCaps/>
      <w:sz w:val="16"/>
      <w:szCs w:val="16"/>
    </w:rPr>
  </w:style>
  <w:style w:type="paragraph" w:customStyle="1" w:styleId="ReferenceHead">
    <w:name w:val="Reference Head"/>
    <w:basedOn w:val="Heading1"/>
    <w:rsid w:val="006B199D"/>
    <w:pPr>
      <w:numPr>
        <w:numId w:val="0"/>
      </w:numPr>
    </w:pPr>
  </w:style>
  <w:style w:type="paragraph" w:styleId="Header">
    <w:name w:val="header"/>
    <w:basedOn w:val="Normal"/>
    <w:rsid w:val="006B199D"/>
    <w:pPr>
      <w:tabs>
        <w:tab w:val="center" w:pos="4320"/>
        <w:tab w:val="right" w:pos="8640"/>
      </w:tabs>
    </w:pPr>
  </w:style>
  <w:style w:type="paragraph" w:customStyle="1" w:styleId="Equation">
    <w:name w:val="Equation"/>
    <w:basedOn w:val="Normal"/>
    <w:next w:val="Normal"/>
    <w:rsid w:val="006B199D"/>
    <w:pPr>
      <w:widowControl w:val="0"/>
      <w:tabs>
        <w:tab w:val="right" w:pos="4810"/>
      </w:tabs>
      <w:spacing w:line="252" w:lineRule="auto"/>
      <w:jc w:val="both"/>
    </w:pPr>
  </w:style>
  <w:style w:type="character" w:styleId="Hyperlink">
    <w:name w:val="Hyperlink"/>
    <w:rsid w:val="006B199D"/>
    <w:rPr>
      <w:color w:val="0000FF"/>
      <w:u w:val="single"/>
    </w:rPr>
  </w:style>
  <w:style w:type="character" w:styleId="FollowedHyperlink">
    <w:name w:val="FollowedHyperlink"/>
    <w:rsid w:val="006B199D"/>
    <w:rPr>
      <w:color w:val="800080"/>
      <w:u w:val="single"/>
    </w:rPr>
  </w:style>
  <w:style w:type="paragraph" w:styleId="BodyTextIndent">
    <w:name w:val="Body Text Indent"/>
    <w:basedOn w:val="Normal"/>
    <w:rsid w:val="006B199D"/>
    <w:pPr>
      <w:ind w:left="630" w:hanging="630"/>
    </w:pPr>
    <w:rPr>
      <w:szCs w:val="24"/>
    </w:rPr>
  </w:style>
  <w:style w:type="paragraph" w:customStyle="1" w:styleId="DefaultParagraphFont1">
    <w:name w:val="Default Paragraph Font1"/>
    <w:next w:val="Normal"/>
    <w:rsid w:val="006B199D"/>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6B199D"/>
    <w:pPr>
      <w:ind w:firstLine="14"/>
      <w:jc w:val="both"/>
    </w:pPr>
    <w:rPr>
      <w:b/>
      <w:bCs/>
      <w:i/>
      <w:iCs/>
      <w:sz w:val="18"/>
    </w:rPr>
  </w:style>
  <w:style w:type="paragraph" w:customStyle="1" w:styleId="body-text">
    <w:name w:val="body-text"/>
    <w:rsid w:val="006B199D"/>
    <w:pPr>
      <w:ind w:firstLine="230"/>
      <w:jc w:val="both"/>
    </w:pPr>
    <w:rPr>
      <w:rFonts w:ascii="Times" w:hAnsi="Times"/>
      <w:color w:val="000000"/>
    </w:rPr>
  </w:style>
  <w:style w:type="paragraph" w:customStyle="1" w:styleId="table-figure-caption">
    <w:name w:val="table-figure-caption"/>
    <w:basedOn w:val="body-text"/>
    <w:rsid w:val="006B199D"/>
    <w:pPr>
      <w:spacing w:before="60" w:after="120"/>
      <w:ind w:firstLine="0"/>
      <w:jc w:val="center"/>
    </w:pPr>
    <w:rPr>
      <w:sz w:val="18"/>
    </w:rPr>
  </w:style>
  <w:style w:type="paragraph" w:customStyle="1" w:styleId="footnote">
    <w:name w:val="footnote"/>
    <w:basedOn w:val="FootnoteText"/>
    <w:rsid w:val="006B199D"/>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6B199D"/>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r="http://schemas.openxmlformats.org/officeDocument/2006/relationships" xmlns:w="http://schemas.openxmlformats.org/wordprocessingml/2006/main">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B6851-EB94-403C-A442-BD441209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Template>
  <TotalTime>53</TotalTime>
  <Pages>4</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Arushri Swarup</cp:lastModifiedBy>
  <cp:revision>2</cp:revision>
  <cp:lastPrinted>2012-01-31T04:17:00Z</cp:lastPrinted>
  <dcterms:created xsi:type="dcterms:W3CDTF">2017-10-05T17:02:00Z</dcterms:created>
  <dcterms:modified xsi:type="dcterms:W3CDTF">2017-10-05T17:02:00Z</dcterms:modified>
</cp:coreProperties>
</file>