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rsidR="00C07E73" w:rsidRPr="00765F73" w:rsidRDefault="00C07E73" w:rsidP="00C07E73">
      <w:pPr>
        <w:pStyle w:val="Heading1"/>
        <w:rPr>
          <w:lang w:val="en-CA"/>
        </w:rPr>
      </w:pPr>
      <w:r w:rsidRPr="00C07E73">
        <w:t>Introduction</w:t>
      </w:r>
      <w:r w:rsidRPr="00FD3A3E">
        <w:rPr>
          <w:lang w:val="en-CA"/>
        </w:rPr>
        <w:t xml:space="preserve">: </w:t>
      </w:r>
    </w:p>
    <w:p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As with open microscope-guided surgery, this </w:t>
      </w:r>
      <w:proofErr w:type="spellStart"/>
      <w:r w:rsidRPr="00FD3A3E">
        <w:rPr>
          <w:rFonts w:cs="Times New Roman"/>
          <w:lang w:val="en-CA"/>
        </w:rPr>
        <w:t>transcanal</w:t>
      </w:r>
      <w:proofErr w:type="spellEnd"/>
      <w:r w:rsidRPr="00FD3A3E">
        <w:rPr>
          <w:rFonts w:cs="Times New Roman"/>
          <w:lang w:val="en-CA"/>
        </w:rPr>
        <w:t xml:space="preserve"> endoscopic ear surgery (TEES) technique, allows the surgeon to perform procedures such as ear drum reconstruction, skin growth removal and hearing bone repair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proofErr w:type="spellStart"/>
      <w:r w:rsidRPr="00FD3A3E">
        <w:rPr>
          <w:rFonts w:cs="Arial"/>
        </w:rPr>
        <w:t>otologists</w:t>
      </w:r>
      <w:proofErr w:type="spellEnd"/>
      <w:r>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  </w:t>
      </w:r>
      <w:r w:rsidRPr="00FD3A3E">
        <w:rPr>
          <w:rFonts w:cs="Times New Roman"/>
          <w:lang w:val="en-CA"/>
        </w:rPr>
        <w:t xml:space="preserve">The principle challenge with TEES is that a one-handed surgical technique is required as the endoscope is held in the other hand.  </w:t>
      </w:r>
      <w:proofErr w:type="spellStart"/>
      <w:r w:rsidRPr="00FD3A3E">
        <w:rPr>
          <w:rFonts w:cs="Times New Roman"/>
          <w:lang w:val="en-CA"/>
        </w:rPr>
        <w:t>Otologic</w:t>
      </w:r>
      <w:proofErr w:type="spellEnd"/>
      <w:r w:rsidRPr="00FD3A3E">
        <w:rPr>
          <w:rFonts w:cs="Times New Roman"/>
          <w:lang w:val="en-CA"/>
        </w:rPr>
        <w:t xml:space="preserve">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w:t>
      </w:r>
      <w:proofErr w:type="gramStart"/>
      <w:r w:rsidRPr="00FD3A3E">
        <w:rPr>
          <w:rFonts w:cs="Arial"/>
        </w:rPr>
        <w:t>surgeons</w:t>
      </w:r>
      <w:proofErr w:type="gramEnd"/>
      <w:r w:rsidRPr="00FD3A3E">
        <w:rPr>
          <w:rFonts w:cs="Arial"/>
        </w:rPr>
        <w:t xml:space="preserve"> find that they can complete more cases </w:t>
      </w:r>
      <w:proofErr w:type="spellStart"/>
      <w:r w:rsidRPr="00FD3A3E">
        <w:rPr>
          <w:rFonts w:cs="Arial"/>
        </w:rPr>
        <w:t>endoscopically</w:t>
      </w:r>
      <w:proofErr w:type="spellEnd"/>
      <w:r w:rsidRPr="00FD3A3E">
        <w:rPr>
          <w:rFonts w:cs="Arial"/>
        </w:rPr>
        <w:t xml:space="preserve">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sidR="0030642C">
        <w:rPr>
          <w:rFonts w:cs="Arial"/>
        </w:rPr>
        <w:fldChar w:fldCharType="begin" w:fldLock="1"/>
      </w:r>
      <w:r w:rsidR="00BF4EA9">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30642C">
        <w:rPr>
          <w:rFonts w:cs="Arial"/>
        </w:rPr>
        <w:fldChar w:fldCharType="separate"/>
      </w:r>
      <w:r w:rsidRPr="003C52DF">
        <w:rPr>
          <w:rFonts w:cs="Arial"/>
          <w:noProof/>
        </w:rPr>
        <w:t>[3]</w:t>
      </w:r>
      <w:r w:rsidR="0030642C">
        <w:rPr>
          <w:rFonts w:cs="Arial"/>
        </w:rPr>
        <w:fldChar w:fldCharType="end"/>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proofErr w:type="spellStart"/>
      <w:r>
        <w:rPr>
          <w:rFonts w:cs="Arial"/>
        </w:rPr>
        <w:t>Cholesteatoma</w:t>
      </w:r>
      <w:proofErr w:type="spellEnd"/>
      <w:r>
        <w:rPr>
          <w:rFonts w:cs="Arial"/>
        </w:rPr>
        <w:t xml:space="preserve"> resection is considered complete after a final survey with the angled endoscope, which confirms that no </w:t>
      </w:r>
      <w:proofErr w:type="spellStart"/>
      <w:r>
        <w:rPr>
          <w:rFonts w:cs="Arial"/>
        </w:rPr>
        <w:t>cholesteatoma</w:t>
      </w:r>
      <w:proofErr w:type="spellEnd"/>
      <w:r>
        <w:rPr>
          <w:rFonts w:cs="Arial"/>
        </w:rPr>
        <w:t xml:space="preserve"> is left in the hidden recesses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Visualization of deep recesses and hidden structures within the middle ear</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bookmarkStart w:id="0" w:name="_GoBack"/>
      <w:bookmarkEnd w:id="0"/>
      <w:r>
        <w:rPr>
          <w:rFonts w:cs="Arial"/>
        </w:rPr>
        <w:t>Loss of depth perception and binocular vision</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 xml:space="preserve">Need bloodless field and need to maintain attention to </w:t>
      </w:r>
      <w:proofErr w:type="spellStart"/>
      <w:r>
        <w:rPr>
          <w:rFonts w:cs="Arial"/>
        </w:rPr>
        <w:t>hemostasis</w:t>
      </w:r>
      <w:proofErr w:type="spellEnd"/>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needs of TEES are different from traditional microscopic surgery where you need to drill bone (mastoid) to access the surgical field. Thus many microscopic surgery instruments are meant to cut bone and </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According to the authors, incorporating suction inside the shaft of the tools is very beneficial because it helps the single-handed surgeon control bleeding, while cutting, dissecting or manipulating tissues while holding the endoscope with the other hand</w:t>
      </w:r>
    </w:p>
    <w:p w:rsidR="00EE1BBE" w:rsidRPr="003C52DF"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indications for exclusive TEES are growing and this paper calls for a push toward developing more instruments that can work within the viewing range of the 30 and 45 deg. Endoscopes </w:t>
      </w:r>
    </w:p>
    <w:p w:rsidR="003C52DF" w:rsidRDefault="000A0030" w:rsidP="005B641B">
      <w:pPr>
        <w:widowControl w:val="0"/>
        <w:autoSpaceDE w:val="0"/>
        <w:autoSpaceDN w:val="0"/>
        <w:adjustRightInd w:val="0"/>
        <w:spacing w:after="240"/>
        <w:jc w:val="both"/>
        <w:rPr>
          <w:rFonts w:cs="Arial"/>
        </w:rPr>
      </w:pPr>
      <w:r>
        <w:rPr>
          <w:rFonts w:cs="Arial"/>
        </w:rPr>
        <w:t xml:space="preserve">“Feasibility and advantages of </w:t>
      </w:r>
      <w:proofErr w:type="spellStart"/>
      <w:r>
        <w:rPr>
          <w:rFonts w:cs="Arial"/>
        </w:rPr>
        <w:t>transcanal</w:t>
      </w:r>
      <w:proofErr w:type="spellEnd"/>
      <w:r>
        <w:rPr>
          <w:rFonts w:cs="Arial"/>
        </w:rPr>
        <w:t xml:space="preserve"> endoscopic </w:t>
      </w:r>
      <w:proofErr w:type="spellStart"/>
      <w:r>
        <w:rPr>
          <w:rFonts w:cs="Arial"/>
        </w:rPr>
        <w:t>myringoplasty</w:t>
      </w:r>
      <w:proofErr w:type="spellEnd"/>
      <w:r>
        <w:rPr>
          <w:rFonts w:cs="Arial"/>
        </w:rPr>
        <w:t xml:space="preserve">”: </w:t>
      </w:r>
      <w:r w:rsidR="00BF4EA9">
        <w:rPr>
          <w:rFonts w:cs="Arial"/>
        </w:rPr>
        <w:fldChar w:fldCharType="begin" w:fldLock="1"/>
      </w:r>
      <w:r w:rsidR="00E717B8">
        <w:rPr>
          <w:rFonts w:cs="Arial"/>
        </w:rPr>
        <w:instrText>ADDIN CSL_CITATION { "citationItems" : [ { "id" : "ITEM-1", "itemData" : { "DOI" : "10.1097/MAO.0000000000000298", "ISSN" : "1537-4505", "PMID" : "24622030", "abstract" : "OBJECTIVE: When performing transcanal myringoplasty under a microscope, the total circumference of the perforation can be difficult to confirm in patients where the external ear canal is narrow and/or protruded. In such patients, a retroauricular incision approach is usually used. However, we have developed a transcanal endoscopic myringoplasty procedure, and the microscopic and endoscopic views are compared herein for the first time. The feasibility and advantages of transcanal endoscopic myringoplasty were examined. STUDY DESIGN: A prospective case series. SETTING: Tertiary referral center. PATIENTS: Transcanal endoscopic myringoplasty was performed on 25 ears in 21 patients with chronic otitis media between September 2011 and December 2012. INTERVENTION: Microscopic and endoscopic views were compared for each patient. The 2 fields of views were both recorded and evaluated to determine the advantages and disadvantages of microscopes and endoscopes. Myringoplasty was performed using an endoscopic technique while comparing views as necessary. RESULTS: Endoscopic views revealed the entire tympanic membrane in a single field with clear visualization of the perforation edges even when the ear canal was curved. This clear visualization facilitated reliable refreshing of the perforation edges and grafting. The anterior edge of the perforation was not visible under microscopy in 5 of 25 ears. Under an endoscopic wide view, the tympanic cavity was observable through the perforation, and the orifice of the tube, ossicular chain, and tympanic isthmus were visible especially with large perforations. Transcanal endoscopic myringoplasty was successfully performed with a simple underlay technique or with an intracanal incision in cases of marginal perforation. CONCLUSION: Comparison of microscopic and endoscopic views revealed superior visualization and operability of the endoscopic approach as opposed to transcanal simple underlay myringoplasty. Transcanal endoscopic myringoplasty does not require surgical exposure such as a retroauricular skin incision to get an anterior view. Our results demonstrated that transcanal endoscopic myringoplasty can be performed, regardless of the perforation size and the narrowness and/or protrusion of external ear canal.", "author" : [ { "dropping-particle" : "", "family" : "Furukawa", "given" : "Takatoshi", "non-dropping-particle" : "", "parse-names" : false, "suffix" : "" }, { "dropping-particle" : "", "family" : "Watanabe", "given" : "Tomoo", "non-dropping-particle" : "", "parse-names" : false, "suffix" : "" }, { "dropping-particle" : "", "family" : "Ito", "given" : "Tsukasa", "non-dropping-particle" : "", "parse-names" : false, "suffix" : "" }, { "dropping-particle" : "", "family" : "Kubota", "given" : "Toshinori", "non-dropping-particle" : "", "parse-names" : false, "suffix" : "" }, { "dropping-particle" : "", "family" : "Kakehata", "given" : "Seiji", "non-dropping-particle" : "", "parse-names" : false, "suffix" : "" } ], "container-title" : "Otology &amp; neurotology : official publication of the American Otological Society, American Neurotology Society [and] European Academy of Otology and Neurotology", "id" : "ITEM-1", "issue" : "4", "issued" : { "date-parts" : [ [ "2014" ] ] }, "page" : "e140-5", "title" : "Feasibility and advantages of transcanal endoscopic myringoplasty.", "type" : "article-journal", "volume" : "35" }, "uris" : [ "http://www.mendeley.com/documents/?uuid=13120fc0-494f-45c7-9404-8a11b9a057dd" ] } ], "mendeley" : { "formattedCitation" : "[4]", "plainTextFormattedCitation" : "[4]", "previouslyFormattedCitation" : "[4]" }, "properties" : { "noteIndex" : 0 }, "schema" : "https://github.com/citation-style-language/schema/raw/master/csl-citation.json" }</w:instrText>
      </w:r>
      <w:r w:rsidR="00BF4EA9">
        <w:rPr>
          <w:rFonts w:cs="Arial"/>
        </w:rPr>
        <w:fldChar w:fldCharType="separate"/>
      </w:r>
      <w:r w:rsidR="00BF4EA9" w:rsidRPr="00BF4EA9">
        <w:rPr>
          <w:rFonts w:cs="Arial"/>
          <w:noProof/>
        </w:rPr>
        <w:t>[4]</w:t>
      </w:r>
      <w:r w:rsidR="00BF4EA9">
        <w:rPr>
          <w:rFonts w:cs="Arial"/>
        </w:rPr>
        <w:fldChar w:fldCharType="end"/>
      </w:r>
      <w:r w:rsidR="00BF4EA9">
        <w:rPr>
          <w:rFonts w:cs="Arial"/>
        </w:rPr>
        <w:t xml:space="preserve"> – good paper with explanation of TEES </w:t>
      </w:r>
      <w:proofErr w:type="spellStart"/>
      <w:r w:rsidR="00BF4EA9">
        <w:rPr>
          <w:rFonts w:cs="Arial"/>
        </w:rPr>
        <w:t>myringoplasty</w:t>
      </w:r>
      <w:proofErr w:type="spellEnd"/>
    </w:p>
    <w:p w:rsidR="00BF4EA9" w:rsidRPr="00BF4EA9" w:rsidRDefault="00BF4EA9" w:rsidP="00BF4EA9">
      <w:pPr>
        <w:pStyle w:val="ListParagraph"/>
        <w:widowControl w:val="0"/>
        <w:numPr>
          <w:ilvl w:val="0"/>
          <w:numId w:val="20"/>
        </w:numPr>
        <w:autoSpaceDE w:val="0"/>
        <w:autoSpaceDN w:val="0"/>
        <w:adjustRightInd w:val="0"/>
        <w:spacing w:after="240"/>
        <w:jc w:val="both"/>
        <w:rPr>
          <w:rFonts w:cs="Arial"/>
        </w:rPr>
      </w:pPr>
      <w:r>
        <w:rPr>
          <w:rFonts w:cs="Arial"/>
        </w:rPr>
        <w:t xml:space="preserve">Compares </w:t>
      </w:r>
      <w:r w:rsidRPr="00BF4EA9">
        <w:rPr>
          <w:rFonts w:cs="Arial"/>
          <w:highlight w:val="yellow"/>
        </w:rPr>
        <w:t>visibility using endoscope vs. microscope</w:t>
      </w:r>
    </w:p>
    <w:p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When comparing microscopic and endoscopic views of </w:t>
      </w:r>
      <w:proofErr w:type="spellStart"/>
      <w:r>
        <w:rPr>
          <w:rFonts w:cs="Arial"/>
        </w:rPr>
        <w:t>myringoplasty</w:t>
      </w:r>
      <w:proofErr w:type="spellEnd"/>
      <w:r>
        <w:rPr>
          <w:rFonts w:cs="Arial"/>
        </w:rPr>
        <w:t xml:space="preserve"> (ear drum reconstruction) the endoscopic approach is: minimally invasive (no skin incision), TEES </w:t>
      </w:r>
      <w:proofErr w:type="spellStart"/>
      <w:r>
        <w:rPr>
          <w:rFonts w:cs="Arial"/>
        </w:rPr>
        <w:t>myringoplasty</w:t>
      </w:r>
      <w:proofErr w:type="spellEnd"/>
      <w:r>
        <w:rPr>
          <w:rFonts w:cs="Arial"/>
        </w:rPr>
        <w:t xml:space="preserve"> can be performed regardless of the perforation size, narrowness, protrusion of EAC, entire tympanic membrane can be viewed in single field with clear visualization of the perforated edges – even when ear canal was curved; the anterior edge of perforation not visible under microscopy for 5/25 ears </w:t>
      </w:r>
    </w:p>
    <w:p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Endoscopic approach – tympanic cavity observable through the perforation, orifice of the tube, </w:t>
      </w:r>
      <w:proofErr w:type="spellStart"/>
      <w:r>
        <w:rPr>
          <w:rFonts w:cs="Arial"/>
        </w:rPr>
        <w:t>ossicular</w:t>
      </w:r>
      <w:proofErr w:type="spellEnd"/>
      <w:r>
        <w:rPr>
          <w:rFonts w:cs="Arial"/>
        </w:rPr>
        <w:t xml:space="preserve"> chain, tympanic isthmus (through large perforations), successfully performed simple underlay technique </w:t>
      </w:r>
      <w:r w:rsidR="00BF4EA9">
        <w:rPr>
          <w:rFonts w:cs="Arial"/>
        </w:rPr>
        <w:t xml:space="preserve">or with </w:t>
      </w:r>
      <w:proofErr w:type="spellStart"/>
      <w:r w:rsidR="00BF4EA9">
        <w:rPr>
          <w:rFonts w:cs="Arial"/>
        </w:rPr>
        <w:t>intracanal</w:t>
      </w:r>
      <w:proofErr w:type="spellEnd"/>
      <w:r w:rsidR="00BF4EA9">
        <w:rPr>
          <w:rFonts w:cs="Arial"/>
        </w:rPr>
        <w:t xml:space="preserve"> incision in cases of marginal perforation</w:t>
      </w:r>
    </w:p>
    <w:p w:rsidR="00BF4EA9" w:rsidRDefault="00BF4EA9" w:rsidP="00BF4EA9">
      <w:pPr>
        <w:widowControl w:val="0"/>
        <w:autoSpaceDE w:val="0"/>
        <w:autoSpaceDN w:val="0"/>
        <w:adjustRightInd w:val="0"/>
        <w:spacing w:after="240"/>
        <w:jc w:val="both"/>
        <w:rPr>
          <w:rFonts w:cs="Arial"/>
        </w:rPr>
      </w:pPr>
      <w:r>
        <w:rPr>
          <w:rFonts w:cs="Arial"/>
        </w:rPr>
        <w:t xml:space="preserve">“comparison of middle ear visualization with endoscopy and microscopy” </w:t>
      </w:r>
      <w:r w:rsidR="00E717B8">
        <w:rPr>
          <w:rFonts w:cs="Arial"/>
        </w:rPr>
        <w:fldChar w:fldCharType="begin" w:fldLock="1"/>
      </w:r>
      <w:r w:rsidR="00E717B8">
        <w:rPr>
          <w:rFonts w:cs="Arial"/>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"[5]", "plainTextFormattedCitation" : "[5]" }, "properties" : { "noteIndex" : 0 }, "schema" : "https://github.com/citation-style-language/schema/raw/master/csl-citation.json" }</w:instrText>
      </w:r>
      <w:r w:rsidR="00E717B8">
        <w:rPr>
          <w:rFonts w:cs="Arial"/>
        </w:rPr>
        <w:fldChar w:fldCharType="separate"/>
      </w:r>
      <w:r w:rsidR="00E717B8" w:rsidRPr="00E717B8">
        <w:rPr>
          <w:rFonts w:cs="Arial"/>
          <w:noProof/>
        </w:rPr>
        <w:t>[5]</w:t>
      </w:r>
      <w:r w:rsidR="00E717B8">
        <w:rPr>
          <w:rFonts w:cs="Arial"/>
        </w:rPr>
        <w:fldChar w:fldCharType="end"/>
      </w:r>
    </w:p>
    <w:p w:rsidR="00273C85" w:rsidRPr="00273C85" w:rsidRDefault="00273C85" w:rsidP="00273C85">
      <w:pPr>
        <w:pStyle w:val="ListParagraph"/>
        <w:widowControl w:val="0"/>
        <w:numPr>
          <w:ilvl w:val="0"/>
          <w:numId w:val="21"/>
        </w:numPr>
        <w:autoSpaceDE w:val="0"/>
        <w:autoSpaceDN w:val="0"/>
        <w:adjustRightInd w:val="0"/>
        <w:spacing w:after="240"/>
        <w:jc w:val="both"/>
        <w:rPr>
          <w:rFonts w:cs="Arial"/>
        </w:rPr>
      </w:pPr>
    </w:p>
    <w:p w:rsidR="00C07E73" w:rsidRDefault="00C07E73" w:rsidP="005B641B">
      <w:pPr>
        <w:widowControl w:val="0"/>
        <w:autoSpaceDE w:val="0"/>
        <w:autoSpaceDN w:val="0"/>
        <w:adjustRightInd w:val="0"/>
        <w:spacing w:after="240"/>
        <w:jc w:val="both"/>
        <w:rPr>
          <w:rFonts w:cs="Arial"/>
        </w:rPr>
      </w:pPr>
    </w:p>
    <w:p w:rsidR="00C07E73" w:rsidRDefault="00661894" w:rsidP="00C07E73">
      <w:pPr>
        <w:pStyle w:val="Heading3"/>
      </w:pPr>
      <w:r>
        <w:t>Purpose:</w:t>
      </w:r>
    </w:p>
    <w:p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rsidR="005B641B" w:rsidRPr="00FD3A3E" w:rsidRDefault="00C07E73" w:rsidP="00C07E73">
      <w:pPr>
        <w:pStyle w:val="Heading1"/>
      </w:pPr>
      <w:r>
        <w:t xml:space="preserve">Part 1: </w:t>
      </w:r>
      <w:r w:rsidR="005B641B" w:rsidRPr="00FD3A3E">
        <w:t xml:space="preserve">Time </w:t>
      </w:r>
      <w:r w:rsidR="005B641B" w:rsidRPr="00C07E73">
        <w:t>Flow</w:t>
      </w:r>
      <w:r w:rsidR="005B641B" w:rsidRPr="00FD3A3E">
        <w:t xml:space="preserve"> Analysis: </w:t>
      </w:r>
    </w:p>
    <w:p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rsidR="00A2246A" w:rsidRDefault="00A2246A" w:rsidP="00A2246A">
      <w:pPr>
        <w:pStyle w:val="Heading2"/>
        <w:rPr>
          <w:lang w:val="en-CA"/>
        </w:rPr>
      </w:pPr>
      <w:r>
        <w:rPr>
          <w:lang w:val="en-CA"/>
        </w:rPr>
        <w:t>Background:</w:t>
      </w:r>
    </w:p>
    <w:p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lastRenderedPageBreak/>
        <w:t xml:space="preserve">Rube et al. Recorded the time for MRI-guided angioplasty and assessed the efficiency and feasibility of the proposed workflow and framework for this type of procedure </w:t>
      </w:r>
      <w:r w:rsidR="0030642C">
        <w:rPr>
          <w:rFonts w:cs="Times New Roman"/>
          <w:lang w:val="en-CA"/>
        </w:rPr>
        <w:fldChar w:fldCharType="begin" w:fldLock="1"/>
      </w:r>
      <w:r w:rsidR="00E717B8">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"[6]", "plainTextFormattedCitation" : "[6]", "previouslyFormattedCitation" : "[5]"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[6]</w:t>
      </w:r>
      <w:r w:rsidR="0030642C">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30642C">
        <w:rPr>
          <w:rFonts w:cs="Times New Roman"/>
          <w:lang w:val="en-CA"/>
        </w:rPr>
        <w:fldChar w:fldCharType="begin" w:fldLock="1"/>
      </w:r>
      <w:r w:rsidR="00E717B8">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"[7]", "plainTextFormattedCitation" : "[7]", "previouslyFormattedCitation" : "[6]"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[7]</w:t>
      </w:r>
      <w:r w:rsidR="0030642C">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30642C">
        <w:rPr>
          <w:rFonts w:cs="Times New Roman"/>
          <w:lang w:val="en-CA"/>
        </w:rPr>
        <w:fldChar w:fldCharType="begin" w:fldLock="1"/>
      </w:r>
      <w:r w:rsidR="00E717B8">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"[8]", "plainTextFormattedCitation" : "[8]", "previouslyFormattedCitation" : "[7]"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[8]</w:t>
      </w:r>
      <w:r w:rsidR="0030642C">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A2246A" w:rsidRPr="00661894" w:rsidRDefault="00A2246A" w:rsidP="00A2246A">
      <w:pPr>
        <w:pStyle w:val="Heading2"/>
        <w:rPr>
          <w:lang w:val="en-CA"/>
        </w:rPr>
      </w:pPr>
      <w:r>
        <w:rPr>
          <w:lang w:val="en-CA"/>
        </w:rPr>
        <w:t>Method:</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Pr>
          <w:rFonts w:cs="Arial"/>
        </w:rPr>
        <w:t>.</w:t>
      </w:r>
      <w:proofErr w:type="spellEnd"/>
      <w:r>
        <w:rPr>
          <w:rFonts w:cs="Arial"/>
        </w:rPr>
        <w:t xml:space="preserve"> 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rsidR="00085EAC" w:rsidRDefault="00085EAC" w:rsidP="005B641B">
      <w:pPr>
        <w:widowControl w:val="0"/>
        <w:autoSpaceDE w:val="0"/>
        <w:autoSpaceDN w:val="0"/>
        <w:adjustRightInd w:val="0"/>
        <w:spacing w:after="240"/>
        <w:jc w:val="both"/>
        <w:rPr>
          <w:rFonts w:cs="Arial"/>
        </w:rPr>
      </w:pPr>
    </w:p>
    <w:p w:rsidR="00085EAC" w:rsidRDefault="00085EAC" w:rsidP="005B641B">
      <w:pPr>
        <w:widowControl w:val="0"/>
        <w:autoSpaceDE w:val="0"/>
        <w:autoSpaceDN w:val="0"/>
        <w:adjustRightInd w:val="0"/>
        <w:spacing w:after="240"/>
        <w:jc w:val="both"/>
        <w:rPr>
          <w:rFonts w:cs="Arial"/>
        </w:rPr>
      </w:pPr>
    </w:p>
    <w:p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85"/>
        <w:gridCol w:w="2910"/>
        <w:gridCol w:w="1665"/>
        <w:gridCol w:w="1455"/>
      </w:tblGrid>
      <w:tr w:rsidR="003E4DF5" w:rsidRPr="003E4DF5"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lastRenderedPageBreak/>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Cholesteatoma</w:t>
            </w:r>
            <w:proofErr w:type="spellEnd"/>
            <w:r w:rsidRPr="003E4DF5">
              <w:rPr>
                <w:rFonts w:asciiTheme="minorHAnsi" w:hAnsiTheme="minorHAnsi"/>
                <w:sz w:val="16"/>
                <w:szCs w:val="16"/>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bl>
    <w:p w:rsidR="00C07E73" w:rsidRDefault="00C07E73" w:rsidP="005B641B">
      <w:pPr>
        <w:widowControl w:val="0"/>
        <w:autoSpaceDE w:val="0"/>
        <w:autoSpaceDN w:val="0"/>
        <w:adjustRightInd w:val="0"/>
        <w:spacing w:after="240"/>
        <w:jc w:val="both"/>
        <w:rPr>
          <w:rFonts w:cs="Arial"/>
        </w:rPr>
      </w:pPr>
    </w:p>
    <w:p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w:t>
      </w:r>
      <w:proofErr w:type="spellStart"/>
      <w:r w:rsidR="00C07E73">
        <w:rPr>
          <w:rFonts w:cs="Arial"/>
        </w:rPr>
        <w:t>SickKids</w:t>
      </w:r>
      <w:proofErr w:type="spellEnd"/>
      <w:r w:rsidR="00C07E73">
        <w:rPr>
          <w:rFonts w:cs="Arial"/>
        </w:rPr>
        <w:t xml:space="preserve"> research computer. </w:t>
      </w:r>
    </w:p>
    <w:p w:rsidR="00A2246A" w:rsidRDefault="00A2246A" w:rsidP="00A2246A">
      <w:commentRangeStart w:id="1"/>
      <w:r>
        <w:t xml:space="preserve">Results </w:t>
      </w:r>
      <w:proofErr w:type="spellStart"/>
      <w:r>
        <w:t>Analsyis</w:t>
      </w:r>
      <w:proofErr w:type="spellEnd"/>
      <w:r>
        <w:t>:</w:t>
      </w:r>
    </w:p>
    <w:p w:rsidR="00A2246A" w:rsidRDefault="00A2246A" w:rsidP="00A2246A">
      <w:r>
        <w:t xml:space="preserve">Discussion: </w:t>
      </w:r>
    </w:p>
    <w:p w:rsidR="00A2246A" w:rsidRPr="00A2246A" w:rsidRDefault="00A2246A" w:rsidP="00A2246A">
      <w:r>
        <w:lastRenderedPageBreak/>
        <w:t xml:space="preserve">Conclusion: </w:t>
      </w:r>
    </w:p>
    <w:commentRangeEnd w:id="1"/>
    <w:p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1"/>
      </w:r>
      <w:r w:rsidR="00C07E73">
        <w:t xml:space="preserve">Part 2: </w:t>
      </w:r>
      <w:r>
        <w:t xml:space="preserve">Needs Assessment </w:t>
      </w:r>
      <w:r w:rsidR="005B641B" w:rsidRPr="00FD3A3E">
        <w:t xml:space="preserve">Survey: </w:t>
      </w:r>
    </w:p>
    <w:p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rsidR="00A2246A" w:rsidRDefault="00A2246A" w:rsidP="00E176B0">
      <w:pPr>
        <w:pStyle w:val="Heading2"/>
        <w:rPr>
          <w:lang w:val="en-CA"/>
        </w:rPr>
      </w:pPr>
      <w:r w:rsidRPr="005B641B">
        <w:rPr>
          <w:lang w:val="en-CA"/>
        </w:rPr>
        <w:t>Literature</w:t>
      </w:r>
      <w:r>
        <w:rPr>
          <w:lang w:val="en-CA"/>
        </w:rPr>
        <w:t xml:space="preserve">: </w:t>
      </w:r>
    </w:p>
    <w:p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30642C">
        <w:rPr>
          <w:rFonts w:cs="Times New Roman"/>
          <w:lang w:val="en-CA"/>
        </w:rPr>
        <w:fldChar w:fldCharType="begin" w:fldLock="1"/>
      </w:r>
      <w:r w:rsidR="00E717B8">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"[9]", "plainTextFormattedCitation" : "[9]", "previouslyFormattedCitation" : "[8]"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[9]</w:t>
      </w:r>
      <w:r w:rsidR="0030642C">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30642C">
        <w:rPr>
          <w:rFonts w:cs="Times New Roman"/>
          <w:lang w:val="en-CA"/>
        </w:rPr>
        <w:fldChar w:fldCharType="begin" w:fldLock="1"/>
      </w:r>
      <w:r w:rsidR="00E717B8">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"[10]", "plainTextFormattedCitation" : "[10]", "previouslyFormattedCitation" : "[9]"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[10]</w:t>
      </w:r>
      <w:r w:rsidR="0030642C">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30642C">
        <w:rPr>
          <w:rFonts w:cs="Times New Roman"/>
          <w:lang w:val="en-CA"/>
        </w:rPr>
        <w:fldChar w:fldCharType="begin" w:fldLock="1"/>
      </w:r>
      <w:r w:rsidR="00E717B8">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"[10]", "plainTextFormattedCitation" : "[10]", "previouslyFormattedCitation" : "[9]"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[10]</w:t>
      </w:r>
      <w:r w:rsidR="0030642C">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30642C">
        <w:rPr>
          <w:rFonts w:cs="Times New Roman"/>
          <w:lang w:val="en-CA"/>
        </w:rPr>
        <w:fldChar w:fldCharType="begin" w:fldLock="1"/>
      </w:r>
      <w:r w:rsidR="00E717B8">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"[10]", "plainTextFormattedCitation" : "[10]", "previouslyFormattedCitation" : "[9]"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[10]</w:t>
      </w:r>
      <w:r w:rsidR="0030642C">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30642C">
        <w:rPr>
          <w:rFonts w:cs="Times New Roman"/>
          <w:lang w:val="en-CA"/>
        </w:rPr>
        <w:fldChar w:fldCharType="begin" w:fldLock="1"/>
      </w:r>
      <w:r w:rsidR="00E717B8">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[11]</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E717B8">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"[12]", "plainTextFormattedCitation" : "[12]", "previouslyFormattedCitation" : "[11]"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[12]</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E717B8">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"[12]" }, "properties" : { "noteIndex" : 0 }, "schema" : "https://github.com/citation-style-language/schema/raw/master/csl-citation.json" }</w:instrText>
      </w:r>
      <w:r w:rsidR="0030642C">
        <w:rPr>
          <w:rFonts w:cs="Times New Roman"/>
          <w:lang w:val="en-CA"/>
        </w:rPr>
        <w:fldChar w:fldCharType="separate"/>
      </w:r>
      <w:r w:rsidR="00E717B8" w:rsidRPr="00E717B8">
        <w:rPr>
          <w:rFonts w:cs="Times New Roman"/>
          <w:noProof/>
          <w:lang w:val="en-CA"/>
        </w:rPr>
        <w:t>[13]</w:t>
      </w:r>
      <w:r w:rsidR="0030642C">
        <w:rPr>
          <w:rFonts w:cs="Times New Roman"/>
          <w:lang w:val="en-CA"/>
        </w:rPr>
        <w:fldChar w:fldCharType="end"/>
      </w:r>
      <w:r>
        <w:rPr>
          <w:rFonts w:cs="Times New Roman"/>
          <w:lang w:val="en-CA"/>
        </w:rPr>
        <w:t>.</w:t>
      </w:r>
    </w:p>
    <w:p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w:t>
      </w:r>
      <w:proofErr w:type="gramStart"/>
      <w:r>
        <w:rPr>
          <w:rFonts w:cs="Times New Roman"/>
          <w:lang w:val="en-CA"/>
        </w:rPr>
        <w:t>formulate</w:t>
      </w:r>
      <w:r w:rsidR="00E176B0">
        <w:rPr>
          <w:rFonts w:cs="Times New Roman"/>
          <w:lang w:val="en-CA"/>
        </w:rPr>
        <w:t>d</w:t>
      </w:r>
      <w:proofErr w:type="gramEnd"/>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rsidR="00E176B0" w:rsidRDefault="00E176B0" w:rsidP="00E176B0">
      <w:pPr>
        <w:pStyle w:val="Heading2"/>
        <w:rPr>
          <w:lang w:val="en-CA"/>
        </w:rPr>
      </w:pPr>
      <w:r>
        <w:rPr>
          <w:lang w:val="en-CA"/>
        </w:rPr>
        <w:t xml:space="preserve">Method: </w:t>
      </w:r>
    </w:p>
    <w:p w:rsidR="00E176B0" w:rsidRPr="005B641B" w:rsidRDefault="00E176B0" w:rsidP="00E176B0">
      <w:pPr>
        <w:pStyle w:val="Heading3"/>
        <w:rPr>
          <w:lang w:val="en-CA"/>
        </w:rPr>
      </w:pPr>
      <w:r w:rsidRPr="005B641B">
        <w:rPr>
          <w:lang w:val="en-CA"/>
        </w:rPr>
        <w:t xml:space="preserve">Developing the Questionnaire: </w:t>
      </w:r>
    </w:p>
    <w:p w:rsidR="00E176B0" w:rsidRDefault="00E176B0" w:rsidP="00E176B0">
      <w:pPr>
        <w:jc w:val="both"/>
        <w:rPr>
          <w:lang w:val="en-CA"/>
        </w:rPr>
      </w:pPr>
    </w:p>
    <w:p w:rsidR="00E176B0" w:rsidRDefault="00E176B0" w:rsidP="00E176B0">
      <w:pPr>
        <w:jc w:val="both"/>
        <w:rPr>
          <w:lang w:val="en-CA"/>
        </w:rPr>
      </w:pPr>
      <w:r>
        <w:rPr>
          <w:lang w:val="en-CA"/>
        </w:rPr>
        <w:t xml:space="preserve">The Canadian </w:t>
      </w:r>
      <w:proofErr w:type="spellStart"/>
      <w:r>
        <w:rPr>
          <w:lang w:val="en-CA"/>
        </w:rPr>
        <w:t>otologists</w:t>
      </w:r>
      <w:proofErr w:type="spellEnd"/>
      <w:r>
        <w:rPr>
          <w:lang w:val="en-CA"/>
        </w:rPr>
        <w:t>’ EES survey already reported on how many surgeons in Canada use TEES (11%),  what surgeries it is used for (</w:t>
      </w:r>
      <w:proofErr w:type="spellStart"/>
      <w:r>
        <w:rPr>
          <w:lang w:val="en-CA"/>
        </w:rPr>
        <w:t>cholesteatoma</w:t>
      </w:r>
      <w:proofErr w:type="spellEnd"/>
      <w:r>
        <w:rPr>
          <w:lang w:val="en-CA"/>
        </w:rPr>
        <w:t xml:space="preserve">, </w:t>
      </w:r>
      <w:proofErr w:type="spellStart"/>
      <w:r>
        <w:rPr>
          <w:lang w:val="en-CA"/>
        </w:rPr>
        <w:t>tympanoplasty</w:t>
      </w:r>
      <w:proofErr w:type="spellEnd"/>
      <w:r>
        <w:rPr>
          <w:lang w:val="en-CA"/>
        </w:rPr>
        <w:t xml:space="preserve">, </w:t>
      </w:r>
      <w:proofErr w:type="spellStart"/>
      <w:r>
        <w:rPr>
          <w:lang w:val="en-CA"/>
        </w:rPr>
        <w:t>ossicular</w:t>
      </w:r>
      <w:proofErr w:type="spellEnd"/>
      <w:r>
        <w:rPr>
          <w:lang w:val="en-CA"/>
        </w:rPr>
        <w:t xml:space="preserve"> reconstruction and what they find difficult about it (single-handed surgery, efficiency/operative time, technical difficulty, cost, </w:t>
      </w:r>
      <w:r>
        <w:rPr>
          <w:lang w:val="en-CA"/>
        </w:rPr>
        <w:lastRenderedPageBreak/>
        <w:t xml:space="preserve">managing bleeding. This questionnaire was intended to build on this one by evaluating the limitations of surgical tools. </w:t>
      </w:r>
    </w:p>
    <w:p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rsidR="00E176B0" w:rsidRDefault="00E176B0" w:rsidP="00E176B0">
      <w:pPr>
        <w:pStyle w:val="ListParagraph"/>
        <w:numPr>
          <w:ilvl w:val="0"/>
          <w:numId w:val="9"/>
        </w:numPr>
        <w:jc w:val="both"/>
        <w:rPr>
          <w:highlight w:val="lightGray"/>
          <w:lang w:val="en-CA"/>
        </w:rPr>
      </w:pPr>
      <w:proofErr w:type="gramStart"/>
      <w:r>
        <w:rPr>
          <w:lang w:val="en-CA"/>
        </w:rPr>
        <w:t>attended</w:t>
      </w:r>
      <w:proofErr w:type="gramEnd"/>
      <w:r>
        <w:rPr>
          <w:lang w:val="en-CA"/>
        </w:rPr>
        <w:t xml:space="preserve">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 xml:space="preserve">&lt;link to file with informal feedback from course: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Course&gt;</w:t>
      </w:r>
    </w:p>
    <w:p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 xml:space="preserve">&lt;link: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 (excel doc)&gt;,</w:t>
      </w:r>
      <w:r>
        <w:rPr>
          <w:lang w:val="en-CA"/>
        </w:rPr>
        <w:t xml:space="preserve"> the second round of questions (submitted in the REB main application) were changed to ask the surgeons to rank their need for specific instrument functionalities</w:t>
      </w:r>
    </w:p>
    <w:p w:rsidR="00E176B0" w:rsidRPr="005B641B" w:rsidRDefault="00E176B0" w:rsidP="00E176B0">
      <w:pPr>
        <w:rPr>
          <w:b/>
          <w:sz w:val="14"/>
          <w:lang w:val="en-CA"/>
        </w:rPr>
      </w:pPr>
      <w:r w:rsidRPr="005B641B">
        <w:rPr>
          <w:b/>
          <w:sz w:val="14"/>
          <w:lang w:val="en-CA"/>
        </w:rPr>
        <w:t>Endoscopic Ear Surgery Preliminary Questionnaire</w:t>
      </w:r>
    </w:p>
    <w:p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rsidR="00E176B0" w:rsidRPr="005B641B" w:rsidRDefault="00E176B0" w:rsidP="00E176B0">
      <w:pPr>
        <w:pStyle w:val="ListParagraph"/>
        <w:numPr>
          <w:ilvl w:val="1"/>
          <w:numId w:val="10"/>
        </w:numPr>
        <w:rPr>
          <w:sz w:val="14"/>
          <w:lang w:val="en-CA"/>
        </w:rPr>
      </w:pPr>
      <w:r w:rsidRPr="005B641B">
        <w:rPr>
          <w:sz w:val="14"/>
          <w:lang w:val="en-CA"/>
        </w:rPr>
        <w:t xml:space="preserve"> &lt;1 </w:t>
      </w:r>
    </w:p>
    <w:p w:rsidR="00E176B0" w:rsidRPr="005B641B" w:rsidRDefault="00E176B0" w:rsidP="00E176B0">
      <w:pPr>
        <w:pStyle w:val="ListParagraph"/>
        <w:numPr>
          <w:ilvl w:val="1"/>
          <w:numId w:val="10"/>
        </w:numPr>
        <w:rPr>
          <w:sz w:val="14"/>
          <w:lang w:val="en-CA"/>
        </w:rPr>
      </w:pPr>
      <w:r w:rsidRPr="005B641B">
        <w:rPr>
          <w:sz w:val="14"/>
          <w:lang w:val="en-CA"/>
        </w:rPr>
        <w:t>1-3</w:t>
      </w:r>
    </w:p>
    <w:p w:rsidR="00E176B0" w:rsidRPr="005B641B" w:rsidRDefault="00E176B0" w:rsidP="00E176B0">
      <w:pPr>
        <w:pStyle w:val="ListParagraph"/>
        <w:numPr>
          <w:ilvl w:val="1"/>
          <w:numId w:val="10"/>
        </w:numPr>
        <w:rPr>
          <w:sz w:val="14"/>
          <w:lang w:val="en-CA"/>
        </w:rPr>
      </w:pPr>
      <w:r w:rsidRPr="005B641B">
        <w:rPr>
          <w:sz w:val="14"/>
          <w:lang w:val="en-CA"/>
        </w:rPr>
        <w:t xml:space="preserve">4-7 </w:t>
      </w:r>
    </w:p>
    <w:p w:rsidR="00E176B0" w:rsidRPr="005B641B" w:rsidRDefault="00E176B0" w:rsidP="00E176B0">
      <w:pPr>
        <w:pStyle w:val="ListParagraph"/>
        <w:numPr>
          <w:ilvl w:val="1"/>
          <w:numId w:val="10"/>
        </w:numPr>
        <w:rPr>
          <w:sz w:val="14"/>
          <w:lang w:val="en-CA"/>
        </w:rPr>
      </w:pPr>
      <w:r w:rsidRPr="005B641B">
        <w:rPr>
          <w:sz w:val="14"/>
          <w:lang w:val="en-CA"/>
        </w:rPr>
        <w:t xml:space="preserve">&gt;8 </w:t>
      </w:r>
    </w:p>
    <w:p w:rsidR="00E176B0" w:rsidRPr="005B641B" w:rsidRDefault="00E176B0" w:rsidP="00E176B0">
      <w:pPr>
        <w:pStyle w:val="ListParagraph"/>
        <w:numPr>
          <w:ilvl w:val="0"/>
          <w:numId w:val="10"/>
        </w:numPr>
        <w:ind w:left="426"/>
        <w:rPr>
          <w:sz w:val="14"/>
          <w:lang w:val="en-CA"/>
        </w:rPr>
      </w:pPr>
      <w:r w:rsidRPr="005B641B">
        <w:rPr>
          <w:sz w:val="14"/>
          <w:lang w:val="en-CA"/>
        </w:rPr>
        <w:t>Approximately what percentage of totally EES do you currently do (</w:t>
      </w:r>
      <w:proofErr w:type="spellStart"/>
      <w:r w:rsidRPr="005B641B">
        <w:rPr>
          <w:sz w:val="14"/>
          <w:lang w:val="en-CA"/>
        </w:rPr>
        <w:t>ie</w:t>
      </w:r>
      <w:proofErr w:type="spellEnd"/>
      <w:r w:rsidRPr="005B641B">
        <w:rPr>
          <w:sz w:val="14"/>
          <w:lang w:val="en-CA"/>
        </w:rPr>
        <w:t xml:space="preserve">. Percentage of cases without a microscope)? </w:t>
      </w:r>
    </w:p>
    <w:p w:rsidR="00E176B0" w:rsidRPr="005B641B" w:rsidRDefault="00E176B0" w:rsidP="00E176B0">
      <w:pPr>
        <w:pStyle w:val="ListParagraph"/>
        <w:numPr>
          <w:ilvl w:val="1"/>
          <w:numId w:val="10"/>
        </w:numPr>
        <w:rPr>
          <w:sz w:val="14"/>
          <w:lang w:val="en-CA"/>
        </w:rPr>
      </w:pPr>
      <w:r w:rsidRPr="005B641B">
        <w:rPr>
          <w:sz w:val="14"/>
          <w:lang w:val="en-CA"/>
        </w:rPr>
        <w:t>0%</w:t>
      </w:r>
    </w:p>
    <w:p w:rsidR="00E176B0" w:rsidRPr="005B641B" w:rsidRDefault="00E176B0" w:rsidP="00E176B0">
      <w:pPr>
        <w:pStyle w:val="ListParagraph"/>
        <w:numPr>
          <w:ilvl w:val="1"/>
          <w:numId w:val="10"/>
        </w:numPr>
        <w:rPr>
          <w:sz w:val="14"/>
          <w:lang w:val="en-CA"/>
        </w:rPr>
      </w:pPr>
      <w:r w:rsidRPr="005B641B">
        <w:rPr>
          <w:sz w:val="14"/>
          <w:lang w:val="en-CA"/>
        </w:rPr>
        <w:t xml:space="preserve">Up to 25% </w:t>
      </w:r>
    </w:p>
    <w:p w:rsidR="00E176B0" w:rsidRPr="005B641B" w:rsidRDefault="00E176B0" w:rsidP="00E176B0">
      <w:pPr>
        <w:pStyle w:val="ListParagraph"/>
        <w:numPr>
          <w:ilvl w:val="1"/>
          <w:numId w:val="10"/>
        </w:numPr>
        <w:rPr>
          <w:sz w:val="14"/>
          <w:lang w:val="en-CA"/>
        </w:rPr>
      </w:pPr>
      <w:r w:rsidRPr="005B641B">
        <w:rPr>
          <w:sz w:val="14"/>
          <w:lang w:val="en-CA"/>
        </w:rPr>
        <w:t>Up to 50%</w:t>
      </w:r>
    </w:p>
    <w:p w:rsidR="00E176B0" w:rsidRPr="005B641B" w:rsidRDefault="00E176B0" w:rsidP="00E176B0">
      <w:pPr>
        <w:pStyle w:val="ListParagraph"/>
        <w:numPr>
          <w:ilvl w:val="1"/>
          <w:numId w:val="10"/>
        </w:numPr>
        <w:rPr>
          <w:sz w:val="14"/>
          <w:lang w:val="en-CA"/>
        </w:rPr>
      </w:pPr>
      <w:r w:rsidRPr="005B641B">
        <w:rPr>
          <w:sz w:val="14"/>
          <w:lang w:val="en-CA"/>
        </w:rPr>
        <w:t>Up to 75%</w:t>
      </w:r>
    </w:p>
    <w:p w:rsidR="00E176B0" w:rsidRPr="005B641B" w:rsidRDefault="00E176B0" w:rsidP="00E176B0">
      <w:pPr>
        <w:pStyle w:val="ListParagraph"/>
        <w:numPr>
          <w:ilvl w:val="1"/>
          <w:numId w:val="10"/>
        </w:numPr>
        <w:rPr>
          <w:sz w:val="14"/>
          <w:lang w:val="en-CA"/>
        </w:rPr>
      </w:pPr>
      <w:r w:rsidRPr="005B641B">
        <w:rPr>
          <w:sz w:val="14"/>
          <w:lang w:val="en-CA"/>
        </w:rPr>
        <w:t>Up to 100 %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xml:space="preserve"> removal</w:t>
      </w:r>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Tympanoplasty</w:t>
      </w:r>
      <w:proofErr w:type="spellEnd"/>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Ossicular</w:t>
      </w:r>
      <w:proofErr w:type="spellEnd"/>
      <w:r w:rsidRPr="005B641B">
        <w:rPr>
          <w:rStyle w:val="m5457844605781567817s1"/>
          <w:rFonts w:ascii="Calibri" w:hAnsi="Calibri"/>
          <w:color w:val="000000"/>
          <w:sz w:val="14"/>
          <w:szCs w:val="20"/>
        </w:rPr>
        <w:t xml:space="preserve"> repair</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rsidR="00E176B0" w:rsidRPr="005B641B" w:rsidRDefault="00E176B0" w:rsidP="00E176B0">
      <w:pPr>
        <w:pStyle w:val="ListParagraph"/>
        <w:numPr>
          <w:ilvl w:val="1"/>
          <w:numId w:val="10"/>
        </w:numPr>
        <w:rPr>
          <w:sz w:val="14"/>
          <w:lang w:val="en-CA"/>
        </w:rPr>
      </w:pPr>
      <w:proofErr w:type="spellStart"/>
      <w:r w:rsidRPr="005B641B">
        <w:rPr>
          <w:sz w:val="14"/>
          <w:lang w:val="en-CA"/>
        </w:rPr>
        <w:t>Spiggle</w:t>
      </w:r>
      <w:proofErr w:type="spellEnd"/>
      <w:r w:rsidRPr="005B641B">
        <w:rPr>
          <w:sz w:val="14"/>
          <w:lang w:val="en-CA"/>
        </w:rPr>
        <w:t xml:space="preserve"> and </w:t>
      </w:r>
      <w:proofErr w:type="spellStart"/>
      <w:r w:rsidRPr="005B641B">
        <w:rPr>
          <w:sz w:val="14"/>
          <w:lang w:val="en-CA"/>
        </w:rPr>
        <w:t>Theis</w:t>
      </w:r>
      <w:proofErr w:type="spellEnd"/>
      <w:r w:rsidRPr="005B641B">
        <w:rPr>
          <w:sz w:val="14"/>
          <w:lang w:val="en-CA"/>
        </w:rPr>
        <w:t xml:space="preserve"> </w:t>
      </w:r>
      <w:proofErr w:type="spellStart"/>
      <w:r w:rsidRPr="005B641B">
        <w:rPr>
          <w:sz w:val="14"/>
          <w:lang w:val="en-CA"/>
        </w:rPr>
        <w:t>Panetti</w:t>
      </w:r>
      <w:proofErr w:type="spellEnd"/>
      <w:r w:rsidRPr="005B641B">
        <w:rPr>
          <w:sz w:val="14"/>
          <w:lang w:val="en-CA"/>
        </w:rPr>
        <w:t xml:space="preserve"> Instrument Set</w:t>
      </w:r>
    </w:p>
    <w:p w:rsidR="00E176B0" w:rsidRPr="005B641B" w:rsidRDefault="00E176B0" w:rsidP="00E176B0">
      <w:pPr>
        <w:pStyle w:val="ListParagraph"/>
        <w:numPr>
          <w:ilvl w:val="1"/>
          <w:numId w:val="10"/>
        </w:numPr>
        <w:rPr>
          <w:sz w:val="14"/>
          <w:lang w:val="en-CA"/>
        </w:rPr>
      </w:pPr>
      <w:proofErr w:type="spellStart"/>
      <w:r w:rsidRPr="005B641B">
        <w:rPr>
          <w:sz w:val="14"/>
          <w:lang w:val="en-CA"/>
        </w:rPr>
        <w:t>Storz</w:t>
      </w:r>
      <w:proofErr w:type="spellEnd"/>
      <w:r w:rsidRPr="005B641B">
        <w:rPr>
          <w:sz w:val="14"/>
          <w:lang w:val="en-CA"/>
        </w:rPr>
        <w:t xml:space="preserve"> Endoscopic Middle Ear Surgery Instrument Set</w:t>
      </w:r>
    </w:p>
    <w:p w:rsidR="00E176B0" w:rsidRPr="005B641B" w:rsidRDefault="00E176B0" w:rsidP="00E176B0">
      <w:pPr>
        <w:pStyle w:val="ListParagraph"/>
        <w:numPr>
          <w:ilvl w:val="1"/>
          <w:numId w:val="10"/>
        </w:numPr>
        <w:rPr>
          <w:sz w:val="14"/>
          <w:lang w:val="en-CA"/>
        </w:rPr>
      </w:pPr>
      <w:r w:rsidRPr="005B641B">
        <w:rPr>
          <w:sz w:val="14"/>
          <w:lang w:val="en-CA"/>
        </w:rPr>
        <w:t>Grace Medical IWGEES Set</w:t>
      </w:r>
    </w:p>
    <w:p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rsidR="00E176B0" w:rsidRPr="005B641B" w:rsidRDefault="00E176B0" w:rsidP="00E176B0">
      <w:pPr>
        <w:pStyle w:val="ListParagraph"/>
        <w:numPr>
          <w:ilvl w:val="1"/>
          <w:numId w:val="10"/>
        </w:numPr>
        <w:rPr>
          <w:sz w:val="14"/>
          <w:lang w:val="en-CA"/>
        </w:rPr>
      </w:pPr>
      <w:r w:rsidRPr="005B641B">
        <w:rPr>
          <w:sz w:val="14"/>
          <w:lang w:val="en-CA"/>
        </w:rPr>
        <w:t>Bleeding control</w:t>
      </w:r>
    </w:p>
    <w:p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rsidR="00E176B0" w:rsidRPr="005B641B" w:rsidRDefault="00E176B0" w:rsidP="00E176B0">
      <w:pPr>
        <w:pStyle w:val="ListParagraph"/>
        <w:numPr>
          <w:ilvl w:val="0"/>
          <w:numId w:val="11"/>
        </w:numPr>
        <w:rPr>
          <w:sz w:val="14"/>
          <w:lang w:val="en-CA"/>
        </w:rPr>
      </w:pPr>
      <w:r w:rsidRPr="005B641B">
        <w:rPr>
          <w:sz w:val="14"/>
          <w:lang w:val="en-CA"/>
        </w:rPr>
        <w:t xml:space="preserve">Gripping and/or moving </w:t>
      </w:r>
      <w:proofErr w:type="spellStart"/>
      <w:r w:rsidRPr="005B641B">
        <w:rPr>
          <w:sz w:val="14"/>
          <w:lang w:val="en-CA"/>
        </w:rPr>
        <w:t>cholesteatoma</w:t>
      </w:r>
      <w:proofErr w:type="spellEnd"/>
    </w:p>
    <w:p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w:t>
      </w:r>
      <w:proofErr w:type="spellStart"/>
      <w:r w:rsidRPr="005B641B">
        <w:rPr>
          <w:rStyle w:val="m5457844605781567817s1"/>
          <w:rFonts w:ascii="Calibri" w:hAnsi="Calibri"/>
          <w:color w:val="000000"/>
          <w:sz w:val="14"/>
          <w:szCs w:val="20"/>
        </w:rPr>
        <w:t>antrum</w:t>
      </w:r>
      <w:proofErr w:type="spellEnd"/>
      <w:r w:rsidRPr="005B641B">
        <w:rPr>
          <w:rStyle w:val="m5457844605781567817s1"/>
          <w:rFonts w:ascii="Calibri" w:hAnsi="Calibri"/>
          <w:color w:val="000000"/>
          <w:sz w:val="14"/>
          <w:szCs w:val="20"/>
        </w:rPr>
        <w:t>)</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proofErr w:type="spellStart"/>
      <w:r w:rsidRPr="005B641B">
        <w:rPr>
          <w:sz w:val="14"/>
          <w:lang w:val="en-CA"/>
        </w:rPr>
        <w:t>uction</w:t>
      </w:r>
      <w:proofErr w:type="spellEnd"/>
      <w:r w:rsidRPr="005B641B">
        <w:rPr>
          <w:sz w:val="14"/>
          <w:lang w:val="en-CA"/>
        </w:rPr>
        <w:t xml:space="preserve"> integrated with another functionality (e.g. suction + curette or suction + forceps)</w:t>
      </w:r>
    </w:p>
    <w:p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t>It is unnecessary to reach within these recesses in EES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lastRenderedPageBreak/>
        <w:t>Cutting </w:t>
      </w:r>
    </w:p>
    <w:p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 xml:space="preserve">Gripping (e.g. </w:t>
      </w: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bone or ear drum graft)</w:t>
      </w:r>
    </w:p>
    <w:p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rsidR="00E176B0" w:rsidRDefault="00E176B0" w:rsidP="00E176B0">
      <w:pPr>
        <w:jc w:val="both"/>
        <w:rPr>
          <w:lang w:val="en-CA"/>
        </w:rPr>
      </w:pPr>
    </w:p>
    <w:p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rsidR="00E176B0" w:rsidRPr="005B641B" w:rsidRDefault="00E176B0" w:rsidP="00E176B0">
      <w:pPr>
        <w:pStyle w:val="ListParagraph"/>
        <w:numPr>
          <w:ilvl w:val="0"/>
          <w:numId w:val="15"/>
        </w:numPr>
        <w:jc w:val="both"/>
        <w:rPr>
          <w:i/>
          <w:lang w:val="en-CA"/>
        </w:rPr>
      </w:pPr>
      <w:r w:rsidRPr="005B641B">
        <w:rPr>
          <w:i/>
          <w:lang w:val="en-CA"/>
        </w:rPr>
        <w:t>Rating technique</w:t>
      </w:r>
    </w:p>
    <w:p w:rsidR="00E176B0" w:rsidRDefault="00E176B0" w:rsidP="00E176B0">
      <w:pPr>
        <w:pStyle w:val="ListParagraph"/>
        <w:numPr>
          <w:ilvl w:val="1"/>
          <w:numId w:val="15"/>
        </w:numPr>
        <w:jc w:val="both"/>
        <w:rPr>
          <w:lang w:val="en-CA"/>
        </w:rPr>
      </w:pPr>
      <w:proofErr w:type="spellStart"/>
      <w:r>
        <w:rPr>
          <w:lang w:val="en-CA"/>
        </w:rPr>
        <w:t>Likert</w:t>
      </w:r>
      <w:proofErr w:type="spellEnd"/>
      <w:r>
        <w:rPr>
          <w:lang w:val="en-CA"/>
        </w:rPr>
        <w:t xml:space="preserve"> vs. analog visual scale these papers said that the analog visual scale was better </w:t>
      </w:r>
      <w:r w:rsidRPr="00400B77">
        <w:rPr>
          <w:highlight w:val="yellow"/>
          <w:lang w:val="en-CA"/>
        </w:rPr>
        <w:t>BECAUSE</w:t>
      </w:r>
      <w:r>
        <w:rPr>
          <w:lang w:val="en-CA"/>
        </w:rPr>
        <w:t xml:space="preserve"> </w:t>
      </w:r>
      <w:r w:rsidR="0030642C">
        <w:rPr>
          <w:lang w:val="en-CA"/>
        </w:rPr>
        <w:fldChar w:fldCharType="begin" w:fldLock="1"/>
      </w:r>
      <w:r w:rsidR="00E717B8">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"[14]", "plainTextFormattedCitation" : "[14]", "previouslyFormattedCitation" : "[13]" }, "properties" : { "noteIndex" : 0 }, "schema" : "https://github.com/citation-style-language/schema/raw/master/csl-citation.json" }</w:instrText>
      </w:r>
      <w:r w:rsidR="0030642C">
        <w:rPr>
          <w:lang w:val="en-CA"/>
        </w:rPr>
        <w:fldChar w:fldCharType="separate"/>
      </w:r>
      <w:r w:rsidR="00E717B8" w:rsidRPr="00E717B8">
        <w:rPr>
          <w:noProof/>
          <w:lang w:val="en-CA"/>
        </w:rPr>
        <w:t>[14]</w:t>
      </w:r>
      <w:r w:rsidR="0030642C">
        <w:rPr>
          <w:lang w:val="en-CA"/>
        </w:rPr>
        <w:fldChar w:fldCharType="end"/>
      </w:r>
      <w:r>
        <w:rPr>
          <w:lang w:val="en-CA"/>
        </w:rPr>
        <w:t xml:space="preserve"> </w:t>
      </w:r>
      <w:r w:rsidR="0030642C">
        <w:rPr>
          <w:lang w:val="en-CA"/>
        </w:rPr>
        <w:fldChar w:fldCharType="begin" w:fldLock="1"/>
      </w:r>
      <w:r w:rsidR="00E717B8">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"[15]", "plainTextFormattedCitation" : "[15]", "previouslyFormattedCitation" : "[14]" }, "properties" : { "noteIndex" : 0 }, "schema" : "https://github.com/citation-style-language/schema/raw/master/csl-citation.json" }</w:instrText>
      </w:r>
      <w:r w:rsidR="0030642C">
        <w:rPr>
          <w:lang w:val="en-CA"/>
        </w:rPr>
        <w:fldChar w:fldCharType="separate"/>
      </w:r>
      <w:r w:rsidR="00E717B8" w:rsidRPr="00E717B8">
        <w:rPr>
          <w:noProof/>
          <w:lang w:val="en-CA"/>
        </w:rPr>
        <w:t>[15]</w:t>
      </w:r>
      <w:r w:rsidR="0030642C">
        <w:rPr>
          <w:lang w:val="en-CA"/>
        </w:rPr>
        <w:fldChar w:fldCharType="end"/>
      </w:r>
      <w:r>
        <w:rPr>
          <w:lang w:val="en-CA"/>
        </w:rPr>
        <w:t xml:space="preserve"> – 10 describes what VAS and an LS are </w:t>
      </w:r>
    </w:p>
    <w:p w:rsidR="00E176B0" w:rsidRDefault="0030642C" w:rsidP="00E176B0">
      <w:pPr>
        <w:pStyle w:val="Normal1"/>
        <w:numPr>
          <w:ilvl w:val="1"/>
          <w:numId w:val="15"/>
        </w:numPr>
        <w:contextualSpacing/>
      </w:pPr>
      <w:hyperlink r:id="rId9" w:history="1">
        <w:r w:rsidR="00E176B0" w:rsidRPr="00231DA4">
          <w:rPr>
            <w:rStyle w:val="Hyperlink"/>
          </w:rPr>
          <w:t>http://www.statistik.tuwien.ac.at/forschung/SM/SM-2009-4complete.pdf</w:t>
        </w:r>
      </w:hyperlink>
    </w:p>
    <w:p w:rsidR="00E176B0" w:rsidRDefault="00E176B0" w:rsidP="00E176B0">
      <w:pPr>
        <w:pStyle w:val="Normal1"/>
        <w:numPr>
          <w:ilvl w:val="2"/>
          <w:numId w:val="15"/>
        </w:numPr>
        <w:contextualSpacing/>
      </w:pPr>
      <w:r>
        <w:t xml:space="preserve">States that the advantages of using the continuous rating scale over the </w:t>
      </w:r>
      <w:proofErr w:type="spellStart"/>
      <w:r>
        <w:t>likert</w:t>
      </w:r>
      <w:proofErr w:type="spellEnd"/>
      <w:r>
        <w:t xml:space="preserve"> are: </w:t>
      </w:r>
    </w:p>
    <w:p w:rsidR="00E176B0" w:rsidRDefault="00E176B0" w:rsidP="00E176B0">
      <w:pPr>
        <w:pStyle w:val="Normal1"/>
        <w:numPr>
          <w:ilvl w:val="3"/>
          <w:numId w:val="15"/>
        </w:numPr>
        <w:contextualSpacing/>
      </w:pPr>
      <w:r>
        <w:t xml:space="preserve">Hard to discriminate between the categories </w:t>
      </w:r>
    </w:p>
    <w:p w:rsidR="00E176B0" w:rsidRPr="00400B77" w:rsidRDefault="00E176B0" w:rsidP="00E176B0">
      <w:pPr>
        <w:pStyle w:val="Normal1"/>
        <w:numPr>
          <w:ilvl w:val="3"/>
          <w:numId w:val="15"/>
        </w:numPr>
        <w:contextualSpacing/>
      </w:pPr>
      <w:proofErr w:type="spellStart"/>
      <w:r>
        <w:t>Cts</w:t>
      </w:r>
      <w:proofErr w:type="spellEnd"/>
      <w:r>
        <w:t xml:space="preserve"> scale – the respondent is only given anchor points and so it is up to the respondent to pick any value in between</w:t>
      </w:r>
      <w:r w:rsidRPr="00E24AA2">
        <w:rPr>
          <w:highlight w:val="yellow"/>
        </w:rPr>
        <w:t>......(continue)</w:t>
      </w:r>
    </w:p>
    <w:p w:rsidR="00E176B0" w:rsidRDefault="00E176B0" w:rsidP="00E176B0">
      <w:pPr>
        <w:pStyle w:val="ListParagraph"/>
        <w:numPr>
          <w:ilvl w:val="0"/>
          <w:numId w:val="15"/>
        </w:numPr>
        <w:jc w:val="both"/>
        <w:rPr>
          <w:lang w:val="en-CA"/>
        </w:rPr>
      </w:pPr>
      <w:r>
        <w:rPr>
          <w:lang w:val="en-CA"/>
        </w:rPr>
        <w:t xml:space="preserve">The wording of the scale was taken from: </w:t>
      </w:r>
    </w:p>
    <w:p w:rsidR="00E176B0" w:rsidRPr="00400B77" w:rsidRDefault="0030642C" w:rsidP="00E176B0">
      <w:pPr>
        <w:pStyle w:val="ListParagraph"/>
        <w:numPr>
          <w:ilvl w:val="1"/>
          <w:numId w:val="15"/>
        </w:numPr>
        <w:jc w:val="both"/>
        <w:rPr>
          <w:lang w:val="en-CA"/>
        </w:rPr>
      </w:pPr>
      <w:hyperlink r:id="rId10">
        <w:r w:rsidR="00E176B0" w:rsidRPr="00400B77">
          <w:rPr>
            <w:color w:val="1155CC"/>
            <w:u w:val="single"/>
          </w:rPr>
          <w:t>http://psr.iq.harvard.edu/files/psr/files/PSRQuestionnaireTipSheet_0.pdf</w:t>
        </w:r>
      </w:hyperlink>
      <w:r w:rsidR="00E176B0">
        <w:t>,</w:t>
      </w:r>
    </w:p>
    <w:p w:rsidR="00E176B0" w:rsidRPr="00400B77" w:rsidRDefault="0030642C" w:rsidP="00E176B0">
      <w:pPr>
        <w:pStyle w:val="ListParagraph"/>
        <w:numPr>
          <w:ilvl w:val="1"/>
          <w:numId w:val="15"/>
        </w:numPr>
        <w:jc w:val="both"/>
        <w:rPr>
          <w:lang w:val="en-CA"/>
        </w:rPr>
      </w:pPr>
      <w:hyperlink r:id="rId11">
        <w:r w:rsidR="00E176B0" w:rsidRPr="00400B77">
          <w:rPr>
            <w:color w:val="1155CC"/>
            <w:u w:val="single"/>
          </w:rPr>
          <w:t>http://www.uwex.edu/ces/4h/evaluation/documents/Wordingforratingscales.pdf</w:t>
        </w:r>
      </w:hyperlink>
      <w:r w:rsidR="00E176B0">
        <w:t xml:space="preserve"> </w:t>
      </w:r>
    </w:p>
    <w:p w:rsidR="00E176B0" w:rsidRDefault="00E176B0" w:rsidP="00E176B0">
      <w:pPr>
        <w:jc w:val="both"/>
        <w:rPr>
          <w:lang w:val="en-CA"/>
        </w:rPr>
      </w:pPr>
      <w:r>
        <w:rPr>
          <w:lang w:val="en-CA"/>
        </w:rPr>
        <w:t xml:space="preserve">visual analog scale (used in questionnaire) vs. </w:t>
      </w:r>
      <w:proofErr w:type="spellStart"/>
      <w:r>
        <w:rPr>
          <w:lang w:val="en-CA"/>
        </w:rPr>
        <w:t>likert</w:t>
      </w:r>
      <w:proofErr w:type="spellEnd"/>
      <w:r>
        <w:rPr>
          <w:lang w:val="en-CA"/>
        </w:rPr>
        <w:t xml:space="preserve"> scale: </w:t>
      </w:r>
      <w:r w:rsidR="0030642C">
        <w:rPr>
          <w:lang w:val="en-CA"/>
        </w:rPr>
        <w:fldChar w:fldCharType="begin" w:fldLock="1"/>
      </w:r>
      <w:r w:rsidR="00E717B8">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"[14]", "plainTextFormattedCitation" : "[14]", "previouslyFormattedCitation" : "[13]" }, "properties" : { "noteIndex" : 0 }, "schema" : "https://github.com/citation-style-language/schema/raw/master/csl-citation.json" }</w:instrText>
      </w:r>
      <w:r w:rsidR="0030642C">
        <w:rPr>
          <w:lang w:val="en-CA"/>
        </w:rPr>
        <w:fldChar w:fldCharType="separate"/>
      </w:r>
      <w:r w:rsidR="00E717B8" w:rsidRPr="00E717B8">
        <w:rPr>
          <w:noProof/>
          <w:lang w:val="en-CA"/>
        </w:rPr>
        <w:t>[14]</w:t>
      </w:r>
      <w:r w:rsidR="0030642C">
        <w:rPr>
          <w:lang w:val="en-CA"/>
        </w:rPr>
        <w:fldChar w:fldCharType="end"/>
      </w:r>
    </w:p>
    <w:p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rsidR="00E176B0" w:rsidRDefault="00E176B0" w:rsidP="00E176B0">
      <w:pPr>
        <w:pStyle w:val="ListParagraph"/>
        <w:numPr>
          <w:ilvl w:val="0"/>
          <w:numId w:val="17"/>
        </w:numPr>
        <w:jc w:val="both"/>
        <w:rPr>
          <w:lang w:val="en-CA"/>
        </w:rPr>
      </w:pPr>
      <w:r>
        <w:rPr>
          <w:lang w:val="en-CA"/>
        </w:rPr>
        <w:t xml:space="preserve">Tested for test-retest stability using the </w:t>
      </w:r>
      <w:proofErr w:type="spellStart"/>
      <w:r>
        <w:rPr>
          <w:lang w:val="en-CA"/>
        </w:rPr>
        <w:t>intraclass</w:t>
      </w:r>
      <w:proofErr w:type="spellEnd"/>
      <w:r>
        <w:rPr>
          <w:lang w:val="en-CA"/>
        </w:rPr>
        <w:t xml:space="preserve"> correlation coefficient and internal consistency using </w:t>
      </w:r>
      <w:proofErr w:type="spellStart"/>
      <w:r>
        <w:rPr>
          <w:lang w:val="en-CA"/>
        </w:rPr>
        <w:t>cronbach’s</w:t>
      </w:r>
      <w:proofErr w:type="spellEnd"/>
      <w:r>
        <w:rPr>
          <w:lang w:val="en-CA"/>
        </w:rPr>
        <w:t xml:space="preserve"> alpha. All but one question in the questionnaire had statistically significant correlation </w:t>
      </w:r>
    </w:p>
    <w:p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w:t>
      </w:r>
      <w:proofErr w:type="spellStart"/>
      <w:r>
        <w:rPr>
          <w:lang w:val="en-CA"/>
        </w:rPr>
        <w:t>likert</w:t>
      </w:r>
      <w:proofErr w:type="spellEnd"/>
      <w:r>
        <w:rPr>
          <w:lang w:val="en-CA"/>
        </w:rPr>
        <w:t xml:space="preserve"> scale but the LS uses ordinal scale restricting the respondent to predetermined categories </w:t>
      </w:r>
    </w:p>
    <w:p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rsidR="00E176B0" w:rsidRDefault="00E176B0" w:rsidP="00E176B0">
      <w:pPr>
        <w:pStyle w:val="ListParagraph"/>
        <w:numPr>
          <w:ilvl w:val="1"/>
          <w:numId w:val="17"/>
        </w:numPr>
        <w:jc w:val="both"/>
        <w:rPr>
          <w:lang w:val="en-CA"/>
        </w:rPr>
      </w:pPr>
      <w:r>
        <w:rPr>
          <w:lang w:val="en-CA"/>
        </w:rPr>
        <w:t>Can use parametric statistical analysis with a smaller sample size</w:t>
      </w:r>
    </w:p>
    <w:p w:rsidR="00A2246A" w:rsidRDefault="00A2246A" w:rsidP="00E176B0">
      <w:pPr>
        <w:widowControl w:val="0"/>
        <w:autoSpaceDE w:val="0"/>
        <w:autoSpaceDN w:val="0"/>
        <w:adjustRightInd w:val="0"/>
        <w:spacing w:after="240"/>
        <w:ind w:firstLine="0"/>
        <w:jc w:val="both"/>
        <w:rPr>
          <w:rFonts w:cs="Arial"/>
        </w:rPr>
      </w:pPr>
    </w:p>
    <w:p w:rsidR="005B641B" w:rsidRPr="00661894" w:rsidRDefault="005B641B" w:rsidP="005B641B">
      <w:pPr>
        <w:widowControl w:val="0"/>
        <w:autoSpaceDE w:val="0"/>
        <w:autoSpaceDN w:val="0"/>
        <w:adjustRightInd w:val="0"/>
        <w:spacing w:after="240"/>
        <w:jc w:val="both"/>
        <w:rPr>
          <w:rFonts w:cs="Times"/>
          <w:i/>
        </w:rPr>
      </w:pPr>
      <w:r w:rsidRPr="00FD3A3E">
        <w:rPr>
          <w:rFonts w:cs="Arial"/>
        </w:rPr>
        <w:t xml:space="preserve">The survey will then be sent, via email, to many </w:t>
      </w:r>
      <w:proofErr w:type="spellStart"/>
      <w:r w:rsidRPr="00FD3A3E">
        <w:rPr>
          <w:rFonts w:cs="Arial"/>
        </w:rPr>
        <w:t>otologists</w:t>
      </w:r>
      <w:proofErr w:type="spellEnd"/>
      <w:r w:rsidRPr="00FD3A3E">
        <w:rPr>
          <w:rFonts w:cs="Arial"/>
        </w:rPr>
        <w:t xml:space="preserve">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rsidR="005B641B" w:rsidRPr="00765F73" w:rsidRDefault="005B641B" w:rsidP="005B641B">
      <w:pPr>
        <w:widowControl w:val="0"/>
        <w:autoSpaceDE w:val="0"/>
        <w:autoSpaceDN w:val="0"/>
        <w:adjustRightInd w:val="0"/>
        <w:spacing w:after="240"/>
        <w:jc w:val="both"/>
        <w:rPr>
          <w:rFonts w:cs="Times"/>
        </w:rPr>
      </w:pPr>
      <w:r w:rsidRPr="00FD3A3E">
        <w:rPr>
          <w:rFonts w:cs="Arial"/>
        </w:rPr>
        <w:t xml:space="preserve">The confidential survey will be provided electronically using </w:t>
      </w:r>
      <w:proofErr w:type="spellStart"/>
      <w:r w:rsidR="00491849">
        <w:rPr>
          <w:rFonts w:cs="Arial"/>
        </w:rPr>
        <w:t>RedCap</w:t>
      </w:r>
      <w:proofErr w:type="spellEnd"/>
      <w:r w:rsidR="00491849">
        <w:rPr>
          <w:rFonts w:cs="Arial"/>
        </w:rPr>
        <w:t xml:space="preserve"> </w:t>
      </w:r>
      <w:proofErr w:type="spellStart"/>
      <w:r w:rsidR="00491849">
        <w:rPr>
          <w:rFonts w:cs="Arial"/>
        </w:rPr>
        <w:t>SickKids</w:t>
      </w:r>
      <w:proofErr w:type="spellEnd"/>
      <w:r w:rsidR="00491849">
        <w:rPr>
          <w:rFonts w:cs="Arial"/>
        </w:rPr>
        <w:t xml:space="preserve"> software.</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w:t>
      </w:r>
      <w:r w:rsidRPr="00FD3A3E">
        <w:rPr>
          <w:rFonts w:cs="Arial"/>
        </w:rPr>
        <w:lastRenderedPageBreak/>
        <w:t xml:space="preserve">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rsidR="005B641B" w:rsidRPr="00460061" w:rsidRDefault="005B641B" w:rsidP="005B641B">
      <w:pPr>
        <w:widowControl w:val="0"/>
        <w:autoSpaceDE w:val="0"/>
        <w:autoSpaceDN w:val="0"/>
        <w:adjustRightInd w:val="0"/>
        <w:spacing w:after="240"/>
        <w:jc w:val="both"/>
        <w:rPr>
          <w:rFonts w:cs="Times"/>
        </w:rPr>
      </w:pPr>
      <w:r>
        <w:rPr>
          <w:rFonts w:cs="Arial"/>
        </w:rPr>
        <w:t xml:space="preserve">This methodology will collect insight from a variety of </w:t>
      </w:r>
      <w:proofErr w:type="gramStart"/>
      <w:r>
        <w:rPr>
          <w:rFonts w:cs="Arial"/>
        </w:rPr>
        <w:t>surgeons,</w:t>
      </w:r>
      <w:proofErr w:type="gramEnd"/>
      <w:r>
        <w:rPr>
          <w:rFonts w:cs="Arial"/>
        </w:rPr>
        <w:t xml:space="preserve">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5B641B" w:rsidRPr="00FD3A3E" w:rsidRDefault="005B641B" w:rsidP="005B641B">
      <w:pPr>
        <w:jc w:val="both"/>
        <w:rPr>
          <w:lang w:val="en-CA"/>
        </w:rPr>
      </w:pPr>
    </w:p>
    <w:p w:rsidR="005B641B" w:rsidRPr="00FD3A3E" w:rsidRDefault="005B641B" w:rsidP="00491849">
      <w:pPr>
        <w:ind w:firstLine="0"/>
        <w:jc w:val="both"/>
        <w:rPr>
          <w:lang w:val="en-CA"/>
        </w:rPr>
      </w:pPr>
    </w:p>
    <w:p w:rsidR="005B641B" w:rsidRDefault="005B641B" w:rsidP="005B32D2">
      <w:pPr>
        <w:pStyle w:val="ListParagraph"/>
        <w:jc w:val="both"/>
        <w:rPr>
          <w:b/>
          <w:lang w:val="en-CA"/>
        </w:rPr>
      </w:pPr>
    </w:p>
    <w:p w:rsidR="0000007E" w:rsidRPr="0000007E" w:rsidRDefault="0000007E" w:rsidP="0000007E">
      <w:pPr>
        <w:jc w:val="both"/>
        <w:rPr>
          <w:lang w:val="en-CA"/>
        </w:rPr>
      </w:pPr>
    </w:p>
    <w:p w:rsidR="00CF7CE0" w:rsidRDefault="00CF7CE0" w:rsidP="00BE09C8">
      <w:pPr>
        <w:jc w:val="both"/>
        <w:rPr>
          <w:lang w:val="en-CA"/>
        </w:rPr>
      </w:pPr>
    </w:p>
    <w:p w:rsidR="00CF7CE0" w:rsidRDefault="00CF7CE0" w:rsidP="00BE09C8">
      <w:pPr>
        <w:jc w:val="both"/>
        <w:rPr>
          <w:b/>
          <w:lang w:val="en-CA"/>
        </w:rPr>
      </w:pPr>
    </w:p>
    <w:p w:rsidR="00CF7CE0" w:rsidRDefault="00CF7CE0" w:rsidP="00BE09C8">
      <w:pPr>
        <w:jc w:val="both"/>
        <w:rPr>
          <w:b/>
          <w:lang w:val="en-CA"/>
        </w:rPr>
      </w:pPr>
    </w:p>
    <w:p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w:t>
      </w:r>
      <w:proofErr w:type="spellStart"/>
      <w:r>
        <w:rPr>
          <w:rFonts w:ascii="Arial" w:hAnsi="Arial" w:cs="Arial"/>
        </w:rPr>
        <w:t>Storz</w:t>
      </w:r>
      <w:proofErr w:type="spellEnd"/>
      <w:r>
        <w:rPr>
          <w:rFonts w:ascii="Arial" w:hAnsi="Arial" w:cs="Arial"/>
        </w:rPr>
        <w:t xml:space="preserve"> GmbH &amp; Co. KG; </w:t>
      </w:r>
      <w:proofErr w:type="spellStart"/>
      <w:r>
        <w:rPr>
          <w:rFonts w:ascii="Arial" w:hAnsi="Arial" w:cs="Arial"/>
        </w:rPr>
        <w:t>Tuttlingen</w:t>
      </w:r>
      <w:proofErr w:type="spellEnd"/>
      <w:r>
        <w:rPr>
          <w:rFonts w:ascii="Arial" w:hAnsi="Arial" w:cs="Arial"/>
        </w:rPr>
        <w:t xml:space="preserve">, Germany) was developed from the work of </w:t>
      </w:r>
      <w:proofErr w:type="spellStart"/>
      <w:r>
        <w:rPr>
          <w:rFonts w:ascii="Arial" w:hAnsi="Arial" w:cs="Arial"/>
        </w:rPr>
        <w:t>Thomassin</w:t>
      </w:r>
      <w:proofErr w:type="spellEnd"/>
      <w:r>
        <w:rPr>
          <w:rFonts w:ascii="Arial" w:hAnsi="Arial" w:cs="Arial"/>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rPr>
        <w:t>Panetti</w:t>
      </w:r>
      <w:proofErr w:type="spellEnd"/>
      <w:r>
        <w:rPr>
          <w:rFonts w:ascii="Arial" w:hAnsi="Arial" w:cs="Arial"/>
        </w:rPr>
        <w:t xml:space="preserve"> (13) incorporates suction into dissection instruments with an ingenious rotating connector (</w:t>
      </w:r>
      <w:proofErr w:type="spellStart"/>
      <w:r>
        <w:rPr>
          <w:rFonts w:ascii="Arial" w:hAnsi="Arial" w:cs="Arial"/>
        </w:rPr>
        <w:t>Spiggle</w:t>
      </w:r>
      <w:proofErr w:type="spellEnd"/>
      <w:r>
        <w:rPr>
          <w:rFonts w:ascii="Arial" w:hAnsi="Arial" w:cs="Arial"/>
        </w:rPr>
        <w:t xml:space="preserve"> &amp; </w:t>
      </w:r>
      <w:proofErr w:type="spellStart"/>
      <w:r>
        <w:rPr>
          <w:rFonts w:ascii="Arial" w:hAnsi="Arial" w:cs="Arial"/>
        </w:rPr>
        <w:t>Theis</w:t>
      </w:r>
      <w:proofErr w:type="spellEnd"/>
      <w:r>
        <w:rPr>
          <w:rFonts w:ascii="Arial" w:hAnsi="Arial" w:cs="Arial"/>
        </w:rPr>
        <w:t xml:space="preserve"> </w:t>
      </w:r>
      <w:proofErr w:type="spellStart"/>
      <w:r>
        <w:rPr>
          <w:rFonts w:ascii="Arial" w:hAnsi="Arial" w:cs="Arial"/>
        </w:rPr>
        <w:t>Medizintechnik</w:t>
      </w:r>
      <w:proofErr w:type="spellEnd"/>
      <w:r>
        <w:rPr>
          <w:rFonts w:ascii="Arial" w:hAnsi="Arial" w:cs="Arial"/>
        </w:rPr>
        <w:t xml:space="preserve"> GmbH; </w:t>
      </w:r>
      <w:proofErr w:type="spellStart"/>
      <w:r>
        <w:rPr>
          <w:rFonts w:ascii="Arial" w:hAnsi="Arial" w:cs="Arial"/>
        </w:rPr>
        <w:t>Burghof</w:t>
      </w:r>
      <w:proofErr w:type="spellEnd"/>
      <w:r>
        <w:rPr>
          <w:rFonts w:ascii="Arial" w:hAnsi="Arial" w:cs="Arial"/>
        </w:rPr>
        <w:t xml:space="preserve">, Germany). The ability to clear blood from the operating field is an advantage to the </w:t>
      </w:r>
      <w:proofErr w:type="gramStart"/>
      <w:r>
        <w:rPr>
          <w:rFonts w:ascii="Arial" w:hAnsi="Arial" w:cs="Arial"/>
        </w:rPr>
        <w:t>tools,</w:t>
      </w:r>
      <w:proofErr w:type="gramEnd"/>
      <w:r>
        <w:rPr>
          <w:rFonts w:ascii="Arial" w:hAnsi="Arial" w:cs="Arial"/>
        </w:rPr>
        <w:t xml:space="preserve">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rsidR="006A6E6F" w:rsidRPr="006A6E6F" w:rsidRDefault="006A6E6F" w:rsidP="00BE09C8">
      <w:pPr>
        <w:widowControl w:val="0"/>
        <w:autoSpaceDE w:val="0"/>
        <w:autoSpaceDN w:val="0"/>
        <w:adjustRightInd w:val="0"/>
        <w:spacing w:after="240"/>
        <w:jc w:val="both"/>
        <w:rPr>
          <w:rFonts w:cs="Times New Roman"/>
          <w:lang w:val="en-CA"/>
        </w:rPr>
      </w:pPr>
    </w:p>
    <w:p w:rsidR="007610C8" w:rsidRPr="00FD3A3E" w:rsidRDefault="007610C8" w:rsidP="00BE09C8">
      <w:pPr>
        <w:jc w:val="both"/>
        <w:rPr>
          <w:lang w:val="en-CA"/>
        </w:rPr>
      </w:pPr>
    </w:p>
    <w:p w:rsidR="007610C8" w:rsidRPr="00FD3A3E" w:rsidRDefault="007610C8" w:rsidP="00BE09C8">
      <w:pPr>
        <w:jc w:val="both"/>
        <w:rPr>
          <w:lang w:val="en-CA"/>
        </w:rPr>
      </w:pPr>
      <w:r w:rsidRPr="001D44F6">
        <w:rPr>
          <w:b/>
          <w:lang w:val="en-CA"/>
        </w:rPr>
        <w:lastRenderedPageBreak/>
        <w:t>Abstract</w:t>
      </w:r>
      <w:r w:rsidRPr="00FD3A3E">
        <w:rPr>
          <w:lang w:val="en-CA"/>
        </w:rPr>
        <w:t>: background, methods, results, conclusions, keywords: questionnaire, survey, endoscopic ear surgery</w:t>
      </w:r>
    </w:p>
    <w:p w:rsidR="00444211" w:rsidRPr="00FD3A3E" w:rsidRDefault="00444211" w:rsidP="00BE09C8">
      <w:pPr>
        <w:jc w:val="both"/>
        <w:rPr>
          <w:lang w:val="en-CA"/>
        </w:rPr>
      </w:pPr>
    </w:p>
    <w:p w:rsidR="00444211" w:rsidRPr="00FD3A3E" w:rsidRDefault="00444211" w:rsidP="00BE09C8">
      <w:pPr>
        <w:jc w:val="both"/>
        <w:rPr>
          <w:lang w:val="en-CA"/>
        </w:rPr>
      </w:pPr>
    </w:p>
    <w:p w:rsidR="00E717B8" w:rsidRPr="00E717B8" w:rsidRDefault="0030642C" w:rsidP="00E717B8">
      <w:pPr>
        <w:widowControl w:val="0"/>
        <w:autoSpaceDE w:val="0"/>
        <w:autoSpaceDN w:val="0"/>
        <w:adjustRightInd w:val="0"/>
        <w:spacing w:after="140"/>
        <w:ind w:left="640" w:hanging="640"/>
        <w:rPr>
          <w:rFonts w:ascii="Calibri" w:hAnsi="Calibri" w:cs="Times New Roman"/>
          <w:noProof/>
          <w:szCs w:val="24"/>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r w:rsidR="00E717B8" w:rsidRPr="00E717B8">
        <w:rPr>
          <w:rFonts w:ascii="Calibri" w:hAnsi="Calibri" w:cs="Times New Roman"/>
          <w:noProof/>
          <w:szCs w:val="24"/>
        </w:rPr>
        <w:t>[1]</w:t>
      </w:r>
      <w:r w:rsidR="00E717B8" w:rsidRPr="00E717B8">
        <w:rPr>
          <w:rFonts w:ascii="Calibri" w:hAnsi="Calibri" w:cs="Times New Roman"/>
          <w:noProof/>
          <w:szCs w:val="24"/>
        </w:rPr>
        <w:tab/>
        <w:t xml:space="preserve">M. S. Cohen, L. D. Landegger, E. D. Kozin, and D. J. Lee, “Pediatric endoscopic ear surgery in clinical practice: Lessons learned and early outcomes,” </w:t>
      </w:r>
      <w:r w:rsidR="00E717B8" w:rsidRPr="00E717B8">
        <w:rPr>
          <w:rFonts w:ascii="Calibri" w:hAnsi="Calibri" w:cs="Times New Roman"/>
          <w:i/>
          <w:iCs/>
          <w:noProof/>
          <w:szCs w:val="24"/>
        </w:rPr>
        <w:t>Laryngoscope</w:t>
      </w:r>
      <w:r w:rsidR="00E717B8" w:rsidRPr="00E717B8">
        <w:rPr>
          <w:rFonts w:ascii="Calibri" w:hAnsi="Calibri" w:cs="Times New Roman"/>
          <w:noProof/>
          <w:szCs w:val="24"/>
        </w:rPr>
        <w:t>, p. n/a-n/a, 2015.</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[2]</w:t>
      </w:r>
      <w:r w:rsidRPr="00E717B8">
        <w:rPr>
          <w:rFonts w:ascii="Calibri" w:hAnsi="Calibri" w:cs="Times New Roman"/>
          <w:noProof/>
          <w:szCs w:val="24"/>
        </w:rPr>
        <w:tab/>
        <w:t xml:space="preserve">H. Kanona, J. S. Virk, and A. Owa, “Endoscopic ear surgery: A case series and first United Kingdom experience.,” </w:t>
      </w:r>
      <w:r w:rsidRPr="00E717B8">
        <w:rPr>
          <w:rFonts w:ascii="Calibri" w:hAnsi="Calibri" w:cs="Times New Roman"/>
          <w:i/>
          <w:iCs/>
          <w:noProof/>
          <w:szCs w:val="24"/>
        </w:rPr>
        <w:t>World J. Clin. cases</w:t>
      </w:r>
      <w:r w:rsidRPr="00E717B8">
        <w:rPr>
          <w:rFonts w:ascii="Calibri" w:hAnsi="Calibri" w:cs="Times New Roman"/>
          <w:noProof/>
          <w:szCs w:val="24"/>
        </w:rPr>
        <w:t>, vol. 3, no. 3, pp. 310–7, 2015.</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[3]</w:t>
      </w:r>
      <w:r w:rsidRPr="00E717B8">
        <w:rPr>
          <w:rFonts w:ascii="Calibri" w:hAnsi="Calibri" w:cs="Times New Roman"/>
          <w:noProof/>
          <w:szCs w:val="24"/>
        </w:rPr>
        <w:tab/>
        <w:t xml:space="preserve">M. Badr-el-dine, “I n s t r u m e n t a t i o n a n d Tec h n o l o g i e s in E ndos c o p i c Ear Su r ge ry,” </w:t>
      </w:r>
      <w:r w:rsidRPr="00E717B8">
        <w:rPr>
          <w:rFonts w:ascii="Calibri" w:hAnsi="Calibri" w:cs="Times New Roman"/>
          <w:i/>
          <w:iCs/>
          <w:noProof/>
          <w:szCs w:val="24"/>
        </w:rPr>
        <w:t>Otolaryngol. Clin. NA</w:t>
      </w:r>
      <w:r w:rsidRPr="00E717B8">
        <w:rPr>
          <w:rFonts w:ascii="Calibri" w:hAnsi="Calibri" w:cs="Times New Roman"/>
          <w:noProof/>
          <w:szCs w:val="24"/>
        </w:rPr>
        <w:t>, vol. 46, no. 2, pp. 211–225, 2013.</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[4]</w:t>
      </w:r>
      <w:r w:rsidRPr="00E717B8">
        <w:rPr>
          <w:rFonts w:ascii="Calibri" w:hAnsi="Calibri" w:cs="Times New Roman"/>
          <w:noProof/>
          <w:szCs w:val="24"/>
        </w:rPr>
        <w:tab/>
        <w:t xml:space="preserve">T. Furukawa, T. Watanabe, T. Ito, T. Kubota, and S. Kakehata, “Feasibility and advantages of transcanal endoscopic myringoplasty.,” </w:t>
      </w:r>
      <w:r w:rsidRPr="00E717B8">
        <w:rPr>
          <w:rFonts w:ascii="Calibri" w:hAnsi="Calibri" w:cs="Times New Roman"/>
          <w:i/>
          <w:iCs/>
          <w:noProof/>
          <w:szCs w:val="24"/>
        </w:rPr>
        <w:t>Otol. Neurotol.</w:t>
      </w:r>
      <w:r w:rsidRPr="00E717B8">
        <w:rPr>
          <w:rFonts w:ascii="Calibri" w:hAnsi="Calibri" w:cs="Times New Roman"/>
          <w:noProof/>
          <w:szCs w:val="24"/>
        </w:rPr>
        <w:t>, vol. 35, no. 4, pp. e140-5, 2014.</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[5]</w:t>
      </w:r>
      <w:r w:rsidRPr="00E717B8">
        <w:rPr>
          <w:rFonts w:ascii="Calibri" w:hAnsi="Calibri" w:cs="Times New Roman"/>
          <w:noProof/>
          <w:szCs w:val="24"/>
        </w:rPr>
        <w:tab/>
        <w:t xml:space="preserve">M. L. Bennett, D. Zhang, R. F. Labadie, and J. H. Noble, “Comparison of Middle Ear Visualization With Endoscopy and Microscopy,” </w:t>
      </w:r>
      <w:r w:rsidRPr="00E717B8">
        <w:rPr>
          <w:rFonts w:ascii="Calibri" w:hAnsi="Calibri" w:cs="Times New Roman"/>
          <w:i/>
          <w:iCs/>
          <w:noProof/>
          <w:szCs w:val="24"/>
        </w:rPr>
        <w:t>Otol. Neurotol.</w:t>
      </w:r>
      <w:r w:rsidRPr="00E717B8">
        <w:rPr>
          <w:rFonts w:ascii="Calibri" w:hAnsi="Calibri" w:cs="Times New Roman"/>
          <w:noProof/>
          <w:szCs w:val="24"/>
        </w:rPr>
        <w:t>, vol. 37, pp. 362–366, 2016.</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[6]</w:t>
      </w:r>
      <w:r w:rsidRPr="00E717B8">
        <w:rPr>
          <w:rFonts w:ascii="Calibri" w:hAnsi="Calibri" w:cs="Times New Roman"/>
          <w:noProof/>
          <w:szCs w:val="24"/>
        </w:rPr>
        <w:tab/>
        <w:t xml:space="preserve">M. A. Rube </w:t>
      </w:r>
      <w:r w:rsidRPr="00E717B8">
        <w:rPr>
          <w:rFonts w:ascii="Calibri" w:hAnsi="Calibri" w:cs="Times New Roman"/>
          <w:i/>
          <w:iCs/>
          <w:noProof/>
          <w:szCs w:val="24"/>
        </w:rPr>
        <w:t>et al.</w:t>
      </w:r>
      <w:r w:rsidRPr="00E717B8">
        <w:rPr>
          <w:rFonts w:ascii="Calibri" w:hAnsi="Calibri" w:cs="Times New Roman"/>
          <w:noProof/>
          <w:szCs w:val="24"/>
        </w:rPr>
        <w:t>, “HHS Public Access,” vol. 10, no. 5, pp. 637–650, 2015.</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[7]</w:t>
      </w:r>
      <w:r w:rsidRPr="00E717B8">
        <w:rPr>
          <w:rFonts w:ascii="Calibri" w:hAnsi="Calibri" w:cs="Times New Roman"/>
          <w:noProof/>
          <w:szCs w:val="24"/>
        </w:rPr>
        <w:tab/>
        <w:t>K. C. Hsiao, Z. Machaidze, and J. G. Pattaras, “Time Management in the Operating Room : An Analysis of the Dedicated Minimally Invasive Surgery Suite,” pp. 300–303, 2004.</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[8]</w:t>
      </w:r>
      <w:r w:rsidRPr="00E717B8">
        <w:rPr>
          <w:rFonts w:ascii="Calibri" w:hAnsi="Calibri" w:cs="Times New Roman"/>
          <w:noProof/>
          <w:szCs w:val="24"/>
        </w:rPr>
        <w:tab/>
        <w:t xml:space="preserve"> a D. Racine and  a G. Davidson, “Use of a time-flow study to improve patient waiting times at an inner-city academic pediatric practice,” </w:t>
      </w:r>
      <w:r w:rsidRPr="00E717B8">
        <w:rPr>
          <w:rFonts w:ascii="Calibri" w:hAnsi="Calibri" w:cs="Times New Roman"/>
          <w:i/>
          <w:iCs/>
          <w:noProof/>
          <w:szCs w:val="24"/>
        </w:rPr>
        <w:t>Arch Pediatr Adolesc Med</w:t>
      </w:r>
      <w:r w:rsidRPr="00E717B8">
        <w:rPr>
          <w:rFonts w:ascii="Calibri" w:hAnsi="Calibri" w:cs="Times New Roman"/>
          <w:noProof/>
          <w:szCs w:val="24"/>
        </w:rPr>
        <w:t>, vol. 156, no. 12, pp. 1203–1209, 2002.</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[9]</w:t>
      </w:r>
      <w:r w:rsidRPr="00E717B8">
        <w:rPr>
          <w:rFonts w:ascii="Calibri" w:hAnsi="Calibri" w:cs="Times New Roman"/>
          <w:noProof/>
          <w:szCs w:val="24"/>
        </w:rPr>
        <w:tab/>
        <w:t xml:space="preserve">H. J. Marcus </w:t>
      </w:r>
      <w:r w:rsidRPr="00E717B8">
        <w:rPr>
          <w:rFonts w:ascii="Calibri" w:hAnsi="Calibri" w:cs="Times New Roman"/>
          <w:i/>
          <w:iCs/>
          <w:noProof/>
          <w:szCs w:val="24"/>
        </w:rPr>
        <w:t>et al.</w:t>
      </w:r>
      <w:r w:rsidRPr="00E717B8">
        <w:rPr>
          <w:rFonts w:ascii="Calibri" w:hAnsi="Calibri" w:cs="Times New Roman"/>
          <w:noProof/>
          <w:szCs w:val="24"/>
        </w:rPr>
        <w:t>, “Europe PMC Funders Group Endoscopic and Keyhole Endoscope-assisted Neurosurgical Approaches : A Qualitative Survey on Technical Challenges and Technological Solutions,” vol. 28, no. 5, pp. 606–610, 2015.</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[10]</w:t>
      </w:r>
      <w:r w:rsidRPr="00E717B8">
        <w:rPr>
          <w:rFonts w:ascii="Calibri" w:hAnsi="Calibri" w:cs="Times New Roman"/>
          <w:noProof/>
          <w:szCs w:val="24"/>
        </w:rPr>
        <w:tab/>
        <w:t xml:space="preserve">M. Yong, T. Mijovic, and J. Lea, “Endoscopic ear surgery in Canada : a cross-sectional study,” </w:t>
      </w:r>
      <w:r w:rsidRPr="00E717B8">
        <w:rPr>
          <w:rFonts w:ascii="Calibri" w:hAnsi="Calibri" w:cs="Times New Roman"/>
          <w:i/>
          <w:iCs/>
          <w:noProof/>
          <w:szCs w:val="24"/>
        </w:rPr>
        <w:t>J. Otolaryngol. - Head Neck Surg.</w:t>
      </w:r>
      <w:r w:rsidRPr="00E717B8">
        <w:rPr>
          <w:rFonts w:ascii="Calibri" w:hAnsi="Calibri" w:cs="Times New Roman"/>
          <w:noProof/>
          <w:szCs w:val="24"/>
        </w:rPr>
        <w:t>, pp. 1–8, 2016.</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[11]</w:t>
      </w:r>
      <w:r w:rsidRPr="00E717B8">
        <w:rPr>
          <w:rFonts w:ascii="Calibri" w:hAnsi="Calibri" w:cs="Times New Roman"/>
          <w:noProof/>
          <w:szCs w:val="24"/>
        </w:rPr>
        <w:tab/>
        <w:t xml:space="preserve">A. Gerritsen </w:t>
      </w:r>
      <w:r w:rsidRPr="00E717B8">
        <w:rPr>
          <w:rFonts w:ascii="Calibri" w:hAnsi="Calibri" w:cs="Times New Roman"/>
          <w:i/>
          <w:iCs/>
          <w:noProof/>
          <w:szCs w:val="24"/>
        </w:rPr>
        <w:t>et al.</w:t>
      </w:r>
      <w:r w:rsidRPr="00E717B8">
        <w:rPr>
          <w:rFonts w:ascii="Calibri" w:hAnsi="Calibri" w:cs="Times New Roman"/>
          <w:noProof/>
          <w:szCs w:val="24"/>
        </w:rPr>
        <w:t xml:space="preserve">, “Developing a core set of patient-reported outcomes in pancreatic cancer: A Delphi survey.,” </w:t>
      </w:r>
      <w:r w:rsidRPr="00E717B8">
        <w:rPr>
          <w:rFonts w:ascii="Calibri" w:hAnsi="Calibri" w:cs="Times New Roman"/>
          <w:i/>
          <w:iCs/>
          <w:noProof/>
          <w:szCs w:val="24"/>
        </w:rPr>
        <w:t>Eur. J. Cancer</w:t>
      </w:r>
      <w:r w:rsidRPr="00E717B8">
        <w:rPr>
          <w:rFonts w:ascii="Calibri" w:hAnsi="Calibri" w:cs="Times New Roman"/>
          <w:noProof/>
          <w:szCs w:val="24"/>
        </w:rPr>
        <w:t>, vol. 57, pp. 68–77, Apr. 2016.</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[12]</w:t>
      </w:r>
      <w:r w:rsidRPr="00E717B8">
        <w:rPr>
          <w:rFonts w:ascii="Calibri" w:hAnsi="Calibri" w:cs="Times New Roman"/>
          <w:noProof/>
          <w:szCs w:val="24"/>
        </w:rPr>
        <w:tab/>
        <w:t xml:space="preserve">S. Y. Kosyakov, Y. V Minavnina, and E. V Pchelenok, “[The consensus view of the treatment of the retraction pockets of the tympanic membrane].,” </w:t>
      </w:r>
      <w:r w:rsidRPr="00E717B8">
        <w:rPr>
          <w:rFonts w:ascii="Calibri" w:hAnsi="Calibri" w:cs="Times New Roman"/>
          <w:i/>
          <w:iCs/>
          <w:noProof/>
          <w:szCs w:val="24"/>
        </w:rPr>
        <w:t>Vestn. Otorinolaringol.</w:t>
      </w:r>
      <w:r w:rsidRPr="00E717B8">
        <w:rPr>
          <w:rFonts w:ascii="Calibri" w:hAnsi="Calibri" w:cs="Times New Roman"/>
          <w:noProof/>
          <w:szCs w:val="24"/>
        </w:rPr>
        <w:t>, vol. 81, no. 1, pp. 78–83, 2016.</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[13]</w:t>
      </w:r>
      <w:r w:rsidRPr="00E717B8">
        <w:rPr>
          <w:rFonts w:ascii="Calibri" w:hAnsi="Calibri" w:cs="Times New Roman"/>
          <w:noProof/>
          <w:szCs w:val="24"/>
        </w:rPr>
        <w:tab/>
        <w:t xml:space="preserve">M. Singer </w:t>
      </w:r>
      <w:r w:rsidRPr="00E717B8">
        <w:rPr>
          <w:rFonts w:ascii="Calibri" w:hAnsi="Calibri" w:cs="Times New Roman"/>
          <w:i/>
          <w:iCs/>
          <w:noProof/>
          <w:szCs w:val="24"/>
        </w:rPr>
        <w:t>et al.</w:t>
      </w:r>
      <w:r w:rsidRPr="00E717B8">
        <w:rPr>
          <w:rFonts w:ascii="Calibri" w:hAnsi="Calibri" w:cs="Times New Roman"/>
          <w:noProof/>
          <w:szCs w:val="24"/>
        </w:rPr>
        <w:t xml:space="preserve">, “The Third International Consensus Definitions for Sepsis and Septic Shock (Sepsis-3).,” </w:t>
      </w:r>
      <w:r w:rsidRPr="00E717B8">
        <w:rPr>
          <w:rFonts w:ascii="Calibri" w:hAnsi="Calibri" w:cs="Times New Roman"/>
          <w:i/>
          <w:iCs/>
          <w:noProof/>
          <w:szCs w:val="24"/>
        </w:rPr>
        <w:t>JAMA</w:t>
      </w:r>
      <w:r w:rsidRPr="00E717B8">
        <w:rPr>
          <w:rFonts w:ascii="Calibri" w:hAnsi="Calibri" w:cs="Times New Roman"/>
          <w:noProof/>
          <w:szCs w:val="24"/>
        </w:rPr>
        <w:t>, vol. 315, no. 8, pp. 801–10, Feb. 2016.</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[14]</w:t>
      </w:r>
      <w:r w:rsidRPr="00E717B8">
        <w:rPr>
          <w:rFonts w:ascii="Calibri" w:hAnsi="Calibri" w:cs="Times New Roman"/>
          <w:noProof/>
          <w:szCs w:val="24"/>
        </w:rPr>
        <w:tab/>
        <w:t xml:space="preserve">A. Celenza and I. R. Rogers, “Comparison of visual analogue and Likert scales in evaluation of an emergency department bedside teaching programme,” </w:t>
      </w:r>
      <w:r w:rsidRPr="00E717B8">
        <w:rPr>
          <w:rFonts w:ascii="Calibri" w:hAnsi="Calibri" w:cs="Times New Roman"/>
          <w:i/>
          <w:iCs/>
          <w:noProof/>
          <w:szCs w:val="24"/>
        </w:rPr>
        <w:t>EMA - Emerg. Med. Australas.</w:t>
      </w:r>
      <w:r w:rsidRPr="00E717B8">
        <w:rPr>
          <w:rFonts w:ascii="Calibri" w:hAnsi="Calibri" w:cs="Times New Roman"/>
          <w:noProof/>
          <w:szCs w:val="24"/>
        </w:rPr>
        <w:t>, vol. 23, no. 1, pp. 68–75, 2011.</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[15]</w:t>
      </w:r>
      <w:r w:rsidRPr="00E717B8">
        <w:rPr>
          <w:rFonts w:ascii="Calibri" w:hAnsi="Calibri" w:cs="Times New Roman"/>
          <w:noProof/>
          <w:szCs w:val="24"/>
        </w:rPr>
        <w:tab/>
        <w:t xml:space="preserve">D. M. Marsh-richard, E. S. Hatzis, C. W. Mathias, N. Venditti, D. M. Dougherty, and W. Forest, “Adaptive Visual Analog Scales (AVAS): A Modifiable Software Program for the Creation, Administration, and Scoring of Visual Analog Scales,” </w:t>
      </w:r>
      <w:r w:rsidRPr="00E717B8">
        <w:rPr>
          <w:rFonts w:ascii="Calibri" w:hAnsi="Calibri" w:cs="Times New Roman"/>
          <w:i/>
          <w:iCs/>
          <w:noProof/>
          <w:szCs w:val="24"/>
        </w:rPr>
        <w:t>Heal. (San Fr.</w:t>
      </w:r>
      <w:r w:rsidRPr="00E717B8">
        <w:rPr>
          <w:rFonts w:ascii="Calibri" w:hAnsi="Calibri" w:cs="Times New Roman"/>
          <w:noProof/>
          <w:szCs w:val="24"/>
        </w:rPr>
        <w:t>, vol. 41, no. 1, pp. 99–106, 2009.</w:t>
      </w:r>
    </w:p>
    <w:p w:rsidR="00E717B8" w:rsidRPr="00E717B8" w:rsidRDefault="00E717B8" w:rsidP="00E717B8">
      <w:pPr>
        <w:widowControl w:val="0"/>
        <w:autoSpaceDE w:val="0"/>
        <w:autoSpaceDN w:val="0"/>
        <w:adjustRightInd w:val="0"/>
        <w:spacing w:after="140"/>
        <w:ind w:left="640" w:hanging="640"/>
        <w:rPr>
          <w:rFonts w:ascii="Calibri" w:hAnsi="Calibri" w:cs="Times New Roman"/>
          <w:noProof/>
          <w:szCs w:val="24"/>
        </w:rPr>
      </w:pPr>
      <w:r w:rsidRPr="00E717B8">
        <w:rPr>
          <w:rFonts w:ascii="Calibri" w:hAnsi="Calibri" w:cs="Times New Roman"/>
          <w:noProof/>
          <w:szCs w:val="24"/>
        </w:rPr>
        <w:t>[16]</w:t>
      </w:r>
      <w:r w:rsidRPr="00E717B8">
        <w:rPr>
          <w:rFonts w:ascii="Calibri" w:hAnsi="Calibri" w:cs="Times New Roman"/>
          <w:noProof/>
          <w:szCs w:val="24"/>
        </w:rPr>
        <w:tab/>
        <w:t xml:space="preserve">A. L. James, “E n d o s c o p i c Mi d d l e E a r S u r g e r y in C h i l d ren,” </w:t>
      </w:r>
      <w:r w:rsidRPr="00E717B8">
        <w:rPr>
          <w:rFonts w:ascii="Calibri" w:hAnsi="Calibri" w:cs="Times New Roman"/>
          <w:i/>
          <w:iCs/>
          <w:noProof/>
          <w:szCs w:val="24"/>
        </w:rPr>
        <w:t>Otolaryngol. Clin. NA</w:t>
      </w:r>
      <w:r w:rsidRPr="00E717B8">
        <w:rPr>
          <w:rFonts w:ascii="Calibri" w:hAnsi="Calibri" w:cs="Times New Roman"/>
          <w:noProof/>
          <w:szCs w:val="24"/>
        </w:rPr>
        <w:t xml:space="preserve">, no. </w:t>
      </w:r>
      <w:r w:rsidRPr="00E717B8">
        <w:rPr>
          <w:rFonts w:ascii="Calibri" w:hAnsi="Calibri" w:cs="Times New Roman"/>
          <w:noProof/>
          <w:szCs w:val="24"/>
        </w:rPr>
        <w:lastRenderedPageBreak/>
        <w:t>November, 2012.</w:t>
      </w:r>
    </w:p>
    <w:p w:rsidR="00E717B8" w:rsidRPr="00E717B8" w:rsidRDefault="00E717B8" w:rsidP="00E717B8">
      <w:pPr>
        <w:widowControl w:val="0"/>
        <w:autoSpaceDE w:val="0"/>
        <w:autoSpaceDN w:val="0"/>
        <w:adjustRightInd w:val="0"/>
        <w:spacing w:after="140"/>
        <w:ind w:left="640" w:hanging="640"/>
        <w:rPr>
          <w:rFonts w:ascii="Calibri" w:hAnsi="Calibri"/>
          <w:noProof/>
        </w:rPr>
      </w:pPr>
      <w:r w:rsidRPr="00E717B8">
        <w:rPr>
          <w:rFonts w:ascii="Calibri" w:hAnsi="Calibri" w:cs="Times New Roman"/>
          <w:noProof/>
          <w:szCs w:val="24"/>
        </w:rPr>
        <w:t>[17]</w:t>
      </w:r>
      <w:r w:rsidRPr="00E717B8">
        <w:rPr>
          <w:rFonts w:ascii="Calibri" w:hAnsi="Calibri" w:cs="Times New Roman"/>
          <w:noProof/>
          <w:szCs w:val="24"/>
        </w:rPr>
        <w:tab/>
        <w:t>A. L. James, B. C. Papsin, and B. C. Papsin, “-- Head and Neck Surgery,” no. September, 2012.</w:t>
      </w:r>
    </w:p>
    <w:p w:rsidR="00765F73" w:rsidRDefault="0030642C" w:rsidP="00E717B8">
      <w:pPr>
        <w:widowControl w:val="0"/>
        <w:autoSpaceDE w:val="0"/>
        <w:autoSpaceDN w:val="0"/>
        <w:adjustRightInd w:val="0"/>
        <w:spacing w:after="140"/>
        <w:ind w:left="640" w:hanging="640"/>
        <w:rPr>
          <w:lang w:val="en-CA"/>
        </w:rPr>
      </w:pPr>
      <w:r w:rsidRPr="00FD3A3E">
        <w:rPr>
          <w:lang w:val="en-CA"/>
        </w:rPr>
        <w:fldChar w:fldCharType="end"/>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30642C" w:rsidRPr="00FD3A3E">
        <w:rPr>
          <w:rFonts w:cs="Times New Roman"/>
          <w:lang w:val="en-CA"/>
        </w:rPr>
        <w:fldChar w:fldCharType="begin" w:fldLock="1"/>
      </w:r>
      <w:r w:rsidR="00E717B8">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"[16]", "plainTextFormattedCitation" : "[16]", "previouslyFormattedCitation" : "[15]" }, "properties" : { "noteIndex" : 0 }, "schema" : "https://github.com/citation-style-language/schema/raw/master/csl-citation.json" }</w:instrText>
      </w:r>
      <w:r w:rsidR="0030642C" w:rsidRPr="00FD3A3E">
        <w:rPr>
          <w:rFonts w:cs="Times New Roman"/>
          <w:lang w:val="en-CA"/>
        </w:rPr>
        <w:fldChar w:fldCharType="separate"/>
      </w:r>
      <w:r w:rsidR="00E717B8" w:rsidRPr="00E717B8">
        <w:rPr>
          <w:rFonts w:cs="Times New Roman"/>
          <w:noProof/>
          <w:lang w:val="en-CA"/>
        </w:rPr>
        <w:t>[16]</w:t>
      </w:r>
      <w:r w:rsidR="0030642C" w:rsidRPr="00FD3A3E">
        <w:rPr>
          <w:rFonts w:cs="Times New Roman"/>
          <w:lang w:val="en-CA"/>
        </w:rPr>
        <w:fldChar w:fldCharType="end"/>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30642C" w:rsidRPr="00FD3A3E">
        <w:rPr>
          <w:rFonts w:cs="Times New Roman"/>
          <w:lang w:val="en-CA"/>
        </w:rPr>
        <w:fldChar w:fldCharType="begin" w:fldLock="1"/>
      </w:r>
      <w:r w:rsidR="00E717B8">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"[17]", "plainTextFormattedCitation" : "[17]", "previouslyFormattedCitation" : "[16]" }, "properties" : { "noteIndex" : 0 }, "schema" : "https://github.com/citation-style-language/schema/raw/master/csl-citation.json" }</w:instrText>
      </w:r>
      <w:r w:rsidR="0030642C" w:rsidRPr="00FD3A3E">
        <w:rPr>
          <w:rFonts w:cs="Times New Roman"/>
          <w:lang w:val="en-CA"/>
        </w:rPr>
        <w:fldChar w:fldCharType="separate"/>
      </w:r>
      <w:r w:rsidR="00E717B8" w:rsidRPr="00E717B8">
        <w:rPr>
          <w:rFonts w:cs="Times New Roman"/>
          <w:noProof/>
          <w:lang w:val="en-CA"/>
        </w:rPr>
        <w:t>[17]</w:t>
      </w:r>
      <w:r w:rsidR="0030642C" w:rsidRPr="00FD3A3E">
        <w:rPr>
          <w:rFonts w:cs="Times New Roman"/>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rushri Swarup" w:date="2017-01-11T16:05:00Z" w:initials="AS">
    <w:p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21B00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F0B" w:rsidRDefault="00176F0B" w:rsidP="00E71D6E">
      <w:r>
        <w:separator/>
      </w:r>
    </w:p>
  </w:endnote>
  <w:endnote w:type="continuationSeparator" w:id="0">
    <w:p w:rsidR="00176F0B" w:rsidRDefault="00176F0B" w:rsidP="00E71D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F0B" w:rsidRDefault="00176F0B" w:rsidP="00E71D6E">
      <w:r>
        <w:separator/>
      </w:r>
    </w:p>
  </w:footnote>
  <w:footnote w:type="continuationSeparator" w:id="0">
    <w:p w:rsidR="00176F0B" w:rsidRDefault="00176F0B"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6930C0"/>
    <w:multiLevelType w:val="hybridMultilevel"/>
    <w:tmpl w:val="CB481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F77D45"/>
    <w:multiLevelType w:val="hybridMultilevel"/>
    <w:tmpl w:val="98BE2A0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9"/>
  </w:num>
  <w:num w:numId="4">
    <w:abstractNumId w:val="7"/>
  </w:num>
  <w:num w:numId="5">
    <w:abstractNumId w:val="11"/>
  </w:num>
  <w:num w:numId="6">
    <w:abstractNumId w:val="20"/>
  </w:num>
  <w:num w:numId="7">
    <w:abstractNumId w:val="5"/>
  </w:num>
  <w:num w:numId="8">
    <w:abstractNumId w:val="17"/>
  </w:num>
  <w:num w:numId="9">
    <w:abstractNumId w:val="4"/>
  </w:num>
  <w:num w:numId="10">
    <w:abstractNumId w:val="9"/>
  </w:num>
  <w:num w:numId="11">
    <w:abstractNumId w:val="18"/>
  </w:num>
  <w:num w:numId="12">
    <w:abstractNumId w:val="16"/>
  </w:num>
  <w:num w:numId="13">
    <w:abstractNumId w:val="12"/>
  </w:num>
  <w:num w:numId="14">
    <w:abstractNumId w:val="3"/>
  </w:num>
  <w:num w:numId="15">
    <w:abstractNumId w:val="0"/>
  </w:num>
  <w:num w:numId="16">
    <w:abstractNumId w:val="13"/>
  </w:num>
  <w:num w:numId="17">
    <w:abstractNumId w:val="2"/>
  </w:num>
  <w:num w:numId="18">
    <w:abstractNumId w:val="8"/>
  </w:num>
  <w:num w:numId="19">
    <w:abstractNumId w:val="10"/>
  </w:num>
  <w:num w:numId="20">
    <w:abstractNumId w:val="15"/>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0F280D"/>
    <w:rsid w:val="0000007E"/>
    <w:rsid w:val="00005C86"/>
    <w:rsid w:val="00007381"/>
    <w:rsid w:val="00013531"/>
    <w:rsid w:val="00085EAC"/>
    <w:rsid w:val="0008705A"/>
    <w:rsid w:val="0009512C"/>
    <w:rsid w:val="00096F9A"/>
    <w:rsid w:val="000A0030"/>
    <w:rsid w:val="000B7DC0"/>
    <w:rsid w:val="000E46CA"/>
    <w:rsid w:val="000F23B9"/>
    <w:rsid w:val="000F280D"/>
    <w:rsid w:val="00123CB4"/>
    <w:rsid w:val="00176F0B"/>
    <w:rsid w:val="001870F4"/>
    <w:rsid w:val="00191A8F"/>
    <w:rsid w:val="0019796B"/>
    <w:rsid w:val="001A0154"/>
    <w:rsid w:val="001A4AE4"/>
    <w:rsid w:val="001C1934"/>
    <w:rsid w:val="001D44F6"/>
    <w:rsid w:val="002056F0"/>
    <w:rsid w:val="00212971"/>
    <w:rsid w:val="002229FF"/>
    <w:rsid w:val="00223CD5"/>
    <w:rsid w:val="002316D3"/>
    <w:rsid w:val="00273C85"/>
    <w:rsid w:val="00294249"/>
    <w:rsid w:val="002A1389"/>
    <w:rsid w:val="002C0818"/>
    <w:rsid w:val="002C5D33"/>
    <w:rsid w:val="002C6C6F"/>
    <w:rsid w:val="002C7C4F"/>
    <w:rsid w:val="002D3FCA"/>
    <w:rsid w:val="002D56AE"/>
    <w:rsid w:val="002E780B"/>
    <w:rsid w:val="0030642C"/>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F3DDB"/>
    <w:rsid w:val="00633A29"/>
    <w:rsid w:val="00647D7C"/>
    <w:rsid w:val="00661894"/>
    <w:rsid w:val="006822CE"/>
    <w:rsid w:val="006A4781"/>
    <w:rsid w:val="006A6E6F"/>
    <w:rsid w:val="006C13CC"/>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8725F"/>
    <w:rsid w:val="008A29BA"/>
    <w:rsid w:val="008D4245"/>
    <w:rsid w:val="008D470F"/>
    <w:rsid w:val="009053ED"/>
    <w:rsid w:val="00923946"/>
    <w:rsid w:val="00923D43"/>
    <w:rsid w:val="009407D0"/>
    <w:rsid w:val="00971F6E"/>
    <w:rsid w:val="0097282E"/>
    <w:rsid w:val="009A412E"/>
    <w:rsid w:val="009B47F9"/>
    <w:rsid w:val="009D1441"/>
    <w:rsid w:val="009F18E8"/>
    <w:rsid w:val="00A2246A"/>
    <w:rsid w:val="00A563B8"/>
    <w:rsid w:val="00A86E74"/>
    <w:rsid w:val="00AA3475"/>
    <w:rsid w:val="00AB5D37"/>
    <w:rsid w:val="00AB674B"/>
    <w:rsid w:val="00AE6BFC"/>
    <w:rsid w:val="00B135DE"/>
    <w:rsid w:val="00B437E2"/>
    <w:rsid w:val="00B65BDE"/>
    <w:rsid w:val="00B67405"/>
    <w:rsid w:val="00BB32B7"/>
    <w:rsid w:val="00BE09C8"/>
    <w:rsid w:val="00BF4EA9"/>
    <w:rsid w:val="00C054B9"/>
    <w:rsid w:val="00C07E73"/>
    <w:rsid w:val="00C61AFB"/>
    <w:rsid w:val="00CA6971"/>
    <w:rsid w:val="00CB1821"/>
    <w:rsid w:val="00CB6EF7"/>
    <w:rsid w:val="00CF7CE0"/>
    <w:rsid w:val="00D016B6"/>
    <w:rsid w:val="00D25401"/>
    <w:rsid w:val="00D328A1"/>
    <w:rsid w:val="00D52B15"/>
    <w:rsid w:val="00DA345D"/>
    <w:rsid w:val="00DA6183"/>
    <w:rsid w:val="00DA788E"/>
    <w:rsid w:val="00DD3675"/>
    <w:rsid w:val="00E13A27"/>
    <w:rsid w:val="00E176B0"/>
    <w:rsid w:val="00E24AA2"/>
    <w:rsid w:val="00E417C3"/>
    <w:rsid w:val="00E556C7"/>
    <w:rsid w:val="00E717B8"/>
    <w:rsid w:val="00E71D6E"/>
    <w:rsid w:val="00E73B82"/>
    <w:rsid w:val="00EE1BBE"/>
    <w:rsid w:val="00F43E32"/>
    <w:rsid w:val="00FD3A3E"/>
    <w:rsid w:val="00FE5388"/>
    <w:rsid w:val="00FF451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ex.edu/ces/4h/evaluation/documents/Wordingforratingscales.pdf" TargetMode="External"/><Relationship Id="rId5" Type="http://schemas.openxmlformats.org/officeDocument/2006/relationships/webSettings" Target="webSettings.xml"/><Relationship Id="rId10" Type="http://schemas.openxmlformats.org/officeDocument/2006/relationships/hyperlink" Target="http://psr.iq.harvard.edu/files/psr/files/PSRQuestionnaireTipSheet_0.pdf" TargetMode="External"/><Relationship Id="rId4" Type="http://schemas.openxmlformats.org/officeDocument/2006/relationships/settings" Target="settings.xml"/><Relationship Id="rId9" Type="http://schemas.openxmlformats.org/officeDocument/2006/relationships/hyperlink" Target="http://www.statistik.tuwien.ac.at/forschung/SM/SM-2009-4complete.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81E52B-9E12-46AB-9B1C-19F7E93B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Pages>
  <Words>11315</Words>
  <Characters>64502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46</cp:revision>
  <dcterms:created xsi:type="dcterms:W3CDTF">2016-09-26T15:13:00Z</dcterms:created>
  <dcterms:modified xsi:type="dcterms:W3CDTF">2017-02-11T00:29:00Z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