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707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2EC9A70C" w14:textId="77777777" w:rsidR="00C07E73" w:rsidRPr="00765F73" w:rsidRDefault="00C07E73" w:rsidP="00C07E73">
      <w:pPr>
        <w:pStyle w:val="Heading1"/>
        <w:rPr>
          <w:lang w:val="en-CA"/>
        </w:rPr>
      </w:pPr>
      <w:r w:rsidRPr="00C07E73">
        <w:t>Introduction</w:t>
      </w:r>
      <w:r w:rsidRPr="00FD3A3E">
        <w:rPr>
          <w:lang w:val="en-CA"/>
        </w:rPr>
        <w:t xml:space="preserve">: </w:t>
      </w:r>
    </w:p>
    <w:p w14:paraId="091A44D7"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growth removal and hearing bone repair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4FCF988A"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proofErr w:type="spellStart"/>
      <w:r w:rsidRPr="00FD3A3E">
        <w:rPr>
          <w:rFonts w:cs="Arial"/>
        </w:rPr>
        <w:t>otologists</w:t>
      </w:r>
      <w:proofErr w:type="spellEnd"/>
      <w:r>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  </w:t>
      </w:r>
      <w:r w:rsidRPr="00FD3A3E">
        <w:rPr>
          <w:rFonts w:cs="Times New Roman"/>
          <w:lang w:val="en-CA"/>
        </w:rPr>
        <w:t xml:space="preserve">The principle challenge with TEES is that a one-handed surgical technique is required as the endoscope is held in the other hand.  </w:t>
      </w:r>
      <w:proofErr w:type="spellStart"/>
      <w:r w:rsidRPr="00FD3A3E">
        <w:rPr>
          <w:rFonts w:cs="Times New Roman"/>
          <w:lang w:val="en-CA"/>
        </w:rPr>
        <w:t>Otologic</w:t>
      </w:r>
      <w:proofErr w:type="spellEnd"/>
      <w:r w:rsidRPr="00FD3A3E">
        <w:rPr>
          <w:rFonts w:cs="Times New Roman"/>
          <w:lang w:val="en-CA"/>
        </w:rPr>
        <w:t xml:space="preserve">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w:t>
      </w:r>
      <w:proofErr w:type="spellStart"/>
      <w:r w:rsidRPr="00FD3A3E">
        <w:rPr>
          <w:rFonts w:cs="Arial"/>
        </w:rPr>
        <w:t>endoscopically</w:t>
      </w:r>
      <w:proofErr w:type="spellEnd"/>
      <w:r w:rsidRPr="00FD3A3E">
        <w:rPr>
          <w:rFonts w:cs="Arial"/>
        </w:rPr>
        <w:t xml:space="preserve">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6A1BB4F5"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30642C">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30642C">
        <w:rPr>
          <w:rFonts w:cs="Arial"/>
        </w:rPr>
        <w:fldChar w:fldCharType="separate"/>
      </w:r>
      <w:r w:rsidRPr="003C52DF">
        <w:rPr>
          <w:rFonts w:cs="Arial"/>
          <w:noProof/>
        </w:rPr>
        <w:t>[3]</w:t>
      </w:r>
      <w:r w:rsidR="0030642C">
        <w:rPr>
          <w:rFonts w:cs="Arial"/>
        </w:rPr>
        <w:fldChar w:fldCharType="end"/>
      </w:r>
    </w:p>
    <w:p w14:paraId="43F9F82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67B14E73"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14:paraId="181B75A9"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707D8CBD"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1B8D1F48"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0FF5C0E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61F7580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68F80DA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0F2FCF9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383B1E6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14:paraId="4F0B4E9B"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7FD378A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6EC9AC63"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49E73180"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4562C5C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7949572D"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14:paraId="0DA23FEE"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14:paraId="247B3433" w14:textId="77777777"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14:paraId="258E5ED9" w14:textId="77777777"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w:t>
      </w:r>
      <w:proofErr w:type="spellStart"/>
      <w:r>
        <w:rPr>
          <w:rFonts w:cs="Arial"/>
        </w:rPr>
        <w:t>transcanal</w:t>
      </w:r>
      <w:proofErr w:type="spellEnd"/>
      <w:r>
        <w:rPr>
          <w:rFonts w:cs="Arial"/>
        </w:rPr>
        <w:t xml:space="preserve"> endoscopic </w:t>
      </w:r>
      <w:proofErr w:type="spellStart"/>
      <w:r>
        <w:rPr>
          <w:rFonts w:cs="Arial"/>
        </w:rPr>
        <w:t>myringoplasty</w:t>
      </w:r>
      <w:proofErr w:type="spellEnd"/>
      <w:r>
        <w:rPr>
          <w:rFonts w:cs="Arial"/>
        </w:rPr>
        <w:t xml:space="preserve">”: </w:t>
      </w:r>
      <w:r w:rsidR="00BF4EA9">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BF4EA9">
        <w:rPr>
          <w:rFonts w:cs="Arial"/>
        </w:rPr>
        <w:fldChar w:fldCharType="separate"/>
      </w:r>
      <w:r w:rsidR="00BF4EA9" w:rsidRPr="00BF4EA9">
        <w:rPr>
          <w:rFonts w:cs="Arial"/>
          <w:noProof/>
        </w:rPr>
        <w:t>[4]</w:t>
      </w:r>
      <w:r w:rsidR="00BF4EA9">
        <w:rPr>
          <w:rFonts w:cs="Arial"/>
        </w:rPr>
        <w:fldChar w:fldCharType="end"/>
      </w:r>
      <w:r w:rsidR="00BF4EA9">
        <w:rPr>
          <w:rFonts w:cs="Arial"/>
        </w:rPr>
        <w:t xml:space="preserve"> – good paper with explanation of TEES </w:t>
      </w:r>
      <w:proofErr w:type="spellStart"/>
      <w:r w:rsidR="00BF4EA9">
        <w:rPr>
          <w:rFonts w:cs="Arial"/>
        </w:rPr>
        <w:t>myringoplasty</w:t>
      </w:r>
      <w:proofErr w:type="spellEnd"/>
    </w:p>
    <w:p w14:paraId="61D967E6" w14:textId="77777777"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14:paraId="6C73BDD1"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w:t>
      </w:r>
      <w:proofErr w:type="spellStart"/>
      <w:r>
        <w:rPr>
          <w:rFonts w:cs="Arial"/>
        </w:rPr>
        <w:t>myringoplasty</w:t>
      </w:r>
      <w:proofErr w:type="spellEnd"/>
      <w:r>
        <w:rPr>
          <w:rFonts w:cs="Arial"/>
        </w:rPr>
        <w:t xml:space="preserve"> (ear drum reconstruction) the endoscopic approach is: minimally invasive (no skin incision), TEES </w:t>
      </w:r>
      <w:proofErr w:type="spellStart"/>
      <w:r>
        <w:rPr>
          <w:rFonts w:cs="Arial"/>
        </w:rPr>
        <w:t>myringoplasty</w:t>
      </w:r>
      <w:proofErr w:type="spellEnd"/>
      <w:r>
        <w:rPr>
          <w:rFonts w:cs="Arial"/>
        </w:rPr>
        <w:t xml:space="preserve">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14:paraId="2F45DDE8"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w:t>
      </w:r>
      <w:proofErr w:type="spellStart"/>
      <w:r>
        <w:rPr>
          <w:rFonts w:cs="Arial"/>
        </w:rPr>
        <w:t>ossicular</w:t>
      </w:r>
      <w:proofErr w:type="spellEnd"/>
      <w:r>
        <w:rPr>
          <w:rFonts w:cs="Arial"/>
        </w:rPr>
        <w:t xml:space="preserve"> chain, tympanic isthmus (through large perforations), successfully performed simple underlay technique </w:t>
      </w:r>
      <w:r w:rsidR="00BF4EA9">
        <w:rPr>
          <w:rFonts w:cs="Arial"/>
        </w:rPr>
        <w:t xml:space="preserve">or with </w:t>
      </w:r>
      <w:proofErr w:type="spellStart"/>
      <w:r w:rsidR="00BF4EA9">
        <w:rPr>
          <w:rFonts w:cs="Arial"/>
        </w:rPr>
        <w:t>intracanal</w:t>
      </w:r>
      <w:proofErr w:type="spellEnd"/>
      <w:r w:rsidR="00BF4EA9">
        <w:rPr>
          <w:rFonts w:cs="Arial"/>
        </w:rPr>
        <w:t xml:space="preserve"> incision in cases of marginal perforation</w:t>
      </w:r>
    </w:p>
    <w:p w14:paraId="265EE52D" w14:textId="77777777"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717B8">
        <w:rPr>
          <w:rFonts w:cs="Arial"/>
        </w:rPr>
        <w:fldChar w:fldCharType="begin" w:fldLock="1"/>
      </w:r>
      <w:r w:rsidR="008949B0">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"previouslyFormattedCitation" : "[5]" }, "properties" : { "noteIndex" : 0 }, "schema" : "https://github.com/citation-style-language/schema/raw/master/csl-citation.json" }</w:instrText>
      </w:r>
      <w:r w:rsidR="00E717B8">
        <w:rPr>
          <w:rFonts w:cs="Arial"/>
        </w:rPr>
        <w:fldChar w:fldCharType="separate"/>
      </w:r>
      <w:r w:rsidR="00E717B8" w:rsidRPr="00E717B8">
        <w:rPr>
          <w:rFonts w:cs="Arial"/>
          <w:noProof/>
        </w:rPr>
        <w:t>[5]</w:t>
      </w:r>
      <w:r w:rsidR="00E717B8">
        <w:rPr>
          <w:rFonts w:cs="Arial"/>
        </w:rPr>
        <w:fldChar w:fldCharType="end"/>
      </w:r>
    </w:p>
    <w:p w14:paraId="218AA54C" w14:textId="77777777" w:rsidR="00273C85" w:rsidRDefault="0015289A" w:rsidP="0015289A">
      <w:pPr>
        <w:widowControl w:val="0"/>
        <w:autoSpaceDE w:val="0"/>
        <w:autoSpaceDN w:val="0"/>
        <w:adjustRightInd w:val="0"/>
        <w:spacing w:after="240"/>
        <w:jc w:val="both"/>
        <w:rPr>
          <w:rFonts w:cs="Arial"/>
        </w:rPr>
      </w:pPr>
      <w:r>
        <w:rPr>
          <w:rFonts w:cs="Arial"/>
        </w:rPr>
        <w:t>“</w:t>
      </w:r>
      <w:proofErr w:type="spellStart"/>
      <w:r>
        <w:rPr>
          <w:rFonts w:cs="Arial"/>
        </w:rPr>
        <w:t>Transcanal</w:t>
      </w:r>
      <w:proofErr w:type="spellEnd"/>
      <w:r>
        <w:rPr>
          <w:rFonts w:cs="Arial"/>
        </w:rPr>
        <w:t xml:space="preserve"> Endoscopic Ear Surgery for Pediatric Population with a Narrow External Auditory Canal”</w:t>
      </w:r>
      <w:r w:rsidR="008949B0">
        <w:rPr>
          <w:rFonts w:cs="Arial"/>
        </w:rPr>
        <w:t xml:space="preserve"> </w:t>
      </w:r>
      <w:r w:rsidR="008949B0">
        <w:rPr>
          <w:rFonts w:cs="Arial"/>
        </w:rPr>
        <w:fldChar w:fldCharType="begin" w:fldLock="1"/>
      </w:r>
      <w:r w:rsidR="008949B0">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"[6]", "plainTextFormattedCitation" : "[6]" }, "properties" : { "noteIndex" : 0 }, "schema" : "https://github.com/citation-style-language/schema/raw/master/csl-citation.json" }</w:instrText>
      </w:r>
      <w:r w:rsidR="008949B0">
        <w:rPr>
          <w:rFonts w:cs="Arial"/>
        </w:rPr>
        <w:fldChar w:fldCharType="separate"/>
      </w:r>
      <w:r w:rsidR="008949B0" w:rsidRPr="008949B0">
        <w:rPr>
          <w:rFonts w:cs="Arial"/>
          <w:noProof/>
        </w:rPr>
        <w:t>[6]</w:t>
      </w:r>
      <w:r w:rsidR="008949B0">
        <w:rPr>
          <w:rFonts w:cs="Arial"/>
        </w:rPr>
        <w:fldChar w:fldCharType="end"/>
      </w:r>
    </w:p>
    <w:p w14:paraId="5EF4260E" w14:textId="77777777"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14:paraId="5764D1EF" w14:textId="77777777"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14:paraId="51D69869" w14:textId="77777777" w:rsidR="00C07E73" w:rsidRDefault="00C07E73" w:rsidP="005B641B">
      <w:pPr>
        <w:widowControl w:val="0"/>
        <w:autoSpaceDE w:val="0"/>
        <w:autoSpaceDN w:val="0"/>
        <w:adjustRightInd w:val="0"/>
        <w:spacing w:after="240"/>
        <w:jc w:val="both"/>
        <w:rPr>
          <w:rFonts w:cs="Arial"/>
        </w:rPr>
      </w:pPr>
    </w:p>
    <w:p w14:paraId="30A1E523" w14:textId="77777777" w:rsidR="00C07E73" w:rsidRDefault="00661894" w:rsidP="00C07E73">
      <w:pPr>
        <w:pStyle w:val="Heading3"/>
      </w:pPr>
      <w:r>
        <w:t>Purpose:</w:t>
      </w:r>
    </w:p>
    <w:p w14:paraId="4DE04642"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2FF423F3"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4413F02D" w14:textId="77777777" w:rsidR="005B641B" w:rsidRPr="00FD3A3E" w:rsidRDefault="00C07E73" w:rsidP="00C07E73">
      <w:pPr>
        <w:pStyle w:val="Heading1"/>
      </w:pPr>
      <w:r>
        <w:lastRenderedPageBreak/>
        <w:t xml:space="preserve">Part 1: </w:t>
      </w:r>
      <w:r w:rsidR="005B641B" w:rsidRPr="00FD3A3E">
        <w:t xml:space="preserve">Time </w:t>
      </w:r>
      <w:r w:rsidR="005B641B" w:rsidRPr="00C07E73">
        <w:t>Flow</w:t>
      </w:r>
      <w:r w:rsidR="005B641B" w:rsidRPr="00FD3A3E">
        <w:t xml:space="preserve"> Analysis: </w:t>
      </w:r>
    </w:p>
    <w:p w14:paraId="4BF1D274"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17237965" w14:textId="77777777" w:rsidR="00A2246A" w:rsidRDefault="00A2246A" w:rsidP="00A2246A">
      <w:pPr>
        <w:pStyle w:val="Heading2"/>
        <w:rPr>
          <w:lang w:val="en-CA"/>
        </w:rPr>
      </w:pPr>
      <w:r>
        <w:rPr>
          <w:lang w:val="en-CA"/>
        </w:rPr>
        <w:t>Background:</w:t>
      </w:r>
    </w:p>
    <w:p w14:paraId="46F4D595"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30642C">
        <w:rPr>
          <w:rFonts w:cs="Times New Roman"/>
          <w:lang w:val="en-CA"/>
        </w:rPr>
        <w:fldChar w:fldCharType="begin" w:fldLock="1"/>
      </w:r>
      <w:r w:rsidR="008949B0">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"[7]", "plainTextFormattedCitation" : "[7]", "previouslyFormattedCitation" : "[6]"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[7]</w:t>
      </w:r>
      <w:r w:rsidR="0030642C">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30642C">
        <w:rPr>
          <w:rFonts w:cs="Times New Roman"/>
          <w:lang w:val="en-CA"/>
        </w:rPr>
        <w:fldChar w:fldCharType="begin" w:fldLock="1"/>
      </w:r>
      <w:r w:rsidR="008949B0">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"[8]", "plainTextFormattedCitation" : "[8]", "previouslyFormattedCitation" : "[7]"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[8]</w:t>
      </w:r>
      <w:r w:rsidR="0030642C">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30642C">
        <w:rPr>
          <w:rFonts w:cs="Times New Roman"/>
          <w:lang w:val="en-CA"/>
        </w:rPr>
        <w:fldChar w:fldCharType="begin" w:fldLock="1"/>
      </w:r>
      <w:r w:rsidR="008949B0">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"[9]", "plainTextFormattedCitation" : "[9]", "previouslyFormattedCitation" : "[8]"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[9]</w:t>
      </w:r>
      <w:r w:rsidR="0030642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39B29051"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12574F71" w14:textId="77777777" w:rsidR="00A2246A" w:rsidRPr="00661894" w:rsidRDefault="00A2246A" w:rsidP="00A2246A">
      <w:pPr>
        <w:pStyle w:val="Heading2"/>
        <w:rPr>
          <w:lang w:val="en-CA"/>
        </w:rPr>
      </w:pPr>
      <w:r>
        <w:rPr>
          <w:lang w:val="en-CA"/>
        </w:rPr>
        <w:t>Method:</w:t>
      </w:r>
    </w:p>
    <w:p w14:paraId="3A8F57A0"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14:paraId="28216A18"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4EFF3CF"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246924EB"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0BA013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2ACE985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52B816E7"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7B538411" w14:textId="77777777" w:rsidR="00085EAC" w:rsidRDefault="00085EAC" w:rsidP="005B641B">
      <w:pPr>
        <w:widowControl w:val="0"/>
        <w:autoSpaceDE w:val="0"/>
        <w:autoSpaceDN w:val="0"/>
        <w:adjustRightInd w:val="0"/>
        <w:spacing w:after="240"/>
        <w:jc w:val="both"/>
        <w:rPr>
          <w:rFonts w:cs="Arial"/>
        </w:rPr>
      </w:pPr>
    </w:p>
    <w:p w14:paraId="4DFE6C72" w14:textId="77777777" w:rsidR="00085EAC" w:rsidRDefault="00085EAC" w:rsidP="005B641B">
      <w:pPr>
        <w:widowControl w:val="0"/>
        <w:autoSpaceDE w:val="0"/>
        <w:autoSpaceDN w:val="0"/>
        <w:adjustRightInd w:val="0"/>
        <w:spacing w:after="240"/>
        <w:jc w:val="both"/>
        <w:rPr>
          <w:rFonts w:cs="Arial"/>
        </w:rPr>
      </w:pPr>
    </w:p>
    <w:p w14:paraId="34933D63"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78D5D10"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A6CEF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D5F9974"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78EACF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5544A039"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537FB89"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7FB9B6F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2AD403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1B84EB53"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DEE5C1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C3991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D45D1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540450D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E09E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08E074D"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5016F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8E643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CA855D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0F1351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141A3C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BACFF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0C828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9C73EB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BBD1E5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C4957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E340D2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DE8D2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7DBA4D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4F783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1B6FE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7A7309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3FF6DA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791DF82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C6E11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03F61C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4546D2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ECC0F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6B2D1D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28FB5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D1665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A97882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4E3C9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E776E8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D9279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32034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4FC2D7"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F2848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3D3016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E924B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ADE19A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B3A3B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9D5C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05EB039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F576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FA42B56"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58A46C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C9FB7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3C1B0EB"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8ACFE4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6DB9A97"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1F3C9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6165199E"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7E94A06E"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08C49198"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51C66BCB"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44223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706057F1"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B1AA8A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FACCBA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8122AE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0543C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105EB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B156AB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20F7C5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0D63D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BCF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135962D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731F1A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EE7EF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720E63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2C03E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179E89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0B635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9A6CBC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38956FF"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6DB2DE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17C083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54E3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75E6C7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EE480D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F3063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E66B8D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5CEBE1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836763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73E65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58CB5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A7E58E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C25262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26274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C62356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EA8BD2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A6DC6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51F4B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8B542A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BEF43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DAAC44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B37E45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A3F47E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A41C3C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CCAD84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CD742C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929AE39"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0DAA0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241FFA1"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7FFE02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E477A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72BF46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C4AF265" w14:textId="77777777" w:rsidR="003E4DF5" w:rsidRPr="003E4DF5" w:rsidRDefault="003E4DF5" w:rsidP="003E4DF5">
            <w:pPr>
              <w:pStyle w:val="Normal1"/>
              <w:widowControl w:val="0"/>
              <w:rPr>
                <w:rFonts w:asciiTheme="minorHAnsi" w:hAnsiTheme="minorHAnsi"/>
                <w:sz w:val="16"/>
                <w:szCs w:val="16"/>
              </w:rPr>
            </w:pPr>
          </w:p>
        </w:tc>
      </w:tr>
    </w:tbl>
    <w:p w14:paraId="18F8B5E8" w14:textId="77777777" w:rsidR="00C07E73" w:rsidRDefault="00C07E73" w:rsidP="005B641B">
      <w:pPr>
        <w:widowControl w:val="0"/>
        <w:autoSpaceDE w:val="0"/>
        <w:autoSpaceDN w:val="0"/>
        <w:adjustRightInd w:val="0"/>
        <w:spacing w:after="240"/>
        <w:jc w:val="both"/>
        <w:rPr>
          <w:rFonts w:cs="Arial"/>
        </w:rPr>
      </w:pPr>
    </w:p>
    <w:p w14:paraId="186746C5"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w:t>
      </w:r>
      <w:r w:rsidR="00C07E73">
        <w:rPr>
          <w:rFonts w:cs="Arial"/>
        </w:rPr>
        <w:lastRenderedPageBreak/>
        <w:t xml:space="preserve">research computer. </w:t>
      </w:r>
    </w:p>
    <w:p w14:paraId="4D12C3F7" w14:textId="77777777" w:rsidR="00A2246A" w:rsidRDefault="00A2246A" w:rsidP="00A2246A">
      <w:commentRangeStart w:id="0"/>
      <w:r>
        <w:t xml:space="preserve">Results </w:t>
      </w:r>
      <w:proofErr w:type="spellStart"/>
      <w:r>
        <w:t>Analsyis</w:t>
      </w:r>
      <w:proofErr w:type="spellEnd"/>
      <w:r>
        <w:t>:</w:t>
      </w:r>
    </w:p>
    <w:p w14:paraId="63F4B0BF" w14:textId="77777777" w:rsidR="00A2246A" w:rsidRDefault="00A2246A" w:rsidP="00A2246A">
      <w:r>
        <w:t xml:space="preserve">Discussion: </w:t>
      </w:r>
    </w:p>
    <w:p w14:paraId="3D2D7D4F" w14:textId="77777777" w:rsidR="00A2246A" w:rsidRPr="00A2246A" w:rsidRDefault="00A2246A" w:rsidP="00A2246A">
      <w:r>
        <w:t xml:space="preserve">Conclusion: </w:t>
      </w:r>
    </w:p>
    <w:commentRangeEnd w:id="0"/>
    <w:p w14:paraId="152D0516"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14:paraId="7B28D81B"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68F79012" w14:textId="77777777" w:rsidR="00A2246A" w:rsidRDefault="00A2246A" w:rsidP="00E176B0">
      <w:pPr>
        <w:pStyle w:val="Heading2"/>
        <w:rPr>
          <w:lang w:val="en-CA"/>
        </w:rPr>
      </w:pPr>
      <w:r w:rsidRPr="005B641B">
        <w:rPr>
          <w:lang w:val="en-CA"/>
        </w:rPr>
        <w:t>Literature</w:t>
      </w:r>
      <w:r>
        <w:rPr>
          <w:lang w:val="en-CA"/>
        </w:rPr>
        <w:t xml:space="preserve">: </w:t>
      </w:r>
    </w:p>
    <w:p w14:paraId="7C5F03F0"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30642C">
        <w:rPr>
          <w:rFonts w:cs="Times New Roman"/>
          <w:lang w:val="en-CA"/>
        </w:rPr>
        <w:fldChar w:fldCharType="begin" w:fldLock="1"/>
      </w:r>
      <w:r w:rsidR="008949B0">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[10]</w:t>
      </w:r>
      <w:r w:rsidR="0030642C">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642702A0"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30642C">
        <w:rPr>
          <w:rFonts w:cs="Times New Roman"/>
          <w:lang w:val="en-CA"/>
        </w:rPr>
        <w:fldChar w:fldCharType="begin" w:fldLock="1"/>
      </w:r>
      <w:r w:rsidR="008949B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"[11]"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[12]</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"[12]"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[13]</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"[13]"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[14]</w:t>
      </w:r>
      <w:r w:rsidR="0030642C">
        <w:rPr>
          <w:rFonts w:cs="Times New Roman"/>
          <w:lang w:val="en-CA"/>
        </w:rPr>
        <w:fldChar w:fldCharType="end"/>
      </w:r>
      <w:r>
        <w:rPr>
          <w:rFonts w:cs="Times New Roman"/>
          <w:lang w:val="en-CA"/>
        </w:rPr>
        <w:t>.</w:t>
      </w:r>
    </w:p>
    <w:p w14:paraId="479C9874"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5D917C4C" w14:textId="77777777" w:rsidR="00E176B0" w:rsidRDefault="00E176B0" w:rsidP="00E176B0">
      <w:pPr>
        <w:pStyle w:val="Heading2"/>
        <w:rPr>
          <w:lang w:val="en-CA"/>
        </w:rPr>
      </w:pPr>
      <w:r>
        <w:rPr>
          <w:lang w:val="en-CA"/>
        </w:rPr>
        <w:t xml:space="preserve">Method: </w:t>
      </w:r>
    </w:p>
    <w:p w14:paraId="315A4780" w14:textId="77777777" w:rsidR="00E176B0" w:rsidRPr="005B641B" w:rsidRDefault="00E176B0" w:rsidP="00E176B0">
      <w:pPr>
        <w:pStyle w:val="Heading3"/>
        <w:rPr>
          <w:lang w:val="en-CA"/>
        </w:rPr>
      </w:pPr>
      <w:r w:rsidRPr="005B641B">
        <w:rPr>
          <w:lang w:val="en-CA"/>
        </w:rPr>
        <w:t xml:space="preserve">Developing the Questionnaire: </w:t>
      </w:r>
    </w:p>
    <w:p w14:paraId="6F75D5CF" w14:textId="77777777" w:rsidR="00E176B0" w:rsidRDefault="00E176B0" w:rsidP="00E176B0">
      <w:pPr>
        <w:jc w:val="both"/>
        <w:rPr>
          <w:lang w:val="en-CA"/>
        </w:rPr>
      </w:pPr>
    </w:p>
    <w:p w14:paraId="16985E03" w14:textId="77777777" w:rsidR="00E176B0" w:rsidRDefault="00E176B0" w:rsidP="00E176B0">
      <w:pPr>
        <w:jc w:val="both"/>
        <w:rPr>
          <w:lang w:val="en-CA"/>
        </w:rPr>
      </w:pPr>
      <w:r>
        <w:rPr>
          <w:lang w:val="en-CA"/>
        </w:rPr>
        <w:lastRenderedPageBreak/>
        <w:t xml:space="preserve">The Canadian </w:t>
      </w:r>
      <w:proofErr w:type="spellStart"/>
      <w:r>
        <w:rPr>
          <w:lang w:val="en-CA"/>
        </w:rPr>
        <w:t>otologists</w:t>
      </w:r>
      <w:proofErr w:type="spellEnd"/>
      <w:r>
        <w:rPr>
          <w:lang w:val="en-CA"/>
        </w:rPr>
        <w:t>’ EES survey already reported on how many surgeons in Canada use TEES (11%),  what surgeries it is used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and what they find difficult about it (single-handed surgery, efficiency/operative time, technical difficulty, cost, managing bleeding. This questionnaire was intended to build on this one by evaluating the limitations of surgical tools. </w:t>
      </w:r>
    </w:p>
    <w:p w14:paraId="6E5B5DA6"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42248ADD"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14:paraId="0EF006F2"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14:paraId="29473068" w14:textId="77777777" w:rsidR="00E176B0" w:rsidRPr="005B641B" w:rsidRDefault="00E176B0" w:rsidP="00E176B0">
      <w:pPr>
        <w:rPr>
          <w:b/>
          <w:sz w:val="14"/>
          <w:lang w:val="en-CA"/>
        </w:rPr>
      </w:pPr>
      <w:r w:rsidRPr="005B641B">
        <w:rPr>
          <w:b/>
          <w:sz w:val="14"/>
          <w:lang w:val="en-CA"/>
        </w:rPr>
        <w:t>Endoscopic Ear Surgery Preliminary Questionnaire</w:t>
      </w:r>
    </w:p>
    <w:p w14:paraId="2B18CBFE"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71568A5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2005245D"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050BCA9"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34624DB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3A4BAF9C" w14:textId="77777777" w:rsidR="00E176B0" w:rsidRPr="005B641B" w:rsidRDefault="00E176B0" w:rsidP="00E176B0">
      <w:pPr>
        <w:pStyle w:val="ListParagraph"/>
        <w:numPr>
          <w:ilvl w:val="1"/>
          <w:numId w:val="10"/>
        </w:numPr>
        <w:rPr>
          <w:sz w:val="14"/>
          <w:lang w:val="en-CA"/>
        </w:rPr>
      </w:pPr>
      <w:r w:rsidRPr="005B641B">
        <w:rPr>
          <w:sz w:val="14"/>
          <w:lang w:val="en-CA"/>
        </w:rPr>
        <w:t xml:space="preserve">&gt;8 </w:t>
      </w:r>
    </w:p>
    <w:p w14:paraId="049CC4E6" w14:textId="77777777"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14:paraId="0D3A5B23"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12C70E4E"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797C8FD6"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3AA70C37"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58C5D0B"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64DA3846"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2ADC7FF"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14:paraId="7FDE510F"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14:paraId="0ED89AF9"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14:paraId="26BDF2F0"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601DA8AB"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6CDC8C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4163928"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14:paraId="439B990F"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14:paraId="434BB302" w14:textId="77777777" w:rsidR="00E176B0" w:rsidRPr="005B641B" w:rsidRDefault="00E176B0" w:rsidP="00E176B0">
      <w:pPr>
        <w:pStyle w:val="ListParagraph"/>
        <w:numPr>
          <w:ilvl w:val="1"/>
          <w:numId w:val="10"/>
        </w:numPr>
        <w:rPr>
          <w:sz w:val="14"/>
          <w:lang w:val="en-CA"/>
        </w:rPr>
      </w:pPr>
      <w:r w:rsidRPr="005B641B">
        <w:rPr>
          <w:sz w:val="14"/>
          <w:lang w:val="en-CA"/>
        </w:rPr>
        <w:t>Grace Medical IWGEES Set</w:t>
      </w:r>
    </w:p>
    <w:p w14:paraId="4A1F3668"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2A771617"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35972FD2"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04125F5D"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4FE11E9E"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0A607735"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31C9DDA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28485E3A"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7B53B0C2" w14:textId="77777777"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14:paraId="54B0EC9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2270A509"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67817BF"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5833CD2E"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565352E6"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55A01EB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AC63DAB"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14:paraId="2238D35E"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79117591"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2DD83343"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5A336748"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010E1C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155927AE"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1853F8F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68829D90"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75E39B9A"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37D555E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E4CB185"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lastRenderedPageBreak/>
        <w:t>It is unnecessary to reach within these recesses in EES </w:t>
      </w:r>
    </w:p>
    <w:p w14:paraId="2F42FCC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37E93B3C"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099242D1"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4B1A137B"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426A416E"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14:paraId="015CFA72"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6700A6F4"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1F11B9AF" w14:textId="77777777" w:rsidR="00E176B0" w:rsidRDefault="00E176B0" w:rsidP="00E176B0">
      <w:pPr>
        <w:jc w:val="both"/>
        <w:rPr>
          <w:lang w:val="en-CA"/>
        </w:rPr>
      </w:pPr>
    </w:p>
    <w:p w14:paraId="060D21C1"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40D49EE9"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37E13A85"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r>
        <w:rPr>
          <w:lang w:val="en-CA"/>
        </w:rPr>
        <w:t xml:space="preserve"> </w:t>
      </w:r>
      <w:r w:rsidR="0030642C">
        <w:rPr>
          <w:lang w:val="en-CA"/>
        </w:rPr>
        <w:fldChar w:fldCharType="begin" w:fldLock="1"/>
      </w:r>
      <w:r w:rsidR="008949B0">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30642C">
        <w:rPr>
          <w:lang w:val="en-CA"/>
        </w:rPr>
        <w:fldChar w:fldCharType="separate"/>
      </w:r>
      <w:r w:rsidR="008949B0" w:rsidRPr="008949B0">
        <w:rPr>
          <w:noProof/>
          <w:lang w:val="en-CA"/>
        </w:rPr>
        <w:t>[16]</w:t>
      </w:r>
      <w:r w:rsidR="0030642C">
        <w:rPr>
          <w:lang w:val="en-CA"/>
        </w:rPr>
        <w:fldChar w:fldCharType="end"/>
      </w:r>
      <w:r>
        <w:rPr>
          <w:lang w:val="en-CA"/>
        </w:rPr>
        <w:t xml:space="preserve"> – 10 describes what VAS and an LS are </w:t>
      </w:r>
    </w:p>
    <w:p w14:paraId="568ECD0B" w14:textId="77777777" w:rsidR="00E176B0" w:rsidRDefault="00085D10"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3F5CF8D6" w14:textId="77777777"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14:paraId="6CC2FB69" w14:textId="77777777" w:rsidR="00E176B0" w:rsidRDefault="00E176B0" w:rsidP="00E176B0">
      <w:pPr>
        <w:pStyle w:val="Normal1"/>
        <w:numPr>
          <w:ilvl w:val="3"/>
          <w:numId w:val="15"/>
        </w:numPr>
        <w:contextualSpacing/>
      </w:pPr>
      <w:r>
        <w:t xml:space="preserve">Hard to discriminate between the categories </w:t>
      </w:r>
    </w:p>
    <w:p w14:paraId="0F33EAE7" w14:textId="77777777"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14:paraId="55C747DB"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91C6F47" w14:textId="77777777" w:rsidR="00E176B0" w:rsidRPr="00400B77" w:rsidRDefault="00085D10"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32E5E503" w14:textId="77777777" w:rsidR="00E176B0" w:rsidRPr="00400B77" w:rsidRDefault="00085D10"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388F8559" w14:textId="77777777"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p>
    <w:p w14:paraId="74FB7854"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6E4415EA"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4509A553"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1E18299C"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200111F3" w14:textId="77777777"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14:paraId="641A6DAB"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14:paraId="64EE2384"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1ED57C76"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7F1477DB" w14:textId="77777777" w:rsidR="00A2246A" w:rsidRDefault="00A2246A" w:rsidP="00E176B0">
      <w:pPr>
        <w:widowControl w:val="0"/>
        <w:autoSpaceDE w:val="0"/>
        <w:autoSpaceDN w:val="0"/>
        <w:adjustRightInd w:val="0"/>
        <w:spacing w:after="240"/>
        <w:ind w:firstLine="0"/>
        <w:jc w:val="both"/>
        <w:rPr>
          <w:rFonts w:cs="Arial"/>
        </w:rPr>
      </w:pPr>
    </w:p>
    <w:p w14:paraId="4F470737"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72ECB027"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lastRenderedPageBreak/>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14:paraId="7D2ECCF0"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07790E4C"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4A263DDE" w14:textId="77777777"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23340F69" w14:textId="77777777" w:rsidR="002731D2" w:rsidRDefault="002731D2" w:rsidP="005B641B">
      <w:pPr>
        <w:widowControl w:val="0"/>
        <w:autoSpaceDE w:val="0"/>
        <w:autoSpaceDN w:val="0"/>
        <w:adjustRightInd w:val="0"/>
        <w:spacing w:after="240"/>
        <w:jc w:val="both"/>
        <w:rPr>
          <w:rFonts w:cs="Arial"/>
        </w:rPr>
      </w:pPr>
    </w:p>
    <w:p w14:paraId="1F3FF08F" w14:textId="5816CE60"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14:paraId="72FC6760" w14:textId="3CDC14B5" w:rsidR="002731D2" w:rsidRDefault="002731D2" w:rsidP="005B641B">
      <w:pPr>
        <w:widowControl w:val="0"/>
        <w:autoSpaceDE w:val="0"/>
        <w:autoSpaceDN w:val="0"/>
        <w:adjustRightInd w:val="0"/>
        <w:spacing w:after="240"/>
        <w:jc w:val="both"/>
        <w:rPr>
          <w:rFonts w:cs="Arial"/>
        </w:rPr>
      </w:pPr>
      <w:r>
        <w:rPr>
          <w:rFonts w:cs="Arial"/>
        </w:rPr>
        <w:t>Factor = groups varying by experience e.g. group 1 = &lt;5 years, group 2 = &gt;5 years, group 3 = &gt;15 years</w:t>
      </w:r>
    </w:p>
    <w:p w14:paraId="02320673" w14:textId="16C785A3"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14:paraId="75DF68E1" w14:textId="255C7E56" w:rsidR="002731D2" w:rsidRDefault="002731D2" w:rsidP="005B641B">
      <w:pPr>
        <w:widowControl w:val="0"/>
        <w:autoSpaceDE w:val="0"/>
        <w:autoSpaceDN w:val="0"/>
        <w:adjustRightInd w:val="0"/>
        <w:spacing w:after="240"/>
        <w:jc w:val="both"/>
        <w:rPr>
          <w:rFonts w:cs="Arial"/>
        </w:rPr>
      </w:pPr>
      <w:r>
        <w:rPr>
          <w:rFonts w:cs="Arial"/>
        </w:rPr>
        <w:t xml:space="preserve">Use </w:t>
      </w:r>
      <w:proofErr w:type="spellStart"/>
      <w:r>
        <w:rPr>
          <w:rFonts w:cs="Arial"/>
        </w:rPr>
        <w:t>Kruskall</w:t>
      </w:r>
      <w:proofErr w:type="spellEnd"/>
      <w:r>
        <w:rPr>
          <w:rFonts w:cs="Arial"/>
        </w:rPr>
        <w:t>-Wallis test (which is a nonparametric way of doing ANOVA – not as much power as ANOVA but data does not satisfy normality assumptions of ANOVA therefore do this test instead)</w:t>
      </w:r>
    </w:p>
    <w:p w14:paraId="06166CE7" w14:textId="77777777" w:rsidR="002731D2" w:rsidRDefault="002731D2" w:rsidP="005B641B">
      <w:pPr>
        <w:widowControl w:val="0"/>
        <w:autoSpaceDE w:val="0"/>
        <w:autoSpaceDN w:val="0"/>
        <w:adjustRightInd w:val="0"/>
        <w:spacing w:after="240"/>
        <w:jc w:val="both"/>
        <w:rPr>
          <w:rFonts w:cs="Arial"/>
        </w:rPr>
      </w:pPr>
    </w:p>
    <w:p w14:paraId="6867675B" w14:textId="52ED0810"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14:paraId="639F31D3" w14:textId="77777777"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14:paraId="6224A9BA" w14:textId="373D49D2" w:rsidR="002731D2" w:rsidRDefault="002731D2" w:rsidP="005B641B">
      <w:pPr>
        <w:widowControl w:val="0"/>
        <w:autoSpaceDE w:val="0"/>
        <w:autoSpaceDN w:val="0"/>
        <w:adjustRightInd w:val="0"/>
        <w:spacing w:after="240"/>
        <w:jc w:val="both"/>
        <w:rPr>
          <w:rFonts w:cs="Arial"/>
        </w:rPr>
      </w:pPr>
      <w:r>
        <w:rPr>
          <w:rFonts w:cs="Arial"/>
        </w:rPr>
        <w:t>1</w:t>
      </w:r>
      <w:r>
        <w:rPr>
          <w:rFonts w:cs="Arial"/>
        </w:rPr>
        <w:tab/>
      </w:r>
      <w:r>
        <w:rPr>
          <w:rFonts w:cs="Arial"/>
        </w:rPr>
        <w:tab/>
        <w:t>50</w:t>
      </w:r>
      <w:r>
        <w:rPr>
          <w:rFonts w:cs="Arial"/>
        </w:rPr>
        <w:tab/>
      </w:r>
      <w:r>
        <w:rPr>
          <w:rFonts w:cs="Arial"/>
        </w:rPr>
        <w:tab/>
        <w:t>69</w:t>
      </w:r>
      <w:r>
        <w:rPr>
          <w:rFonts w:cs="Arial"/>
        </w:rPr>
        <w:tab/>
        <w:t>30</w:t>
      </w:r>
      <w:r>
        <w:rPr>
          <w:rFonts w:cs="Arial"/>
        </w:rPr>
        <w:tab/>
      </w:r>
    </w:p>
    <w:p w14:paraId="3AF6F34D" w14:textId="4545CAEA" w:rsidR="002731D2" w:rsidRDefault="002731D2" w:rsidP="005B641B">
      <w:pPr>
        <w:widowControl w:val="0"/>
        <w:autoSpaceDE w:val="0"/>
        <w:autoSpaceDN w:val="0"/>
        <w:adjustRightInd w:val="0"/>
        <w:spacing w:after="240"/>
        <w:jc w:val="both"/>
        <w:rPr>
          <w:rFonts w:cs="Arial"/>
        </w:rPr>
      </w:pPr>
      <w:r>
        <w:rPr>
          <w:rFonts w:cs="Arial"/>
        </w:rPr>
        <w:t>3</w:t>
      </w:r>
      <w:r>
        <w:rPr>
          <w:rFonts w:cs="Arial"/>
        </w:rPr>
        <w:tab/>
      </w:r>
      <w:r>
        <w:rPr>
          <w:rFonts w:cs="Arial"/>
        </w:rPr>
        <w:tab/>
        <w:t>60</w:t>
      </w:r>
      <w:r>
        <w:rPr>
          <w:rFonts w:cs="Arial"/>
        </w:rPr>
        <w:tab/>
      </w:r>
      <w:r>
        <w:rPr>
          <w:rFonts w:cs="Arial"/>
        </w:rPr>
        <w:tab/>
        <w:t>78</w:t>
      </w:r>
      <w:r>
        <w:rPr>
          <w:rFonts w:cs="Arial"/>
        </w:rPr>
        <w:tab/>
        <w:t>90</w:t>
      </w:r>
      <w:r>
        <w:rPr>
          <w:rFonts w:cs="Arial"/>
        </w:rPr>
        <w:tab/>
      </w:r>
    </w:p>
    <w:p w14:paraId="797C1C75" w14:textId="1C1E167F" w:rsidR="002731D2" w:rsidRDefault="002731D2" w:rsidP="005B641B">
      <w:pPr>
        <w:widowControl w:val="0"/>
        <w:autoSpaceDE w:val="0"/>
        <w:autoSpaceDN w:val="0"/>
        <w:adjustRightInd w:val="0"/>
        <w:spacing w:after="240"/>
        <w:jc w:val="both"/>
        <w:rPr>
          <w:rFonts w:cs="Arial"/>
        </w:rPr>
      </w:pPr>
      <w:r>
        <w:rPr>
          <w:rFonts w:cs="Arial"/>
        </w:rPr>
        <w:t>2… etc.</w:t>
      </w:r>
    </w:p>
    <w:p w14:paraId="661443E9" w14:textId="77777777" w:rsidR="002731D2" w:rsidRDefault="002731D2" w:rsidP="005B641B">
      <w:pPr>
        <w:widowControl w:val="0"/>
        <w:autoSpaceDE w:val="0"/>
        <w:autoSpaceDN w:val="0"/>
        <w:adjustRightInd w:val="0"/>
        <w:spacing w:after="240"/>
        <w:jc w:val="both"/>
        <w:rPr>
          <w:rFonts w:cs="Arial"/>
        </w:rPr>
      </w:pPr>
      <w:r>
        <w:rPr>
          <w:rFonts w:cs="Arial"/>
        </w:rPr>
        <w:t>1</w:t>
      </w:r>
    </w:p>
    <w:p w14:paraId="239763DB" w14:textId="77777777" w:rsidR="002731D2" w:rsidRDefault="002731D2" w:rsidP="005B641B">
      <w:pPr>
        <w:widowControl w:val="0"/>
        <w:autoSpaceDE w:val="0"/>
        <w:autoSpaceDN w:val="0"/>
        <w:adjustRightInd w:val="0"/>
        <w:spacing w:after="240"/>
        <w:jc w:val="both"/>
        <w:rPr>
          <w:rFonts w:cs="Arial"/>
        </w:rPr>
      </w:pPr>
      <w:r>
        <w:rPr>
          <w:rFonts w:cs="Arial"/>
        </w:rPr>
        <w:lastRenderedPageBreak/>
        <w:t>1</w:t>
      </w:r>
    </w:p>
    <w:p w14:paraId="522915D5" w14:textId="77777777" w:rsidR="002731D2" w:rsidRDefault="002731D2" w:rsidP="005B641B">
      <w:pPr>
        <w:widowControl w:val="0"/>
        <w:autoSpaceDE w:val="0"/>
        <w:autoSpaceDN w:val="0"/>
        <w:adjustRightInd w:val="0"/>
        <w:spacing w:after="240"/>
        <w:jc w:val="both"/>
        <w:rPr>
          <w:rFonts w:cs="Arial"/>
        </w:rPr>
      </w:pPr>
      <w:r>
        <w:rPr>
          <w:rFonts w:cs="Arial"/>
        </w:rPr>
        <w:t>1</w:t>
      </w:r>
    </w:p>
    <w:p w14:paraId="2427FAB0" w14:textId="77777777" w:rsidR="002731D2" w:rsidRDefault="002731D2" w:rsidP="005B641B">
      <w:pPr>
        <w:widowControl w:val="0"/>
        <w:autoSpaceDE w:val="0"/>
        <w:autoSpaceDN w:val="0"/>
        <w:adjustRightInd w:val="0"/>
        <w:spacing w:after="240"/>
        <w:jc w:val="both"/>
        <w:rPr>
          <w:rFonts w:cs="Arial"/>
        </w:rPr>
      </w:pPr>
      <w:r>
        <w:rPr>
          <w:rFonts w:cs="Arial"/>
        </w:rPr>
        <w:t>3</w:t>
      </w:r>
    </w:p>
    <w:p w14:paraId="6213350D" w14:textId="2CC907CF" w:rsidR="002731D2" w:rsidRDefault="002731D2" w:rsidP="005B641B">
      <w:pPr>
        <w:widowControl w:val="0"/>
        <w:autoSpaceDE w:val="0"/>
        <w:autoSpaceDN w:val="0"/>
        <w:adjustRightInd w:val="0"/>
        <w:spacing w:after="240"/>
        <w:jc w:val="both"/>
        <w:rPr>
          <w:rFonts w:cs="Arial"/>
        </w:rPr>
      </w:pPr>
      <w:r>
        <w:rPr>
          <w:rFonts w:cs="Arial"/>
        </w:rPr>
        <w:t xml:space="preserve"> </w:t>
      </w:r>
    </w:p>
    <w:p w14:paraId="4951C0CF" w14:textId="409EC36D" w:rsidR="002731D2" w:rsidRDefault="002731D2" w:rsidP="005B641B">
      <w:pPr>
        <w:widowControl w:val="0"/>
        <w:autoSpaceDE w:val="0"/>
        <w:autoSpaceDN w:val="0"/>
        <w:adjustRightInd w:val="0"/>
        <w:spacing w:after="240"/>
        <w:jc w:val="both"/>
        <w:rPr>
          <w:rFonts w:cs="Arial"/>
        </w:rPr>
      </w:pPr>
      <w:r>
        <w:rPr>
          <w:rFonts w:cs="Arial"/>
        </w:rPr>
        <w:t xml:space="preserve">do the </w:t>
      </w:r>
      <w:proofErr w:type="spellStart"/>
      <w:r>
        <w:rPr>
          <w:rFonts w:cs="Arial"/>
        </w:rPr>
        <w:t>kruskall</w:t>
      </w:r>
      <w:proofErr w:type="spellEnd"/>
      <w:r>
        <w:rPr>
          <w:rFonts w:cs="Arial"/>
        </w:rPr>
        <w:t xml:space="preserve"> </w:t>
      </w:r>
      <w:proofErr w:type="spellStart"/>
      <w:r>
        <w:rPr>
          <w:rFonts w:cs="Arial"/>
        </w:rPr>
        <w:t>wallis</w:t>
      </w:r>
      <w:proofErr w:type="spellEnd"/>
      <w:r>
        <w:rPr>
          <w:rFonts w:cs="Arial"/>
        </w:rPr>
        <w:t xml:space="preserve"> test to see if there is a difference between the groups with experience</w:t>
      </w:r>
    </w:p>
    <w:p w14:paraId="614574CD" w14:textId="79E79B8C" w:rsidR="002731D2" w:rsidRDefault="002731D2" w:rsidP="005B641B">
      <w:pPr>
        <w:widowControl w:val="0"/>
        <w:autoSpaceDE w:val="0"/>
        <w:autoSpaceDN w:val="0"/>
        <w:adjustRightInd w:val="0"/>
        <w:spacing w:after="240"/>
        <w:jc w:val="both"/>
        <w:rPr>
          <w:rFonts w:cs="Arial"/>
        </w:rPr>
      </w:pPr>
      <w:r>
        <w:rPr>
          <w:rFonts w:cs="Arial"/>
        </w:rPr>
        <w:t xml:space="preserve">if there is a difference between groups, can do a </w:t>
      </w:r>
      <w:proofErr w:type="spellStart"/>
      <w:r>
        <w:rPr>
          <w:rFonts w:cs="Arial"/>
        </w:rPr>
        <w:t>whitney</w:t>
      </w:r>
      <w:proofErr w:type="spellEnd"/>
      <w:r>
        <w:rPr>
          <w:rFonts w:cs="Arial"/>
        </w:rPr>
        <w:t xml:space="preserve"> </w:t>
      </w:r>
      <w:proofErr w:type="spellStart"/>
      <w:r>
        <w:rPr>
          <w:rFonts w:cs="Arial"/>
        </w:rPr>
        <w:t>mann</w:t>
      </w:r>
      <w:proofErr w:type="spellEnd"/>
      <w:r>
        <w:rPr>
          <w:rFonts w:cs="Arial"/>
        </w:rPr>
        <w:t xml:space="preserve"> test if there is a statistical difference between groups</w:t>
      </w:r>
      <w:r w:rsidR="00E0333C">
        <w:rPr>
          <w:rFonts w:cs="Arial"/>
        </w:rPr>
        <w:t xml:space="preserve"> </w:t>
      </w:r>
    </w:p>
    <w:p w14:paraId="28055FF2" w14:textId="77777777" w:rsidR="002731D2" w:rsidRDefault="002731D2" w:rsidP="005B641B">
      <w:pPr>
        <w:widowControl w:val="0"/>
        <w:autoSpaceDE w:val="0"/>
        <w:autoSpaceDN w:val="0"/>
        <w:adjustRightInd w:val="0"/>
        <w:spacing w:after="240"/>
        <w:jc w:val="both"/>
        <w:rPr>
          <w:rFonts w:cs="Arial"/>
        </w:rPr>
      </w:pPr>
      <w:bookmarkStart w:id="1" w:name="_GoBack"/>
      <w:bookmarkEnd w:id="1"/>
    </w:p>
    <w:p w14:paraId="713E9390" w14:textId="1591A531" w:rsidR="002731D2" w:rsidRDefault="002731D2" w:rsidP="005B641B">
      <w:pPr>
        <w:widowControl w:val="0"/>
        <w:autoSpaceDE w:val="0"/>
        <w:autoSpaceDN w:val="0"/>
        <w:adjustRightInd w:val="0"/>
        <w:spacing w:after="240"/>
        <w:jc w:val="both"/>
        <w:rPr>
          <w:rFonts w:cs="Arial"/>
        </w:rPr>
      </w:pPr>
      <w:r>
        <w:rPr>
          <w:rFonts w:cs="Arial"/>
        </w:rPr>
        <w:t xml:space="preserve">use a frequency table to see what the consensus </w:t>
      </w:r>
      <w:r w:rsidR="00D76BF8">
        <w:rPr>
          <w:rFonts w:cs="Arial"/>
        </w:rPr>
        <w:t>is</w:t>
      </w:r>
    </w:p>
    <w:p w14:paraId="4BD716C7" w14:textId="03D0BCCC" w:rsidR="00D76BF8" w:rsidRDefault="00D76BF8" w:rsidP="005B641B">
      <w:pPr>
        <w:widowControl w:val="0"/>
        <w:autoSpaceDE w:val="0"/>
        <w:autoSpaceDN w:val="0"/>
        <w:adjustRightInd w:val="0"/>
        <w:spacing w:after="240"/>
        <w:jc w:val="both"/>
        <w:rPr>
          <w:rFonts w:cs="Arial"/>
        </w:rPr>
      </w:pPr>
      <w:r>
        <w:rPr>
          <w:rFonts w:cs="Arial"/>
        </w:rPr>
        <w:t>stacked bar chart</w:t>
      </w:r>
      <w:r w:rsidR="00E0333C">
        <w:rPr>
          <w:rFonts w:cs="Arial"/>
        </w:rPr>
        <w:t xml:space="preserve"> to present all the data</w:t>
      </w:r>
    </w:p>
    <w:p w14:paraId="533C7F50" w14:textId="77777777" w:rsidR="002731D2" w:rsidRPr="00460061" w:rsidRDefault="002731D2" w:rsidP="005B641B">
      <w:pPr>
        <w:widowControl w:val="0"/>
        <w:autoSpaceDE w:val="0"/>
        <w:autoSpaceDN w:val="0"/>
        <w:adjustRightInd w:val="0"/>
        <w:spacing w:after="240"/>
        <w:jc w:val="both"/>
        <w:rPr>
          <w:rFonts w:cs="Times"/>
        </w:rPr>
      </w:pPr>
    </w:p>
    <w:p w14:paraId="382059B2" w14:textId="77777777" w:rsidR="005B641B" w:rsidRPr="00FD3A3E" w:rsidRDefault="005B641B" w:rsidP="005B641B">
      <w:pPr>
        <w:jc w:val="both"/>
        <w:rPr>
          <w:lang w:val="en-CA"/>
        </w:rPr>
      </w:pPr>
    </w:p>
    <w:p w14:paraId="4C1DD8A8" w14:textId="77777777" w:rsidR="005B641B" w:rsidRPr="00FD3A3E" w:rsidRDefault="005B641B" w:rsidP="00491849">
      <w:pPr>
        <w:ind w:firstLine="0"/>
        <w:jc w:val="both"/>
        <w:rPr>
          <w:lang w:val="en-CA"/>
        </w:rPr>
      </w:pPr>
    </w:p>
    <w:p w14:paraId="300D7A73" w14:textId="77777777" w:rsidR="005B641B" w:rsidRDefault="005B641B" w:rsidP="005B32D2">
      <w:pPr>
        <w:pStyle w:val="ListParagraph"/>
        <w:jc w:val="both"/>
        <w:rPr>
          <w:b/>
          <w:lang w:val="en-CA"/>
        </w:rPr>
      </w:pPr>
    </w:p>
    <w:p w14:paraId="101F6A51" w14:textId="77777777" w:rsidR="0000007E" w:rsidRPr="0000007E" w:rsidRDefault="0000007E" w:rsidP="0000007E">
      <w:pPr>
        <w:jc w:val="both"/>
        <w:rPr>
          <w:lang w:val="en-CA"/>
        </w:rPr>
      </w:pPr>
    </w:p>
    <w:p w14:paraId="203E656B" w14:textId="77777777" w:rsidR="00CF7CE0" w:rsidRDefault="00CF7CE0" w:rsidP="00BE09C8">
      <w:pPr>
        <w:jc w:val="both"/>
        <w:rPr>
          <w:lang w:val="en-CA"/>
        </w:rPr>
      </w:pPr>
    </w:p>
    <w:p w14:paraId="14C571FF" w14:textId="77777777" w:rsidR="00CF7CE0" w:rsidRDefault="00CF7CE0" w:rsidP="00BE09C8">
      <w:pPr>
        <w:jc w:val="both"/>
        <w:rPr>
          <w:b/>
          <w:lang w:val="en-CA"/>
        </w:rPr>
      </w:pPr>
    </w:p>
    <w:p w14:paraId="75B2F8FC" w14:textId="77777777" w:rsidR="00CF7CE0" w:rsidRDefault="00CF7CE0" w:rsidP="00BE09C8">
      <w:pPr>
        <w:jc w:val="both"/>
        <w:rPr>
          <w:b/>
          <w:lang w:val="en-CA"/>
        </w:rPr>
      </w:pPr>
    </w:p>
    <w:p w14:paraId="6E06C1F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44C52FD"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4F186C2E"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76FB0A5B" w14:textId="77777777" w:rsidR="006A6E6F" w:rsidRPr="006A6E6F" w:rsidRDefault="006A6E6F" w:rsidP="00BE09C8">
      <w:pPr>
        <w:widowControl w:val="0"/>
        <w:autoSpaceDE w:val="0"/>
        <w:autoSpaceDN w:val="0"/>
        <w:adjustRightInd w:val="0"/>
        <w:spacing w:after="240"/>
        <w:jc w:val="both"/>
        <w:rPr>
          <w:rFonts w:cs="Times New Roman"/>
          <w:lang w:val="en-CA"/>
        </w:rPr>
      </w:pPr>
    </w:p>
    <w:p w14:paraId="17C9499C" w14:textId="77777777" w:rsidR="007610C8" w:rsidRPr="00FD3A3E" w:rsidRDefault="007610C8" w:rsidP="00BE09C8">
      <w:pPr>
        <w:jc w:val="both"/>
        <w:rPr>
          <w:lang w:val="en-CA"/>
        </w:rPr>
      </w:pPr>
    </w:p>
    <w:p w14:paraId="2019A597" w14:textId="77777777" w:rsidR="007610C8" w:rsidRPr="00FD3A3E" w:rsidRDefault="007610C8" w:rsidP="00BE09C8">
      <w:pPr>
        <w:jc w:val="both"/>
        <w:rPr>
          <w:lang w:val="en-CA"/>
        </w:rPr>
      </w:pPr>
      <w:r w:rsidRPr="001D44F6">
        <w:rPr>
          <w:b/>
          <w:lang w:val="en-CA"/>
        </w:rPr>
        <w:lastRenderedPageBreak/>
        <w:t>Abstract</w:t>
      </w:r>
      <w:r w:rsidRPr="00FD3A3E">
        <w:rPr>
          <w:lang w:val="en-CA"/>
        </w:rPr>
        <w:t>: background, methods, results, conclusions, keywords: questionnaire, survey, endoscopic ear surgery</w:t>
      </w:r>
    </w:p>
    <w:p w14:paraId="12F24303" w14:textId="77777777" w:rsidR="00444211" w:rsidRPr="00FD3A3E" w:rsidRDefault="00444211" w:rsidP="00BE09C8">
      <w:pPr>
        <w:jc w:val="both"/>
        <w:rPr>
          <w:lang w:val="en-CA"/>
        </w:rPr>
      </w:pPr>
    </w:p>
    <w:p w14:paraId="7301838F" w14:textId="77777777" w:rsidR="00444211" w:rsidRPr="00FD3A3E" w:rsidRDefault="00444211" w:rsidP="00BE09C8">
      <w:pPr>
        <w:jc w:val="both"/>
        <w:rPr>
          <w:lang w:val="en-CA"/>
        </w:rPr>
      </w:pPr>
    </w:p>
    <w:p w14:paraId="1C20EB01" w14:textId="77777777" w:rsidR="008949B0" w:rsidRPr="008949B0" w:rsidRDefault="0030642C">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35E4482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w:t>
      </w:r>
      <w:r w:rsidRPr="008949B0">
        <w:rPr>
          <w:rFonts w:ascii="Calibri" w:eastAsia="Times New Roman" w:hAnsi="Calibri" w:cs="Times New Roman"/>
          <w:noProof/>
        </w:rPr>
        <w:tab/>
        <w:t xml:space="preserve">M. S. Cohen, L. D. Landegger, E. D. Kozin, and D. J. Lee, “Pediatric endoscopic ear surgery in clinical practice: Lessons learned and early outcomes,” </w:t>
      </w:r>
      <w:r w:rsidRPr="008949B0">
        <w:rPr>
          <w:rFonts w:ascii="Calibri" w:eastAsia="Times New Roman" w:hAnsi="Calibri" w:cs="Times New Roman"/>
          <w:i/>
          <w:iCs/>
          <w:noProof/>
        </w:rPr>
        <w:t>Laryngoscope</w:t>
      </w:r>
      <w:r w:rsidRPr="008949B0">
        <w:rPr>
          <w:rFonts w:ascii="Calibri" w:eastAsia="Times New Roman" w:hAnsi="Calibri" w:cs="Times New Roman"/>
          <w:noProof/>
        </w:rPr>
        <w:t>, p. n/a–n/a, 2015.</w:t>
      </w:r>
    </w:p>
    <w:p w14:paraId="11AFC76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814A61"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[2]</w:t>
      </w:r>
      <w:r w:rsidRPr="008949B0">
        <w:rPr>
          <w:rFonts w:ascii="Calibri" w:eastAsia="Times New Roman" w:hAnsi="Calibri" w:cs="Times New Roman"/>
          <w:noProof/>
        </w:rPr>
        <w:tab/>
        <w:t xml:space="preserve">H. Kanona, J. S. Virk, and A. Owa, “Endoscopic ear surgery: A case series and first United Kingdom experience.,” </w:t>
      </w:r>
      <w:r w:rsidRPr="008949B0">
        <w:rPr>
          <w:rFonts w:ascii="Calibri" w:eastAsia="Times New Roman" w:hAnsi="Calibri" w:cs="Times New Roman"/>
          <w:i/>
          <w:iCs/>
          <w:noProof/>
        </w:rPr>
        <w:t>World J. Clin. cases</w:t>
      </w:r>
      <w:r w:rsidRPr="008949B0">
        <w:rPr>
          <w:rFonts w:ascii="Calibri" w:eastAsia="Times New Roman" w:hAnsi="Calibri" w:cs="Times New Roman"/>
          <w:noProof/>
        </w:rPr>
        <w:t>, vol. 3, no. 3, pp. 310–7, 2015.</w:t>
      </w:r>
    </w:p>
    <w:p w14:paraId="3E0F392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910D68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[3]</w:t>
      </w:r>
      <w:r w:rsidRPr="008949B0">
        <w:rPr>
          <w:rFonts w:ascii="Calibri" w:eastAsia="Times New Roman" w:hAnsi="Calibri" w:cs="Times New Roman"/>
          <w:noProof/>
        </w:rPr>
        <w:tab/>
        <w:t xml:space="preserve">M. Badr-el-dine, “I n s t r u m e n t a t i o n a n d Tec h n o l o g i e s in E ndos c o p i c Ear Su r ge ry,”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vol. 46, no. 2, pp. 211–225, 2013.</w:t>
      </w:r>
    </w:p>
    <w:p w14:paraId="4601C8F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D8764C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[4]</w:t>
      </w:r>
      <w:r w:rsidRPr="008949B0">
        <w:rPr>
          <w:rFonts w:ascii="Calibri" w:eastAsia="Times New Roman" w:hAnsi="Calibri" w:cs="Times New Roman"/>
          <w:noProof/>
        </w:rPr>
        <w:tab/>
        <w:t xml:space="preserve">T. Furukawa, T. Watanabe, T. Ito, T. Kubota, and S. Kakehata, “Feasibility and advantages of transcanal endoscopic myringoplasty.,”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35, no. 4, pp. e140–5, 2014.</w:t>
      </w:r>
    </w:p>
    <w:p w14:paraId="5E30FC5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4E0A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[5]</w:t>
      </w:r>
      <w:r w:rsidRPr="008949B0">
        <w:rPr>
          <w:rFonts w:ascii="Calibri" w:eastAsia="Times New Roman" w:hAnsi="Calibri" w:cs="Times New Roman"/>
          <w:noProof/>
        </w:rPr>
        <w:tab/>
        <w:t xml:space="preserve">M. L. Bennett, D. Zhang, R. F. Labadie, and J. H. Noble, “Comparison of Middle Ear Visualization With Endoscopy and Microscopy,”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37, pp. 362–366, 2016.</w:t>
      </w:r>
    </w:p>
    <w:p w14:paraId="04F1AEA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6C59D4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[6]</w:t>
      </w:r>
      <w:r w:rsidRPr="008949B0">
        <w:rPr>
          <w:rFonts w:ascii="Calibri" w:eastAsia="Times New Roman" w:hAnsi="Calibri" w:cs="Times New Roman"/>
          <w:noProof/>
        </w:rPr>
        <w:tab/>
        <w:t xml:space="preserve">T. Ito, T. Kubota, T. Watanabe, K. Futai, T. Furukawa, and S. Kakehata, “Transcanal endoscopic ear surgery for pediatric population with a narrow external auditory canal,” </w:t>
      </w:r>
      <w:r w:rsidRPr="008949B0">
        <w:rPr>
          <w:rFonts w:ascii="Calibri" w:eastAsia="Times New Roman" w:hAnsi="Calibri" w:cs="Times New Roman"/>
          <w:i/>
          <w:iCs/>
          <w:noProof/>
        </w:rPr>
        <w:t>Int. J. Pediatr. Otorhinolaryngol.</w:t>
      </w:r>
      <w:r w:rsidRPr="008949B0">
        <w:rPr>
          <w:rFonts w:ascii="Calibri" w:eastAsia="Times New Roman" w:hAnsi="Calibri" w:cs="Times New Roman"/>
          <w:noProof/>
        </w:rPr>
        <w:t>, vol. 79, no. 12, pp. 2265–2269, 2015.</w:t>
      </w:r>
    </w:p>
    <w:p w14:paraId="262F5C2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1EEEFD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[7]</w:t>
      </w:r>
      <w:r w:rsidRPr="008949B0">
        <w:rPr>
          <w:rFonts w:ascii="Calibri" w:eastAsia="Times New Roman" w:hAnsi="Calibri" w:cs="Times New Roman"/>
          <w:noProof/>
        </w:rPr>
        <w:tab/>
        <w:t>M. A. Rube, F. Fernandez-gutierrez, B. F. Cox, B. Holbrook, J. G. Houston, R. D. White, H. Mcleod, M. Fatahi, and A. Melzer, “HHS Public Access,” vol. 10, no. 5, pp. 637–650, 2015.</w:t>
      </w:r>
    </w:p>
    <w:p w14:paraId="46745410"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7C9C9C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[8]</w:t>
      </w:r>
      <w:r w:rsidRPr="008949B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134F7BBE"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B4AD9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[9]</w:t>
      </w:r>
      <w:r w:rsidRPr="008949B0">
        <w:rPr>
          <w:rFonts w:ascii="Calibri" w:eastAsia="Times New Roman" w:hAnsi="Calibri" w:cs="Times New Roman"/>
          <w:noProof/>
        </w:rPr>
        <w:tab/>
        <w:t xml:space="preserve"> a D. Racine and  a G. Davidson, “Use of a time-flow study to improve patient waiting times at an inner-city academic pediatric practice,” </w:t>
      </w:r>
      <w:r w:rsidRPr="008949B0">
        <w:rPr>
          <w:rFonts w:ascii="Calibri" w:eastAsia="Times New Roman" w:hAnsi="Calibri" w:cs="Times New Roman"/>
          <w:i/>
          <w:iCs/>
          <w:noProof/>
        </w:rPr>
        <w:t>Arch Pediatr Adolesc Med</w:t>
      </w:r>
      <w:r w:rsidRPr="008949B0">
        <w:rPr>
          <w:rFonts w:ascii="Calibri" w:eastAsia="Times New Roman" w:hAnsi="Calibri" w:cs="Times New Roman"/>
          <w:noProof/>
        </w:rPr>
        <w:t>, vol. 156, no. 12, pp. 1203–1209, 2002.</w:t>
      </w:r>
    </w:p>
    <w:p w14:paraId="318312C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C74CF97"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[10]</w:t>
      </w:r>
      <w:r w:rsidRPr="008949B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84C7F29"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29B747A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[11]</w:t>
      </w:r>
      <w:r w:rsidRPr="008949B0">
        <w:rPr>
          <w:rFonts w:ascii="Calibri" w:eastAsia="Times New Roman" w:hAnsi="Calibri" w:cs="Times New Roman"/>
          <w:noProof/>
        </w:rPr>
        <w:tab/>
        <w:t xml:space="preserve">M. Yong, T. Mijovic, and J. Lea, “Endoscopic ear surgery in Canada : a cross-sectional study,” </w:t>
      </w:r>
      <w:r w:rsidRPr="008949B0">
        <w:rPr>
          <w:rFonts w:ascii="Calibri" w:eastAsia="Times New Roman" w:hAnsi="Calibri" w:cs="Times New Roman"/>
          <w:i/>
          <w:iCs/>
          <w:noProof/>
        </w:rPr>
        <w:t xml:space="preserve">J. </w:t>
      </w:r>
      <w:r w:rsidRPr="008949B0">
        <w:rPr>
          <w:rFonts w:ascii="Calibri" w:eastAsia="Times New Roman" w:hAnsi="Calibri" w:cs="Times New Roman"/>
          <w:i/>
          <w:iCs/>
          <w:noProof/>
        </w:rPr>
        <w:lastRenderedPageBreak/>
        <w:t>Otolaryngol. - Head Neck Surg.</w:t>
      </w:r>
      <w:r w:rsidRPr="008949B0">
        <w:rPr>
          <w:rFonts w:ascii="Calibri" w:eastAsia="Times New Roman" w:hAnsi="Calibri" w:cs="Times New Roman"/>
          <w:noProof/>
        </w:rPr>
        <w:t>, pp. 1–8, 2016.</w:t>
      </w:r>
    </w:p>
    <w:p w14:paraId="7744799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FA0208"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[12]</w:t>
      </w:r>
      <w:r w:rsidRPr="008949B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8949B0">
        <w:rPr>
          <w:rFonts w:ascii="Calibri" w:eastAsia="Times New Roman" w:hAnsi="Calibri" w:cs="Times New Roman"/>
          <w:i/>
          <w:iCs/>
          <w:noProof/>
        </w:rPr>
        <w:t>Eur. J. Cancer</w:t>
      </w:r>
      <w:r w:rsidRPr="008949B0">
        <w:rPr>
          <w:rFonts w:ascii="Calibri" w:eastAsia="Times New Roman" w:hAnsi="Calibri" w:cs="Times New Roman"/>
          <w:noProof/>
        </w:rPr>
        <w:t>, vol. 57, pp. 68–77, Apr. 2016.</w:t>
      </w:r>
    </w:p>
    <w:p w14:paraId="4A2CB4C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301F7E19"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[13]</w:t>
      </w:r>
      <w:r w:rsidRPr="008949B0">
        <w:rPr>
          <w:rFonts w:ascii="Calibri" w:eastAsia="Times New Roman" w:hAnsi="Calibri" w:cs="Times New Roman"/>
          <w:noProof/>
        </w:rPr>
        <w:tab/>
        <w:t xml:space="preserve">S. Y. Kosyakov, Y. V Minavnina, and E. V Pchelenok, “[The consensus view of the treatment of the retraction pockets of the tympanic membrane].,” </w:t>
      </w:r>
      <w:r w:rsidRPr="008949B0">
        <w:rPr>
          <w:rFonts w:ascii="Calibri" w:eastAsia="Times New Roman" w:hAnsi="Calibri" w:cs="Times New Roman"/>
          <w:i/>
          <w:iCs/>
          <w:noProof/>
        </w:rPr>
        <w:t>Vestn. Otorinolaringol.</w:t>
      </w:r>
      <w:r w:rsidRPr="008949B0">
        <w:rPr>
          <w:rFonts w:ascii="Calibri" w:eastAsia="Times New Roman" w:hAnsi="Calibri" w:cs="Times New Roman"/>
          <w:noProof/>
        </w:rPr>
        <w:t>, vol. 81, no. 1, pp. 78–83, 2016.</w:t>
      </w:r>
    </w:p>
    <w:p w14:paraId="43355614"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03424AA"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[14]</w:t>
      </w:r>
      <w:r w:rsidRPr="008949B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8949B0">
        <w:rPr>
          <w:rFonts w:ascii="Calibri" w:eastAsia="Times New Roman" w:hAnsi="Calibri" w:cs="Times New Roman"/>
          <w:i/>
          <w:iCs/>
          <w:noProof/>
        </w:rPr>
        <w:t>JAMA</w:t>
      </w:r>
      <w:r w:rsidRPr="008949B0">
        <w:rPr>
          <w:rFonts w:ascii="Calibri" w:eastAsia="Times New Roman" w:hAnsi="Calibri" w:cs="Times New Roman"/>
          <w:noProof/>
        </w:rPr>
        <w:t>, vol. 315, no. 8, pp. 801–10, Feb. 2016.</w:t>
      </w:r>
    </w:p>
    <w:p w14:paraId="1B6F811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B77E5C"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[15]</w:t>
      </w:r>
      <w:r w:rsidRPr="008949B0">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949B0">
        <w:rPr>
          <w:rFonts w:ascii="Calibri" w:eastAsia="Times New Roman" w:hAnsi="Calibri" w:cs="Times New Roman"/>
          <w:i/>
          <w:iCs/>
          <w:noProof/>
        </w:rPr>
        <w:t>EMA - Emerg. Med. Australas.</w:t>
      </w:r>
      <w:r w:rsidRPr="008949B0">
        <w:rPr>
          <w:rFonts w:ascii="Calibri" w:eastAsia="Times New Roman" w:hAnsi="Calibri" w:cs="Times New Roman"/>
          <w:noProof/>
        </w:rPr>
        <w:t>, vol. 23, no. 1, pp. 68–75, 2011.</w:t>
      </w:r>
    </w:p>
    <w:p w14:paraId="5D775BB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705B86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[16]</w:t>
      </w:r>
      <w:r w:rsidRPr="008949B0">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949B0">
        <w:rPr>
          <w:rFonts w:ascii="Calibri" w:eastAsia="Times New Roman" w:hAnsi="Calibri" w:cs="Times New Roman"/>
          <w:i/>
          <w:iCs/>
          <w:noProof/>
        </w:rPr>
        <w:t>Heal. (San Fr.</w:t>
      </w:r>
      <w:r w:rsidRPr="008949B0">
        <w:rPr>
          <w:rFonts w:ascii="Calibri" w:eastAsia="Times New Roman" w:hAnsi="Calibri" w:cs="Times New Roman"/>
          <w:noProof/>
        </w:rPr>
        <w:t>, vol. 41, no. 1, pp. 99–106, 2009.</w:t>
      </w:r>
    </w:p>
    <w:p w14:paraId="4180CB4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502ED3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[17]</w:t>
      </w:r>
      <w:r w:rsidRPr="008949B0">
        <w:rPr>
          <w:rFonts w:ascii="Calibri" w:eastAsia="Times New Roman" w:hAnsi="Calibri" w:cs="Times New Roman"/>
          <w:noProof/>
        </w:rPr>
        <w:tab/>
        <w:t xml:space="preserve">A. L. James, “E n d o s c o p i c Mi d d l e E a r S u r g e r y in C h i l d ren,”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no. November, 2012.</w:t>
      </w:r>
    </w:p>
    <w:p w14:paraId="5C52ED9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4724DF7" w14:textId="77777777" w:rsidR="008949B0" w:rsidRPr="008949B0" w:rsidRDefault="008949B0">
      <w:pPr>
        <w:widowControl w:val="0"/>
        <w:autoSpaceDE w:val="0"/>
        <w:autoSpaceDN w:val="0"/>
        <w:adjustRightInd w:val="0"/>
        <w:ind w:left="640" w:hanging="640"/>
        <w:rPr>
          <w:rFonts w:ascii="Calibri" w:hAnsi="Calibri"/>
          <w:noProof/>
        </w:rPr>
      </w:pPr>
      <w:r w:rsidRPr="008949B0">
        <w:rPr>
          <w:rFonts w:ascii="Calibri" w:eastAsia="Times New Roman" w:hAnsi="Calibri" w:cs="Times New Roman"/>
          <w:noProof/>
        </w:rPr>
        <w:t>[18]</w:t>
      </w:r>
      <w:r w:rsidRPr="008949B0">
        <w:rPr>
          <w:rFonts w:ascii="Calibri" w:eastAsia="Times New Roman" w:hAnsi="Calibri" w:cs="Times New Roman"/>
          <w:noProof/>
        </w:rPr>
        <w:tab/>
        <w:t>A. L. James, B. C. Papsin, and B. C. Papsin, “-- Head and Neck Surgery,” no. September, 2012.</w:t>
      </w:r>
    </w:p>
    <w:p w14:paraId="6025E3D5" w14:textId="77777777" w:rsidR="00765F73" w:rsidRDefault="0030642C" w:rsidP="008949B0">
      <w:pPr>
        <w:widowControl w:val="0"/>
        <w:autoSpaceDE w:val="0"/>
        <w:autoSpaceDN w:val="0"/>
        <w:adjustRightInd w:val="0"/>
        <w:spacing w:after="140"/>
        <w:ind w:left="640" w:hanging="640"/>
        <w:rPr>
          <w:lang w:val="en-CA"/>
        </w:rPr>
      </w:pPr>
      <w:r w:rsidRPr="00FD3A3E">
        <w:rPr>
          <w:lang w:val="en-CA"/>
        </w:rPr>
        <w:fldChar w:fldCharType="end"/>
      </w:r>
    </w:p>
    <w:p w14:paraId="28A239D2"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"[17]", "plainTextFormattedCitation" : "[17]", "previouslyFormattedCitation" : "[16]"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[17]</w:t>
      </w:r>
      <w:r w:rsidR="0030642C" w:rsidRPr="00FD3A3E">
        <w:rPr>
          <w:rFonts w:cs="Times New Roman"/>
          <w:lang w:val="en-CA"/>
        </w:rPr>
        <w:fldChar w:fldCharType="end"/>
      </w:r>
    </w:p>
    <w:p w14:paraId="7291062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40A5F05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14:paraId="3902224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21E9F47B"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2754E1BC"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7E64B4F9"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lastRenderedPageBreak/>
        <w:t>Adult size and size of middle ear and tympanic membrane are approximately similar, so tools of the same size can be used for both types of surgery</w:t>
      </w:r>
    </w:p>
    <w:p w14:paraId="787F9FD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14:paraId="53236D18"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[18]</w:t>
      </w:r>
      <w:r w:rsidR="0030642C" w:rsidRPr="00FD3A3E">
        <w:rPr>
          <w:rFonts w:cs="Times New Roman"/>
          <w:lang w:val="en-CA"/>
        </w:rPr>
        <w:fldChar w:fldCharType="end"/>
      </w:r>
    </w:p>
    <w:p w14:paraId="111D0CE9"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1-11T16:05:00Z" w:initials="AS">
    <w:p w14:paraId="06AA0A0F"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CC312" w14:textId="77777777" w:rsidR="00085D10" w:rsidRDefault="00085D10" w:rsidP="00E71D6E">
      <w:r>
        <w:separator/>
      </w:r>
    </w:p>
  </w:endnote>
  <w:endnote w:type="continuationSeparator" w:id="0">
    <w:p w14:paraId="33B75E62" w14:textId="77777777" w:rsidR="00085D10" w:rsidRDefault="00085D10"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78276" w14:textId="77777777" w:rsidR="00085D10" w:rsidRDefault="00085D10" w:rsidP="00E71D6E">
      <w:r>
        <w:separator/>
      </w:r>
    </w:p>
  </w:footnote>
  <w:footnote w:type="continuationSeparator" w:id="0">
    <w:p w14:paraId="651ACCF6" w14:textId="77777777" w:rsidR="00085D10" w:rsidRDefault="00085D10"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7"/>
  </w:num>
  <w:num w:numId="5">
    <w:abstractNumId w:val="12"/>
  </w:num>
  <w:num w:numId="6">
    <w:abstractNumId w:val="21"/>
  </w:num>
  <w:num w:numId="7">
    <w:abstractNumId w:val="5"/>
  </w:num>
  <w:num w:numId="8">
    <w:abstractNumId w:val="18"/>
  </w:num>
  <w:num w:numId="9">
    <w:abstractNumId w:val="4"/>
  </w:num>
  <w:num w:numId="10">
    <w:abstractNumId w:val="9"/>
  </w:num>
  <w:num w:numId="11">
    <w:abstractNumId w:val="19"/>
  </w:num>
  <w:num w:numId="12">
    <w:abstractNumId w:val="17"/>
  </w:num>
  <w:num w:numId="13">
    <w:abstractNumId w:val="13"/>
  </w:num>
  <w:num w:numId="14">
    <w:abstractNumId w:val="3"/>
  </w:num>
  <w:num w:numId="15">
    <w:abstractNumId w:val="0"/>
  </w:num>
  <w:num w:numId="16">
    <w:abstractNumId w:val="14"/>
  </w:num>
  <w:num w:numId="17">
    <w:abstractNumId w:val="2"/>
  </w:num>
  <w:num w:numId="18">
    <w:abstractNumId w:val="8"/>
  </w:num>
  <w:num w:numId="19">
    <w:abstractNumId w:val="10"/>
  </w:num>
  <w:num w:numId="20">
    <w:abstractNumId w:val="16"/>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85D10"/>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949B0"/>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C054B9"/>
    <w:rsid w:val="00C07E73"/>
    <w:rsid w:val="00C61AFB"/>
    <w:rsid w:val="00CA6971"/>
    <w:rsid w:val="00CB1821"/>
    <w:rsid w:val="00CB6EF7"/>
    <w:rsid w:val="00CF7CE0"/>
    <w:rsid w:val="00D016B6"/>
    <w:rsid w:val="00D25401"/>
    <w:rsid w:val="00D328A1"/>
    <w:rsid w:val="00D52B15"/>
    <w:rsid w:val="00D76BF8"/>
    <w:rsid w:val="00DA345D"/>
    <w:rsid w:val="00DA6183"/>
    <w:rsid w:val="00DA788E"/>
    <w:rsid w:val="00DD3675"/>
    <w:rsid w:val="00E0333C"/>
    <w:rsid w:val="00E13A27"/>
    <w:rsid w:val="00E176B0"/>
    <w:rsid w:val="00E24AA2"/>
    <w:rsid w:val="00E417C3"/>
    <w:rsid w:val="00E556C7"/>
    <w:rsid w:val="00E717B8"/>
    <w:rsid w:val="00E71D6E"/>
    <w:rsid w:val="00E73B82"/>
    <w:rsid w:val="00EE1BBE"/>
    <w:rsid w:val="00F43E32"/>
    <w:rsid w:val="00F61828"/>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8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8A980-E262-3449-8BD3-10AF262E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12</Pages>
  <Words>12150</Words>
  <Characters>69261</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48</cp:revision>
  <dcterms:created xsi:type="dcterms:W3CDTF">2016-09-26T15:13:00Z</dcterms:created>
  <dcterms:modified xsi:type="dcterms:W3CDTF">2017-02-15T21:07:00Z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