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3F7072" w14:textId="77777777" w:rsidR="00E556C7" w:rsidRPr="00E556C7" w:rsidRDefault="00CF7CE0" w:rsidP="00BE09C8">
      <w:pPr>
        <w:jc w:val="both"/>
        <w:rPr>
          <w:sz w:val="32"/>
          <w:lang w:val="en-CA"/>
        </w:rPr>
      </w:pPr>
      <w:r>
        <w:rPr>
          <w:sz w:val="32"/>
          <w:lang w:val="en-CA"/>
        </w:rPr>
        <w:t xml:space="preserve">Chapter 1: </w:t>
      </w:r>
      <w:r w:rsidR="00E556C7" w:rsidRPr="00E556C7">
        <w:rPr>
          <w:sz w:val="32"/>
          <w:lang w:val="en-CA"/>
        </w:rPr>
        <w:t>Needs Analysis and Time Flow Study to Assess Endoscopic Ear Surgery</w:t>
      </w:r>
    </w:p>
    <w:p w14:paraId="2EC9A70C" w14:textId="77777777" w:rsidR="00C07E73" w:rsidRPr="00765F73" w:rsidRDefault="00C07E73" w:rsidP="00C07E73">
      <w:pPr>
        <w:pStyle w:val="Heading1"/>
        <w:rPr>
          <w:lang w:val="en-CA"/>
        </w:rPr>
      </w:pPr>
      <w:r w:rsidRPr="00C07E73">
        <w:t>Introduction</w:t>
      </w:r>
      <w:r w:rsidRPr="00FD3A3E">
        <w:rPr>
          <w:lang w:val="en-CA"/>
        </w:rPr>
        <w:t xml:space="preserve">: </w:t>
      </w:r>
    </w:p>
    <w:p w14:paraId="091A44D7" w14:textId="77777777" w:rsidR="00C07E73" w:rsidRPr="00BE09C8" w:rsidRDefault="00C07E73" w:rsidP="00C07E73">
      <w:pPr>
        <w:widowControl w:val="0"/>
        <w:autoSpaceDE w:val="0"/>
        <w:autoSpaceDN w:val="0"/>
        <w:adjustRightInd w:val="0"/>
        <w:spacing w:after="240"/>
        <w:jc w:val="both"/>
        <w:rPr>
          <w:rFonts w:cs="Times New Roman"/>
          <w:lang w:val="en-CA"/>
        </w:rPr>
      </w:pPr>
      <w:r w:rsidRPr="00FD3A3E">
        <w:rPr>
          <w:rFonts w:cs="Times New Roman"/>
          <w:lang w:val="en-CA"/>
        </w:rPr>
        <w:t>Middle ear surgery is traditionally performed through an external incision with visualisation of delicate anatomical structures using a microscope.  More recently, minimally invasive</w:t>
      </w:r>
      <w:r>
        <w:rPr>
          <w:rFonts w:cs="Times New Roman"/>
          <w:lang w:val="en-CA"/>
        </w:rPr>
        <w:t xml:space="preserve"> </w:t>
      </w:r>
      <w:r w:rsidRPr="00FD3A3E">
        <w:rPr>
          <w:rFonts w:cs="Times New Roman"/>
          <w:lang w:val="en-CA"/>
        </w:rPr>
        <w:t xml:space="preserve">ear surgical techniques have been developed using endoscopes to access the middle ear through the ear canal without an external incision </w:t>
      </w:r>
      <w:r w:rsidR="0030642C" w:rsidRPr="00FD3A3E">
        <w:rPr>
          <w:rFonts w:cs="Times New Roman"/>
          <w:lang w:val="en-CA"/>
        </w:rPr>
        <w:fldChar w:fldCharType="begin" w:fldLock="1"/>
      </w:r>
      <w:r w:rsidR="003C52DF">
        <w:rPr>
          <w:rFonts w:cs="Times New Roman"/>
          <w:lang w:val="en-CA"/>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30642C" w:rsidRPr="00FD3A3E">
        <w:rPr>
          <w:rFonts w:cs="Times New Roman"/>
          <w:lang w:val="en-CA"/>
        </w:rPr>
        <w:fldChar w:fldCharType="separate"/>
      </w:r>
      <w:r w:rsidR="005A5BDC" w:rsidRPr="005A5BDC">
        <w:rPr>
          <w:rFonts w:cs="Times New Roman"/>
          <w:noProof/>
          <w:lang w:val="en-CA"/>
        </w:rPr>
        <w:t>[1]</w:t>
      </w:r>
      <w:r w:rsidR="0030642C" w:rsidRPr="00FD3A3E">
        <w:rPr>
          <w:rFonts w:cs="Times New Roman"/>
          <w:lang w:val="en-CA"/>
        </w:rPr>
        <w:fldChar w:fldCharType="end"/>
      </w:r>
      <w:r w:rsidRPr="00FD3A3E">
        <w:rPr>
          <w:rFonts w:cs="Times New Roman"/>
          <w:lang w:val="en-CA"/>
        </w:rPr>
        <w:t xml:space="preserve">, </w:t>
      </w:r>
      <w:r w:rsidR="0030642C" w:rsidRPr="00FD3A3E">
        <w:rPr>
          <w:rFonts w:cs="Times New Roman"/>
          <w:lang w:val="en-CA"/>
        </w:rPr>
        <w:fldChar w:fldCharType="begin" w:fldLock="1"/>
      </w:r>
      <w:r w:rsidR="003C52DF">
        <w:rPr>
          <w:rFonts w:cs="Times New Roman"/>
          <w:lang w:val="en-CA"/>
        </w:rPr>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"[2]", "plainTextFormattedCitation" : "[2]", "previouslyFormattedCitation" : "[2]" }, "properties" : { "noteIndex" : 0 }, "schema" : "https://github.com/citation-style-language/schema/raw/master/csl-citation.json" }</w:instrText>
      </w:r>
      <w:r w:rsidR="0030642C" w:rsidRPr="00FD3A3E">
        <w:rPr>
          <w:rFonts w:cs="Times New Roman"/>
          <w:lang w:val="en-CA"/>
        </w:rPr>
        <w:fldChar w:fldCharType="separate"/>
      </w:r>
      <w:r w:rsidR="005A5BDC" w:rsidRPr="005A5BDC">
        <w:rPr>
          <w:rFonts w:cs="Times New Roman"/>
          <w:noProof/>
          <w:lang w:val="en-CA"/>
        </w:rPr>
        <w:t>[2]</w:t>
      </w:r>
      <w:r w:rsidR="0030642C" w:rsidRPr="00FD3A3E">
        <w:rPr>
          <w:rFonts w:cs="Times New Roman"/>
          <w:lang w:val="en-CA"/>
        </w:rPr>
        <w:fldChar w:fldCharType="end"/>
      </w:r>
      <w:r w:rsidRPr="00FD3A3E">
        <w:rPr>
          <w:rFonts w:cs="Times New Roman"/>
          <w:lang w:val="en-CA"/>
        </w:rPr>
        <w:t xml:space="preserve">. As with open microscope-guided surgery, this transcanal endoscopic ear surgery (TEES) technique, allows the surgeon to perform procedures such as ear drum reconstruction, skin growth removal and hearing bone repair </w:t>
      </w:r>
      <w:r w:rsidR="0030642C" w:rsidRPr="00FD3A3E">
        <w:rPr>
          <w:rFonts w:cs="Times New Roman"/>
          <w:lang w:val="en-CA"/>
        </w:rPr>
        <w:fldChar w:fldCharType="begin" w:fldLock="1"/>
      </w:r>
      <w:r w:rsidR="003C52DF">
        <w:rPr>
          <w:rFonts w:cs="Times New Roman"/>
          <w:lang w:val="en-CA"/>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30642C" w:rsidRPr="00FD3A3E">
        <w:rPr>
          <w:rFonts w:cs="Times New Roman"/>
          <w:lang w:val="en-CA"/>
        </w:rPr>
        <w:fldChar w:fldCharType="separate"/>
      </w:r>
      <w:r w:rsidR="005A5BDC" w:rsidRPr="005A5BDC">
        <w:rPr>
          <w:rFonts w:cs="Times New Roman"/>
          <w:noProof/>
          <w:lang w:val="en-CA"/>
        </w:rPr>
        <w:t>[1]</w:t>
      </w:r>
      <w:r w:rsidR="0030642C" w:rsidRPr="00FD3A3E">
        <w:rPr>
          <w:rFonts w:cs="Times New Roman"/>
          <w:lang w:val="en-CA"/>
        </w:rPr>
        <w:fldChar w:fldCharType="end"/>
      </w:r>
      <w:r w:rsidRPr="00FD3A3E">
        <w:rPr>
          <w:rFonts w:cs="Times New Roman"/>
          <w:lang w:val="en-CA"/>
        </w:rPr>
        <w:t>.</w:t>
      </w:r>
      <w:r>
        <w:rPr>
          <w:rFonts w:cs="Times New Roman"/>
          <w:lang w:val="en-CA"/>
        </w:rPr>
        <w:t xml:space="preserve"> </w:t>
      </w:r>
      <w:r w:rsidRPr="00FD3A3E">
        <w:rPr>
          <w:rFonts w:cs="Times New Roman"/>
          <w:lang w:val="en-CA"/>
        </w:rPr>
        <w:t xml:space="preserve">The advantages of endoscopic ear surgery are as follows: removing the need for an external incision and reducing post-operative morbidity (10), improved outcomes </w:t>
      </w:r>
      <w:r w:rsidRPr="00FD3A3E">
        <w:rPr>
          <w:rFonts w:cs="Arial"/>
        </w:rPr>
        <w:t xml:space="preserve">by enhancing minimally invasive access for disease eradication (2-4), more effective disease control as shown by the reduction of the rate of reoccurring skin growth (2, 3), and better hearing due to hearing bone preservation (10, 11). </w:t>
      </w:r>
    </w:p>
    <w:p w14:paraId="4FCF988A" w14:textId="77777777" w:rsidR="00C07E73" w:rsidRDefault="00C07E73" w:rsidP="005B641B">
      <w:pPr>
        <w:widowControl w:val="0"/>
        <w:autoSpaceDE w:val="0"/>
        <w:autoSpaceDN w:val="0"/>
        <w:adjustRightInd w:val="0"/>
        <w:spacing w:after="240"/>
        <w:jc w:val="both"/>
        <w:rPr>
          <w:rFonts w:cs="Arial"/>
        </w:rPr>
      </w:pPr>
      <w:r w:rsidRPr="00FD3A3E">
        <w:rPr>
          <w:rFonts w:cs="Arial"/>
        </w:rPr>
        <w:t xml:space="preserve">Despite the enthusiasm of some </w:t>
      </w:r>
      <w:r>
        <w:rPr>
          <w:rFonts w:cs="Arial"/>
        </w:rPr>
        <w:t>ear surgeons (</w:t>
      </w:r>
      <w:r w:rsidRPr="00FD3A3E">
        <w:rPr>
          <w:rFonts w:cs="Arial"/>
        </w:rPr>
        <w:t>otologists</w:t>
      </w:r>
      <w:r>
        <w:rPr>
          <w:rFonts w:cs="Arial"/>
        </w:rPr>
        <w:t>)</w:t>
      </w:r>
      <w:r w:rsidRPr="00FD3A3E">
        <w:rPr>
          <w:rFonts w:cs="Arial"/>
        </w:rPr>
        <w:t xml:space="preserve">, endoscopic ear surgery has not as yet been accepted by all practicing otologists (5).  </w:t>
      </w:r>
      <w:r w:rsidRPr="00FD3A3E">
        <w:rPr>
          <w:rFonts w:cs="Times New Roman"/>
          <w:lang w:val="en-CA"/>
        </w:rPr>
        <w:t xml:space="preserve">The principle challenge with TEES is that a one-handed surgical technique is required as the endoscope is held in the other hand.  Otologic instruments were developed for two-handed microscope-guided surgery so they are not </w:t>
      </w:r>
      <w:r>
        <w:rPr>
          <w:rFonts w:cs="Times New Roman"/>
          <w:lang w:val="en-CA"/>
        </w:rPr>
        <w:t>optimized for the</w:t>
      </w:r>
      <w:r w:rsidRPr="00FD3A3E">
        <w:rPr>
          <w:rFonts w:cs="Times New Roman"/>
          <w:lang w:val="en-CA"/>
        </w:rPr>
        <w:t xml:space="preserve"> TEES </w:t>
      </w:r>
      <w:r>
        <w:rPr>
          <w:rFonts w:cs="Times New Roman"/>
          <w:lang w:val="en-CA"/>
        </w:rPr>
        <w:t>environment</w:t>
      </w:r>
      <w:r w:rsidRPr="00FD3A3E">
        <w:rPr>
          <w:rFonts w:cs="Times New Roman"/>
          <w:lang w:val="en-CA"/>
        </w:rPr>
        <w:t xml:space="preserve"> </w:t>
      </w:r>
      <w:r w:rsidR="0030642C" w:rsidRPr="00FD3A3E">
        <w:rPr>
          <w:rFonts w:cs="Times New Roman"/>
          <w:lang w:val="en-CA"/>
        </w:rPr>
        <w:fldChar w:fldCharType="begin" w:fldLock="1"/>
      </w:r>
      <w:r w:rsidR="003C52DF">
        <w:rPr>
          <w:rFonts w:cs="Times New Roman"/>
          <w:lang w:val="en-CA"/>
        </w:rPr>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"[2]", "plainTextFormattedCitation" : "[2]", "previouslyFormattedCitation" : "[2]" }, "properties" : { "noteIndex" : 0 }, "schema" : "https://github.com/citation-style-language/schema/raw/master/csl-citation.json" }</w:instrText>
      </w:r>
      <w:r w:rsidR="0030642C" w:rsidRPr="00FD3A3E">
        <w:rPr>
          <w:rFonts w:cs="Times New Roman"/>
          <w:lang w:val="en-CA"/>
        </w:rPr>
        <w:fldChar w:fldCharType="separate"/>
      </w:r>
      <w:r w:rsidR="005A5BDC" w:rsidRPr="005A5BDC">
        <w:rPr>
          <w:rFonts w:cs="Times New Roman"/>
          <w:noProof/>
          <w:lang w:val="en-CA"/>
        </w:rPr>
        <w:t>[2]</w:t>
      </w:r>
      <w:r w:rsidR="0030642C" w:rsidRPr="00FD3A3E">
        <w:rPr>
          <w:rFonts w:cs="Times New Roman"/>
          <w:lang w:val="en-CA"/>
        </w:rPr>
        <w:fldChar w:fldCharType="end"/>
      </w:r>
      <w:r w:rsidRPr="00FD3A3E">
        <w:rPr>
          <w:rFonts w:cs="Times New Roman"/>
          <w:lang w:val="en-CA"/>
        </w:rPr>
        <w:t xml:space="preserve">. </w:t>
      </w:r>
      <w:r>
        <w:rPr>
          <w:rFonts w:cs="Arial"/>
        </w:rPr>
        <w:t>As</w:t>
      </w:r>
      <w:r w:rsidRPr="00FD3A3E">
        <w:rPr>
          <w:rFonts w:cs="Arial"/>
        </w:rPr>
        <w:t xml:space="preserve"> otologists have been trained </w:t>
      </w:r>
      <w:r>
        <w:rPr>
          <w:rFonts w:cs="Arial"/>
        </w:rPr>
        <w:t xml:space="preserve">and </w:t>
      </w:r>
      <w:r w:rsidRPr="00FD3A3E">
        <w:rPr>
          <w:rFonts w:cs="Arial"/>
        </w:rPr>
        <w:t xml:space="preserve">gained experience in </w:t>
      </w:r>
      <w:r>
        <w:rPr>
          <w:rFonts w:cs="Arial"/>
        </w:rPr>
        <w:t>microscope-guided ear surgery, they have developed</w:t>
      </w:r>
      <w:r w:rsidRPr="00FD3A3E">
        <w:rPr>
          <w:rFonts w:cs="Arial"/>
        </w:rPr>
        <w:t xml:space="preserve"> techniques with </w:t>
      </w:r>
      <w:r>
        <w:rPr>
          <w:rFonts w:cs="Arial"/>
        </w:rPr>
        <w:t>the according instruments and</w:t>
      </w:r>
      <w:r w:rsidRPr="00FD3A3E">
        <w:rPr>
          <w:rFonts w:cs="Arial"/>
        </w:rPr>
        <w:t xml:space="preserve"> have become accustomed to a two-handed surgical approach. By learning different surgical techniques and gaining experience with the endoscope, most surgeons find that they can complete more cases endoscopically (1, 7, 12). Nevertheless, the learning curve</w:t>
      </w:r>
      <w:r>
        <w:rPr>
          <w:rFonts w:cs="Arial"/>
        </w:rPr>
        <w:t xml:space="preserve"> can be slow and frustrating. In</w:t>
      </w:r>
      <w:r w:rsidRPr="00FD3A3E">
        <w:rPr>
          <w:rFonts w:cs="Arial"/>
        </w:rPr>
        <w:t xml:space="preserve"> the experience of the primary investigator (PI), technological advances in </w:t>
      </w:r>
      <w:r>
        <w:rPr>
          <w:rFonts w:cs="Arial"/>
        </w:rPr>
        <w:t xml:space="preserve">the design of the </w:t>
      </w:r>
      <w:r w:rsidRPr="00FD3A3E">
        <w:rPr>
          <w:rFonts w:cs="Arial"/>
        </w:rPr>
        <w:t>endoscope, camera and suction dissection instruments have lead to incremental stepwise jumps in this learning curve (13). Therefore, the potential for improving</w:t>
      </w:r>
      <w:r>
        <w:rPr>
          <w:rFonts w:cs="Arial"/>
        </w:rPr>
        <w:t xml:space="preserve"> the</w:t>
      </w:r>
      <w:r w:rsidRPr="00FD3A3E">
        <w:rPr>
          <w:rFonts w:cs="Arial"/>
        </w:rPr>
        <w:t xml:space="preserve"> TEES experience lies in instrumentation and training of surgeons.</w:t>
      </w:r>
    </w:p>
    <w:p w14:paraId="6A1BB4F5" w14:textId="77777777" w:rsidR="003C52DF" w:rsidRDefault="003C52DF" w:rsidP="005B641B">
      <w:pPr>
        <w:widowControl w:val="0"/>
        <w:autoSpaceDE w:val="0"/>
        <w:autoSpaceDN w:val="0"/>
        <w:adjustRightInd w:val="0"/>
        <w:spacing w:after="240"/>
        <w:jc w:val="both"/>
        <w:rPr>
          <w:rFonts w:cs="Arial"/>
        </w:rPr>
      </w:pPr>
      <w:r>
        <w:rPr>
          <w:rFonts w:cs="Arial"/>
        </w:rPr>
        <w:t xml:space="preserve">The following is from: </w:t>
      </w:r>
      <w:r w:rsidR="0030642C">
        <w:rPr>
          <w:rFonts w:cs="Arial"/>
        </w:rPr>
        <w:fldChar w:fldCharType="begin" w:fldLock="1"/>
      </w:r>
      <w:r w:rsidR="00BF4EA9">
        <w:rPr>
          <w:rFonts w:cs="Arial"/>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 n s t r u m e n t a t i o n a n d Tec h n o l o g i e s in E ndos c o p i c Ear Su r ge ry", "type" : "article-journal", "volume" : "46" }, "uris" : [ "http://www.mendeley.com/documents/?uuid=6118feae-57bc-4854-bd2a-2f31d06f81cc", "http://www.mendeley.com/documents/?uuid=1bc76e47-85e5-4f7b-86c0-0ca1271421c2" ] } ], "mendeley" : { "formattedCitation" : "[3]", "plainTextFormattedCitation" : "[3]", "previouslyFormattedCitation" : "[3]" }, "properties" : { "noteIndex" : 0 }, "schema" : "https://github.com/citation-style-language/schema/raw/master/csl-citation.json" }</w:instrText>
      </w:r>
      <w:r w:rsidR="0030642C">
        <w:rPr>
          <w:rFonts w:cs="Arial"/>
        </w:rPr>
        <w:fldChar w:fldCharType="separate"/>
      </w:r>
      <w:r w:rsidRPr="003C52DF">
        <w:rPr>
          <w:rFonts w:cs="Arial"/>
          <w:noProof/>
        </w:rPr>
        <w:t>[3]</w:t>
      </w:r>
      <w:r w:rsidR="0030642C">
        <w:rPr>
          <w:rFonts w:cs="Arial"/>
        </w:rPr>
        <w:fldChar w:fldCharType="end"/>
      </w:r>
    </w:p>
    <w:p w14:paraId="43F9F824" w14:textId="77777777" w:rsidR="003C52DF" w:rsidRDefault="003C52DF" w:rsidP="003C52DF">
      <w:pPr>
        <w:pStyle w:val="ListParagraph"/>
        <w:widowControl w:val="0"/>
        <w:numPr>
          <w:ilvl w:val="0"/>
          <w:numId w:val="19"/>
        </w:numPr>
        <w:autoSpaceDE w:val="0"/>
        <w:autoSpaceDN w:val="0"/>
        <w:adjustRightInd w:val="0"/>
        <w:spacing w:after="240"/>
        <w:jc w:val="both"/>
        <w:rPr>
          <w:rFonts w:cs="Arial"/>
        </w:rPr>
      </w:pPr>
      <w:r w:rsidRPr="003C52DF">
        <w:rPr>
          <w:rFonts w:cs="Arial"/>
        </w:rPr>
        <w:t xml:space="preserve">The endoscope provides direct vision of the target operating field and avoids the need of extra exposure and drilling, which is required while operating with the microscope. The microscope requires a wide portal for illuminating and visualizing the operative field. </w:t>
      </w:r>
    </w:p>
    <w:p w14:paraId="67B14E73" w14:textId="77777777" w:rsidR="003C52DF" w:rsidRDefault="003C52DF" w:rsidP="003C52DF">
      <w:pPr>
        <w:pStyle w:val="ListParagraph"/>
        <w:widowControl w:val="0"/>
        <w:numPr>
          <w:ilvl w:val="0"/>
          <w:numId w:val="19"/>
        </w:numPr>
        <w:autoSpaceDE w:val="0"/>
        <w:autoSpaceDN w:val="0"/>
        <w:adjustRightInd w:val="0"/>
        <w:spacing w:after="240"/>
        <w:jc w:val="both"/>
        <w:rPr>
          <w:rFonts w:cs="Arial"/>
        </w:rPr>
      </w:pPr>
      <w:r>
        <w:rPr>
          <w:rFonts w:cs="Arial"/>
        </w:rPr>
        <w:t>Cholesteatoma resection is considered complete after a final survey with the angled endoscope, which confirms that no cholesteatoma is left in the hidden recesses</w:t>
      </w:r>
    </w:p>
    <w:p w14:paraId="181B75A9" w14:textId="77777777" w:rsidR="003C52DF" w:rsidRDefault="003C52DF" w:rsidP="003C52DF">
      <w:pPr>
        <w:pStyle w:val="ListParagraph"/>
        <w:widowControl w:val="0"/>
        <w:numPr>
          <w:ilvl w:val="0"/>
          <w:numId w:val="19"/>
        </w:numPr>
        <w:autoSpaceDE w:val="0"/>
        <w:autoSpaceDN w:val="0"/>
        <w:adjustRightInd w:val="0"/>
        <w:spacing w:after="240"/>
        <w:jc w:val="both"/>
        <w:rPr>
          <w:rFonts w:cs="Arial"/>
        </w:rPr>
      </w:pPr>
      <w:r>
        <w:rPr>
          <w:rFonts w:cs="Arial"/>
        </w:rPr>
        <w:t>Require aspiration (suction) instruments to perform dissection and aspiration at the same time to overcome the single-handed operating constraint of TEES.</w:t>
      </w:r>
    </w:p>
    <w:p w14:paraId="707D8CBD" w14:textId="77777777" w:rsidR="003C52DF" w:rsidRDefault="003C52DF" w:rsidP="003C52DF">
      <w:pPr>
        <w:pStyle w:val="ListParagraph"/>
        <w:widowControl w:val="0"/>
        <w:numPr>
          <w:ilvl w:val="0"/>
          <w:numId w:val="19"/>
        </w:numPr>
        <w:autoSpaceDE w:val="0"/>
        <w:autoSpaceDN w:val="0"/>
        <w:adjustRightInd w:val="0"/>
        <w:spacing w:after="240"/>
        <w:jc w:val="both"/>
        <w:rPr>
          <w:rFonts w:cs="Arial"/>
        </w:rPr>
      </w:pPr>
      <w:r>
        <w:rPr>
          <w:rFonts w:cs="Arial"/>
        </w:rPr>
        <w:t xml:space="preserve">The following are benefits of the endoscope over the microscope: </w:t>
      </w:r>
    </w:p>
    <w:p w14:paraId="1B8D1F48" w14:textId="77777777"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Wider angle of view</w:t>
      </w:r>
    </w:p>
    <w:p w14:paraId="0FF5C0EF" w14:textId="77777777"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 xml:space="preserve">Better visualization of structures that are parallel to the axis of the microscope </w:t>
      </w:r>
    </w:p>
    <w:p w14:paraId="61F75801" w14:textId="77777777"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Visualization of deep recesses and hidden structures within the middle ear</w:t>
      </w:r>
    </w:p>
    <w:p w14:paraId="68F80DA1" w14:textId="77777777"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Ability to visualize beyond the shaft of the surgical instruments</w:t>
      </w:r>
    </w:p>
    <w:p w14:paraId="0F2FCF94" w14:textId="77777777" w:rsidR="003C52DF" w:rsidRDefault="003C52DF" w:rsidP="003C52DF">
      <w:pPr>
        <w:pStyle w:val="ListParagraph"/>
        <w:widowControl w:val="0"/>
        <w:numPr>
          <w:ilvl w:val="0"/>
          <w:numId w:val="19"/>
        </w:numPr>
        <w:autoSpaceDE w:val="0"/>
        <w:autoSpaceDN w:val="0"/>
        <w:adjustRightInd w:val="0"/>
        <w:spacing w:after="240"/>
        <w:jc w:val="both"/>
        <w:rPr>
          <w:rFonts w:cs="Arial"/>
        </w:rPr>
      </w:pPr>
      <w:r>
        <w:rPr>
          <w:rFonts w:cs="Arial"/>
        </w:rPr>
        <w:t xml:space="preserve">Disadvantages: </w:t>
      </w:r>
    </w:p>
    <w:p w14:paraId="383B1E6F" w14:textId="77777777"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Loss of depth perception and binocular vision</w:t>
      </w:r>
    </w:p>
    <w:p w14:paraId="4F0B4E9B" w14:textId="77777777"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One-handed surgical technique required</w:t>
      </w:r>
    </w:p>
    <w:p w14:paraId="7FD378AE" w14:textId="77777777"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lastRenderedPageBreak/>
        <w:t>Need bloodless field and need to maintain attention to hemostasis</w:t>
      </w:r>
    </w:p>
    <w:p w14:paraId="6EC9AC63" w14:textId="77777777"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Fogging and smearing of endoscope tip</w:t>
      </w:r>
    </w:p>
    <w:p w14:paraId="49E73180" w14:textId="77777777"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 xml:space="preserve">Reliable physician training </w:t>
      </w:r>
    </w:p>
    <w:p w14:paraId="4562C5C1" w14:textId="77777777"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Cost of equipment</w:t>
      </w:r>
    </w:p>
    <w:p w14:paraId="7949572D" w14:textId="77777777" w:rsidR="00EE1BBE" w:rsidRDefault="00EE1BBE" w:rsidP="00EE1BBE">
      <w:pPr>
        <w:pStyle w:val="ListParagraph"/>
        <w:widowControl w:val="0"/>
        <w:numPr>
          <w:ilvl w:val="0"/>
          <w:numId w:val="19"/>
        </w:numPr>
        <w:autoSpaceDE w:val="0"/>
        <w:autoSpaceDN w:val="0"/>
        <w:adjustRightInd w:val="0"/>
        <w:spacing w:after="240"/>
        <w:jc w:val="both"/>
        <w:rPr>
          <w:rFonts w:cs="Arial"/>
        </w:rPr>
      </w:pPr>
      <w:r>
        <w:rPr>
          <w:rFonts w:cs="Arial"/>
        </w:rPr>
        <w:t xml:space="preserve">The needs of TEES are different from traditional microscopic surgery where you need to drill bone (mastoid) to access the surgical field. Thus many microscopic surgery instruments are meant to cut bone and </w:t>
      </w:r>
    </w:p>
    <w:p w14:paraId="0DA23FEE" w14:textId="77777777" w:rsidR="00EE1BBE" w:rsidRDefault="00EE1BBE" w:rsidP="00EE1BBE">
      <w:pPr>
        <w:pStyle w:val="ListParagraph"/>
        <w:widowControl w:val="0"/>
        <w:numPr>
          <w:ilvl w:val="0"/>
          <w:numId w:val="19"/>
        </w:numPr>
        <w:autoSpaceDE w:val="0"/>
        <w:autoSpaceDN w:val="0"/>
        <w:adjustRightInd w:val="0"/>
        <w:spacing w:after="240"/>
        <w:jc w:val="both"/>
        <w:rPr>
          <w:rFonts w:cs="Arial"/>
        </w:rPr>
      </w:pPr>
      <w:r>
        <w:rPr>
          <w:rFonts w:cs="Arial"/>
        </w:rPr>
        <w:t>According to the authors, incorporating suction inside the shaft of the tools is very beneficial because it helps the single-handed surgeon control bleeding, while cutting, dissecting or manipulating tissues while holding the endoscope with the other hand</w:t>
      </w:r>
    </w:p>
    <w:p w14:paraId="247B3433" w14:textId="77777777" w:rsidR="00EE1BBE" w:rsidRPr="003C52DF" w:rsidRDefault="00EE1BBE" w:rsidP="00EE1BBE">
      <w:pPr>
        <w:pStyle w:val="ListParagraph"/>
        <w:widowControl w:val="0"/>
        <w:numPr>
          <w:ilvl w:val="0"/>
          <w:numId w:val="19"/>
        </w:numPr>
        <w:autoSpaceDE w:val="0"/>
        <w:autoSpaceDN w:val="0"/>
        <w:adjustRightInd w:val="0"/>
        <w:spacing w:after="240"/>
        <w:jc w:val="both"/>
        <w:rPr>
          <w:rFonts w:cs="Arial"/>
        </w:rPr>
      </w:pPr>
      <w:r>
        <w:rPr>
          <w:rFonts w:cs="Arial"/>
        </w:rPr>
        <w:t xml:space="preserve">The indications for exclusive TEES are growing and this paper calls for a push toward developing more instruments that can work within the viewing range of the 30 and 45 deg. Endoscopes </w:t>
      </w:r>
    </w:p>
    <w:p w14:paraId="258E5ED9" w14:textId="77777777" w:rsidR="003C52DF" w:rsidRDefault="000A0030" w:rsidP="005B641B">
      <w:pPr>
        <w:widowControl w:val="0"/>
        <w:autoSpaceDE w:val="0"/>
        <w:autoSpaceDN w:val="0"/>
        <w:adjustRightInd w:val="0"/>
        <w:spacing w:after="240"/>
        <w:jc w:val="both"/>
        <w:rPr>
          <w:rFonts w:cs="Arial"/>
        </w:rPr>
      </w:pPr>
      <w:r>
        <w:rPr>
          <w:rFonts w:cs="Arial"/>
        </w:rPr>
        <w:t xml:space="preserve">“Feasibility and advantages of transcanal endoscopic myringoplasty”: </w:t>
      </w:r>
      <w:r w:rsidR="00BF4EA9">
        <w:rPr>
          <w:rFonts w:cs="Arial"/>
        </w:rPr>
        <w:fldChar w:fldCharType="begin" w:fldLock="1"/>
      </w:r>
      <w:r w:rsidR="00E717B8">
        <w:rPr>
          <w:rFonts w:cs="Arial"/>
        </w:rPr>
        <w:instrText>ADDIN CSL_CITATION { "citationItems" : [ { "id" : "ITEM-1", "itemData" : { "DOI" : "10.1097/MAO.0000000000000298", "ISSN" : "1537-4505", "PMID" : "24622030", "abstract" : "OBJECTIVE: When performing transcanal myringoplasty under a microscope, the total circumference of the perforation can be difficult to confirm in patients where the external ear canal is narrow and/or protruded. In such patients, a retroauricular incision approach is usually used. However, we have developed a transcanal endoscopic myringoplasty procedure, and the microscopic and endoscopic views are compared herein for the first time. The feasibility and advantages of transcanal endoscopic myringoplasty were examined. STUDY DESIGN: A prospective case series. SETTING: Tertiary referral center. PATIENTS: Transcanal endoscopic myringoplasty was performed on 25 ears in 21 patients with chronic otitis media between September 2011 and December 2012. INTERVENTION: Microscopic and endoscopic views were compared for each patient. The 2 fields of views were both recorded and evaluated to determine the advantages and disadvantages of microscopes and endoscopes. Myringoplasty was performed using an endoscopic technique while comparing views as necessary. RESULTS: Endoscopic views revealed the entire tympanic membrane in a single field with clear visualization of the perforation edges even when the ear canal was curved. This clear visualization facilitated reliable refreshing of the perforation edges and grafting. The anterior edge of the perforation was not visible under microscopy in 5 of 25 ears. Under an endoscopic wide view, the tympanic cavity was observable through the perforation, and the orifice of the tube, ossicular chain, and tympanic isthmus were visible especially with large perforations. Transcanal endoscopic myringoplasty was successfully performed with a simple underlay technique or with an intracanal incision in cases of marginal perforation. CONCLUSION: Comparison of microscopic and endoscopic views revealed superior visualization and operability of the endoscopic approach as opposed to transcanal simple underlay myringoplasty. Transcanal endoscopic myringoplasty does not require surgical exposure such as a retroauricular skin incision to get an anterior view. Our results demonstrated that transcanal endoscopic myringoplasty can be performed, regardless of the perforation size and the narrowness and/or protrusion of external ear canal.", "author" : [ { "dropping-particle" : "", "family" : "Furukawa", "given" : "Takatoshi", "non-dropping-particle" : "", "parse-names" : false, "suffix" : "" }, { "dropping-particle" : "", "family" : "Watanabe", "given" : "Tomoo", "non-dropping-particle" : "", "parse-names" : false, "suffix" : "" }, { "dropping-particle" : "", "family" : "Ito", "given" : "Tsukasa", "non-dropping-particle" : "", "parse-names" : false, "suffix" : "" }, { "dropping-particle" : "", "family" : "Kubota", "given" : "Toshinori", "non-dropping-particle" : "", "parse-names" : false, "suffix" : "" }, { "dropping-particle" : "", "family" : "Kakehata", "given" : "Seiji", "non-dropping-particle" : "", "parse-names" : false, "suffix" : "" } ], "container-title" : "Otology &amp; neurotology : official publication of the American Otological Society, American Neurotology Society [and] European Academy of Otology and Neurotology", "id" : "ITEM-1", "issue" : "4", "issued" : { "date-parts" : [ [ "2014" ] ] }, "page" : "e140-5", "title" : "Feasibility and advantages of transcanal endoscopic myringoplasty.", "type" : "article-journal", "volume" : "35" }, "uris" : [ "http://www.mendeley.com/documents/?uuid=13120fc0-494f-45c7-9404-8a11b9a057dd" ] } ], "mendeley" : { "formattedCitation" : "[4]", "plainTextFormattedCitation" : "[4]", "previouslyFormattedCitation" : "[4]" }, "properties" : { "noteIndex" : 0 }, "schema" : "https://github.com/citation-style-language/schema/raw/master/csl-citation.json" }</w:instrText>
      </w:r>
      <w:r w:rsidR="00BF4EA9">
        <w:rPr>
          <w:rFonts w:cs="Arial"/>
        </w:rPr>
        <w:fldChar w:fldCharType="separate"/>
      </w:r>
      <w:r w:rsidR="00BF4EA9" w:rsidRPr="00BF4EA9">
        <w:rPr>
          <w:rFonts w:cs="Arial"/>
          <w:noProof/>
        </w:rPr>
        <w:t>[4]</w:t>
      </w:r>
      <w:r w:rsidR="00BF4EA9">
        <w:rPr>
          <w:rFonts w:cs="Arial"/>
        </w:rPr>
        <w:fldChar w:fldCharType="end"/>
      </w:r>
      <w:r w:rsidR="00BF4EA9">
        <w:rPr>
          <w:rFonts w:cs="Arial"/>
        </w:rPr>
        <w:t xml:space="preserve"> – good paper with explanation of TEES myringoplasty</w:t>
      </w:r>
    </w:p>
    <w:p w14:paraId="61D967E6" w14:textId="77777777" w:rsidR="00BF4EA9" w:rsidRPr="00BF4EA9" w:rsidRDefault="00BF4EA9" w:rsidP="00BF4EA9">
      <w:pPr>
        <w:pStyle w:val="ListParagraph"/>
        <w:widowControl w:val="0"/>
        <w:numPr>
          <w:ilvl w:val="0"/>
          <w:numId w:val="20"/>
        </w:numPr>
        <w:autoSpaceDE w:val="0"/>
        <w:autoSpaceDN w:val="0"/>
        <w:adjustRightInd w:val="0"/>
        <w:spacing w:after="240"/>
        <w:jc w:val="both"/>
        <w:rPr>
          <w:rFonts w:cs="Arial"/>
        </w:rPr>
      </w:pPr>
      <w:r>
        <w:rPr>
          <w:rFonts w:cs="Arial"/>
        </w:rPr>
        <w:t xml:space="preserve">Compares </w:t>
      </w:r>
      <w:r w:rsidRPr="00BF4EA9">
        <w:rPr>
          <w:rFonts w:cs="Arial"/>
          <w:highlight w:val="yellow"/>
        </w:rPr>
        <w:t>visibility using endoscope vs. microscope</w:t>
      </w:r>
    </w:p>
    <w:p w14:paraId="6C73BDD1" w14:textId="77777777" w:rsidR="000A0030" w:rsidRDefault="000A0030" w:rsidP="000A0030">
      <w:pPr>
        <w:pStyle w:val="ListParagraph"/>
        <w:widowControl w:val="0"/>
        <w:numPr>
          <w:ilvl w:val="0"/>
          <w:numId w:val="20"/>
        </w:numPr>
        <w:autoSpaceDE w:val="0"/>
        <w:autoSpaceDN w:val="0"/>
        <w:adjustRightInd w:val="0"/>
        <w:spacing w:after="240"/>
        <w:jc w:val="both"/>
        <w:rPr>
          <w:rFonts w:cs="Arial"/>
        </w:rPr>
      </w:pPr>
      <w:r>
        <w:rPr>
          <w:rFonts w:cs="Arial"/>
        </w:rPr>
        <w:t xml:space="preserve">When comparing microscopic and endoscopic views of myringoplasty (ear drum reconstruction) the endoscopic approach is: minimally invasive (no skin incision), TEES myringoplasty can be performed regardless of the perforation size, narrowness, protrusion of EAC, entire tympanic membrane can be viewed in single field with clear visualization of the perforated edges – even when ear canal was curved; the anterior edge of perforation not visible under microscopy for 5/25 ears </w:t>
      </w:r>
    </w:p>
    <w:p w14:paraId="2F45DDE8" w14:textId="77777777" w:rsidR="000A0030" w:rsidRDefault="000A0030" w:rsidP="000A0030">
      <w:pPr>
        <w:pStyle w:val="ListParagraph"/>
        <w:widowControl w:val="0"/>
        <w:numPr>
          <w:ilvl w:val="0"/>
          <w:numId w:val="20"/>
        </w:numPr>
        <w:autoSpaceDE w:val="0"/>
        <w:autoSpaceDN w:val="0"/>
        <w:adjustRightInd w:val="0"/>
        <w:spacing w:after="240"/>
        <w:jc w:val="both"/>
        <w:rPr>
          <w:rFonts w:cs="Arial"/>
        </w:rPr>
      </w:pPr>
      <w:r>
        <w:rPr>
          <w:rFonts w:cs="Arial"/>
        </w:rPr>
        <w:t xml:space="preserve">Endoscopic approach – tympanic cavity observable through the perforation, orifice of the tube, ossicular chain, tympanic isthmus (through large perforations), successfully performed simple underlay technique </w:t>
      </w:r>
      <w:r w:rsidR="00BF4EA9">
        <w:rPr>
          <w:rFonts w:cs="Arial"/>
        </w:rPr>
        <w:t>or with intracanal incision in cases of marginal perforation</w:t>
      </w:r>
    </w:p>
    <w:p w14:paraId="265EE52D" w14:textId="77777777" w:rsidR="00BF4EA9" w:rsidRDefault="00BF4EA9" w:rsidP="00BF4EA9">
      <w:pPr>
        <w:widowControl w:val="0"/>
        <w:autoSpaceDE w:val="0"/>
        <w:autoSpaceDN w:val="0"/>
        <w:adjustRightInd w:val="0"/>
        <w:spacing w:after="240"/>
        <w:jc w:val="both"/>
        <w:rPr>
          <w:rFonts w:cs="Arial"/>
        </w:rPr>
      </w:pPr>
      <w:r>
        <w:rPr>
          <w:rFonts w:cs="Arial"/>
        </w:rPr>
        <w:t xml:space="preserve">“comparison of middle ear visualization with endoscopy and microscopy” </w:t>
      </w:r>
      <w:r w:rsidR="00E717B8">
        <w:rPr>
          <w:rFonts w:cs="Arial"/>
        </w:rPr>
        <w:fldChar w:fldCharType="begin" w:fldLock="1"/>
      </w:r>
      <w:r w:rsidR="008949B0">
        <w:rPr>
          <w:rFonts w:cs="Arial"/>
        </w:rPr>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"[5]", "plainTextFormattedCitation" : "[5]", "previouslyFormattedCitation" : "[5]" }, "properties" : { "noteIndex" : 0 }, "schema" : "https://github.com/citation-style-language/schema/raw/master/csl-citation.json" }</w:instrText>
      </w:r>
      <w:r w:rsidR="00E717B8">
        <w:rPr>
          <w:rFonts w:cs="Arial"/>
        </w:rPr>
        <w:fldChar w:fldCharType="separate"/>
      </w:r>
      <w:r w:rsidR="00E717B8" w:rsidRPr="00E717B8">
        <w:rPr>
          <w:rFonts w:cs="Arial"/>
          <w:noProof/>
        </w:rPr>
        <w:t>[5]</w:t>
      </w:r>
      <w:r w:rsidR="00E717B8">
        <w:rPr>
          <w:rFonts w:cs="Arial"/>
        </w:rPr>
        <w:fldChar w:fldCharType="end"/>
      </w:r>
    </w:p>
    <w:p w14:paraId="218AA54C" w14:textId="77777777" w:rsidR="00273C85" w:rsidRDefault="0015289A" w:rsidP="0015289A">
      <w:pPr>
        <w:widowControl w:val="0"/>
        <w:autoSpaceDE w:val="0"/>
        <w:autoSpaceDN w:val="0"/>
        <w:adjustRightInd w:val="0"/>
        <w:spacing w:after="240"/>
        <w:jc w:val="both"/>
        <w:rPr>
          <w:rFonts w:cs="Arial"/>
        </w:rPr>
      </w:pPr>
      <w:r>
        <w:rPr>
          <w:rFonts w:cs="Arial"/>
        </w:rPr>
        <w:t>“Transcanal Endoscopic Ear Surgery for Pediatric Population with a Narrow External Auditory Canal”</w:t>
      </w:r>
      <w:r w:rsidR="008949B0">
        <w:rPr>
          <w:rFonts w:cs="Arial"/>
        </w:rPr>
        <w:t xml:space="preserve"> </w:t>
      </w:r>
      <w:r w:rsidR="008949B0">
        <w:rPr>
          <w:rFonts w:cs="Arial"/>
        </w:rPr>
        <w:fldChar w:fldCharType="begin" w:fldLock="1"/>
      </w:r>
      <w:r w:rsidR="008949B0">
        <w:rPr>
          <w:rFonts w:cs="Arial"/>
        </w:rPr>
        <w:instrText>ADDIN CSL_CITATION { "citationItems" : [ { "id" : "ITEM-1", "itemData" : { "DOI" : "10.1016/j.ijporl.2015.10.019", "ISSN" : "18728464", "PMID" : "26527072", "abstract" : "Objectives: To retrospectively determine the size of the external auditory canal (EAC) in a pediatric population and to describe our experience with transcanal endoscopic ear surgery (TEES) in this pediatric population which had been successfully treated for middle ear disease using TEES. Methods: We analyzed 31 patients ranging in age from 2 to 13 years old (median: 7.6 years) with middle ear disease who underwent TEES between November 2011 and August 2014. Sixteen of these patients had surgery for cholesteatomas; 11 for chronic otitis media; and 4 for malformation of the middle ear. A preoperative CT scan was performed to evaluate the middle ear disease. Transcanal endoscopic tympanoplasty was performed using a rigid endoscope with a 2.7. mm outer diameter. Transcanal endoscopic atticoantrotomy was also performed, as necessary, on some patients to access pathologies in the antrum. The values of anterior-posterior diameters and superior-inferior diameters of the bony parts of EAC were measured retrospectively based on the preoperative CT scan data. Results: TEES was successfully performed in all 31 pediatric patients without resorting to a retroauricular incision. Twenty-seven patients were evaluated for postoperative hearing levels which were found to fall within an acceptable range and for postoperative air-bone gap (ABG) by pure tone audiometry with a resulting mean of 8.6. dB. The smallest anterior-posterior diameters of the external ear canal ranged from 3.2 to 7.1. mm (5.0. ??. 1.0. mm) and the smallest superior-inferior diameters ranged from 3.4 to 10.3. mm (5.9. ??. 1.3. mm). Conclusion: TEES can be used to safely and effectively treat middle ear disease even in the pediatric population in its narrow EAC.", "author" : [ { "dropping-particle" : "", "family" : "Ito", "given" : "Tsukasa", "non-dropping-particle" : "", "parse-names" : false, "suffix" : "" }, { "dropping-particle" : "", "family" : "Kubota", "given" : "Toshinori", "non-dropping-particle" : "", "parse-names" : false, "suffix" : "" }, { "dropping-particle" : "", "family" : "Watanabe", "given" : "Tomoo", "non-dropping-particle" : "", "parse-names" : false, "suffix" : "" }, { "dropping-particle" : "", "family" : "Futai", "given" : "Kazunori", "non-dropping-particle" : "", "parse-names" : false, "suffix" : "" }, { "dropping-particle" : "", "family" : "Furukawa", "given" : "Takatoshi", "non-dropping-particle" : "", "parse-names" : false, "suffix" : "" }, { "dropping-particle" : "", "family" : "Kakehata", "given" : "Seiji", "non-dropping-particle" : "", "parse-names" : false, "suffix" : "" } ], "container-title" : "International Journal of Pediatric Otorhinolaryngology", "id" : "ITEM-1", "issue" : "12", "issued" : { "date-parts" : [ [ "2015" ] ] }, "page" : "2265-2269", "publisher" : "Elsevier Ireland Ltd", "title" : "Transcanal endoscopic ear surgery for pediatric population with a narrow external auditory canal", "type" : "article-journal", "volume" : "79" }, "uris" : [ "http://www.mendeley.com/documents/?uuid=15050249-ac47-4fb8-8341-94c8454083bf" ] } ], "mendeley" : { "formattedCitation" : "[6]", "plainTextFormattedCitation" : "[6]" }, "properties" : { "noteIndex" : 0 }, "schema" : "https://github.com/citation-style-language/schema/raw/master/csl-citation.json" }</w:instrText>
      </w:r>
      <w:r w:rsidR="008949B0">
        <w:rPr>
          <w:rFonts w:cs="Arial"/>
        </w:rPr>
        <w:fldChar w:fldCharType="separate"/>
      </w:r>
      <w:r w:rsidR="008949B0" w:rsidRPr="008949B0">
        <w:rPr>
          <w:rFonts w:cs="Arial"/>
          <w:noProof/>
        </w:rPr>
        <w:t>[6]</w:t>
      </w:r>
      <w:r w:rsidR="008949B0">
        <w:rPr>
          <w:rFonts w:cs="Arial"/>
        </w:rPr>
        <w:fldChar w:fldCharType="end"/>
      </w:r>
    </w:p>
    <w:p w14:paraId="5EF4260E" w14:textId="77777777" w:rsidR="0015289A" w:rsidRDefault="0029170C" w:rsidP="0015289A">
      <w:pPr>
        <w:pStyle w:val="ListParagraph"/>
        <w:widowControl w:val="0"/>
        <w:numPr>
          <w:ilvl w:val="0"/>
          <w:numId w:val="22"/>
        </w:numPr>
        <w:autoSpaceDE w:val="0"/>
        <w:autoSpaceDN w:val="0"/>
        <w:adjustRightInd w:val="0"/>
        <w:spacing w:after="240"/>
        <w:jc w:val="both"/>
        <w:rPr>
          <w:rFonts w:cs="Arial"/>
        </w:rPr>
      </w:pPr>
      <w:r>
        <w:rPr>
          <w:rFonts w:cs="Arial"/>
        </w:rPr>
        <w:t>31 pediatric patients, average ear canal diameter 5 +/- 1 mm (anterior-posterior diameter), 5.9 +/- 1.3mm (superior-inferior diameter)</w:t>
      </w:r>
    </w:p>
    <w:p w14:paraId="5764D1EF" w14:textId="77777777" w:rsidR="0029170C" w:rsidRPr="0015289A" w:rsidRDefault="008949B0" w:rsidP="0015289A">
      <w:pPr>
        <w:pStyle w:val="ListParagraph"/>
        <w:widowControl w:val="0"/>
        <w:numPr>
          <w:ilvl w:val="0"/>
          <w:numId w:val="22"/>
        </w:numPr>
        <w:autoSpaceDE w:val="0"/>
        <w:autoSpaceDN w:val="0"/>
        <w:adjustRightInd w:val="0"/>
        <w:spacing w:after="240"/>
        <w:jc w:val="both"/>
        <w:rPr>
          <w:rFonts w:cs="Arial"/>
        </w:rPr>
      </w:pPr>
      <w:r>
        <w:rPr>
          <w:rFonts w:cs="Arial"/>
        </w:rPr>
        <w:t>study shows that TEES can be done safely and effectively on pediatric patients with a narrow EAC using a 2.7mm endoscope</w:t>
      </w:r>
    </w:p>
    <w:p w14:paraId="51D69869" w14:textId="77777777" w:rsidR="00C07E73" w:rsidRDefault="00C07E73" w:rsidP="005B641B">
      <w:pPr>
        <w:widowControl w:val="0"/>
        <w:autoSpaceDE w:val="0"/>
        <w:autoSpaceDN w:val="0"/>
        <w:adjustRightInd w:val="0"/>
        <w:spacing w:after="240"/>
        <w:jc w:val="both"/>
        <w:rPr>
          <w:rFonts w:cs="Arial"/>
        </w:rPr>
      </w:pPr>
    </w:p>
    <w:p w14:paraId="30A1E523" w14:textId="77777777" w:rsidR="00C07E73" w:rsidRDefault="00661894" w:rsidP="00C07E73">
      <w:pPr>
        <w:pStyle w:val="Heading3"/>
      </w:pPr>
      <w:r>
        <w:t>Purpose:</w:t>
      </w:r>
    </w:p>
    <w:p w14:paraId="4DE04642" w14:textId="77777777" w:rsidR="00661894" w:rsidRDefault="00C07E73" w:rsidP="005B641B">
      <w:pPr>
        <w:widowControl w:val="0"/>
        <w:autoSpaceDE w:val="0"/>
        <w:autoSpaceDN w:val="0"/>
        <w:adjustRightInd w:val="0"/>
        <w:spacing w:after="240"/>
        <w:jc w:val="both"/>
        <w:rPr>
          <w:rFonts w:cs="Arial"/>
        </w:rPr>
      </w:pPr>
      <w:r>
        <w:rPr>
          <w:rFonts w:cs="Arial"/>
        </w:rPr>
        <w:t>T</w:t>
      </w:r>
      <w:r w:rsidR="00661894">
        <w:rPr>
          <w:rFonts w:cs="Arial"/>
        </w:rPr>
        <w:t>o assess the current needs of endoscopic ear surgery in order to design an instrument to address these needs.</w:t>
      </w:r>
    </w:p>
    <w:p w14:paraId="2FF423F3" w14:textId="77777777" w:rsidR="005B641B" w:rsidRPr="00FD3A3E" w:rsidRDefault="005B641B" w:rsidP="005B641B">
      <w:pPr>
        <w:widowControl w:val="0"/>
        <w:autoSpaceDE w:val="0"/>
        <w:autoSpaceDN w:val="0"/>
        <w:adjustRightInd w:val="0"/>
        <w:spacing w:after="240"/>
        <w:jc w:val="both"/>
        <w:rPr>
          <w:rFonts w:cs="Arial"/>
        </w:rPr>
      </w:pPr>
      <w:r w:rsidRPr="00FD3A3E">
        <w:rPr>
          <w:rFonts w:cs="Arial"/>
        </w:rPr>
        <w:t xml:space="preserve">The assessment </w:t>
      </w:r>
      <w:r w:rsidR="00661894">
        <w:rPr>
          <w:rFonts w:cs="Arial"/>
        </w:rPr>
        <w:t xml:space="preserve">of endoscopic ear surgery </w:t>
      </w:r>
      <w:r w:rsidRPr="00FD3A3E">
        <w:rPr>
          <w:rFonts w:cs="Arial"/>
        </w:rPr>
        <w:t xml:space="preserve">will comprise two separate parts: (a) a time-flow analysis in the operating room of the PI and (b) a survey of endoscopic ear surgeons’ experience. </w:t>
      </w:r>
    </w:p>
    <w:p w14:paraId="4413F02D" w14:textId="77777777" w:rsidR="005B641B" w:rsidRPr="00FD3A3E" w:rsidRDefault="00C07E73" w:rsidP="00C07E73">
      <w:pPr>
        <w:pStyle w:val="Heading1"/>
      </w:pPr>
      <w:r>
        <w:lastRenderedPageBreak/>
        <w:t xml:space="preserve">Part 1: </w:t>
      </w:r>
      <w:r w:rsidR="005B641B" w:rsidRPr="00FD3A3E">
        <w:t xml:space="preserve">Time </w:t>
      </w:r>
      <w:r w:rsidR="005B641B" w:rsidRPr="00C07E73">
        <w:t>Flow</w:t>
      </w:r>
      <w:r w:rsidR="005B641B" w:rsidRPr="00FD3A3E">
        <w:t xml:space="preserve"> Analysis: </w:t>
      </w:r>
    </w:p>
    <w:p w14:paraId="4BF1D274" w14:textId="77777777" w:rsidR="005A5BDC" w:rsidRDefault="005A5BDC" w:rsidP="00661894">
      <w:pPr>
        <w:widowControl w:val="0"/>
        <w:autoSpaceDE w:val="0"/>
        <w:autoSpaceDN w:val="0"/>
        <w:adjustRightInd w:val="0"/>
        <w:spacing w:after="240"/>
        <w:jc w:val="both"/>
        <w:rPr>
          <w:rFonts w:cs="Times New Roman"/>
          <w:lang w:val="en-CA"/>
        </w:rPr>
      </w:pPr>
      <w:r>
        <w:rPr>
          <w:rFonts w:cs="Times New Roman"/>
          <w:lang w:val="en-CA"/>
        </w:rPr>
        <w:t xml:space="preserve">A time flow study was used to analyze the efficiency of TEES. </w:t>
      </w:r>
    </w:p>
    <w:p w14:paraId="17237965" w14:textId="77777777" w:rsidR="00A2246A" w:rsidRDefault="00A2246A" w:rsidP="00A2246A">
      <w:pPr>
        <w:pStyle w:val="Heading2"/>
        <w:rPr>
          <w:lang w:val="en-CA"/>
        </w:rPr>
      </w:pPr>
      <w:r>
        <w:rPr>
          <w:lang w:val="en-CA"/>
        </w:rPr>
        <w:t>Background:</w:t>
      </w:r>
    </w:p>
    <w:p w14:paraId="46F4D595" w14:textId="77777777" w:rsidR="00661894" w:rsidRDefault="00661894" w:rsidP="005A6E5C">
      <w:pPr>
        <w:widowControl w:val="0"/>
        <w:autoSpaceDE w:val="0"/>
        <w:autoSpaceDN w:val="0"/>
        <w:adjustRightInd w:val="0"/>
        <w:spacing w:after="240"/>
        <w:jc w:val="both"/>
        <w:rPr>
          <w:rFonts w:cs="Times New Roman"/>
          <w:lang w:val="en-CA"/>
        </w:rPr>
      </w:pPr>
      <w:r>
        <w:rPr>
          <w:rFonts w:cs="Times New Roman"/>
          <w:lang w:val="en-CA"/>
        </w:rPr>
        <w:t xml:space="preserve">Rube et al. Recorded the time for MRI-guided angioplasty and assessed the efficiency and feasibility of the proposed workflow and framework for this type of procedure </w:t>
      </w:r>
      <w:r w:rsidR="0030642C">
        <w:rPr>
          <w:rFonts w:cs="Times New Roman"/>
          <w:lang w:val="en-CA"/>
        </w:rPr>
        <w:fldChar w:fldCharType="begin" w:fldLock="1"/>
      </w:r>
      <w:r w:rsidR="008949B0">
        <w:rPr>
          <w:rFonts w:cs="Times New Roman"/>
          <w:lang w:val="en-CA"/>
        </w:rPr>
        <w:instrText>ADDIN CSL_CITATION { "citationItems" : [ { "id" : "ITEM-1", "itemData" : { "DOI" : "10.1007/s11548-014-1102-0.Preclinical", "ISBN" : "1154801411", "author" : [ { "dropping-particle" : "", "family" : "Rube", "given" : "Martin A", "non-dropping-particle" : "", "parse-names" : false, "suffix" : "" }, { "dropping-particle" : "", "family" : "Fernandez-gutierrez", "given" : "Fabiola", "non-dropping-particle" : "", "parse-names" : false, "suffix" : "" }, { "dropping-particle" : "", "family" : "Cox", "given" : "Benjamin F", "non-dropping-particle" : "", "parse-names" : false, "suffix" : "" }, { "dropping-particle" : "", "family" : "Holbrook", "given" : "B", "non-dropping-particle" : "", "parse-names" : false, "suffix" : "" }, { "dropping-particle" : "", "family" : "Houston", "given" : "J Graeme", "non-dropping-particle" : "", "parse-names" : false, "suffix" : "" }, { "dropping-particle" : "", "family" : "White", "given" : "Richard D", "non-dropping-particle" : "", "parse-names" : false, "suffix" : "" }, { "dropping-particle" : "", "family" : "Mcleod", "given" : "Helen", "non-dropping-particle" : "", "parse-names" : false, "suffix" : "" }, { "dropping-particle" : "", "family" : "Fatahi", "given" : "Mahsa", "non-dropping-particle" : "", "parse-names" : false, "suffix" : "" }, { "dropping-particle" : "", "family" : "Melzer", "given" : "Andreas", "non-dropping-particle" : "", "parse-names" : false, "suffix" : "" } ], "id" : "ITEM-1", "issue" : "5", "issued" : { "date-parts" : [ [ "2015" ] ] }, "page" : "637-650", "title" : "HHS Public Access", "type" : "article-journal", "volume" : "10" }, "uris" : [ "http://www.mendeley.com/documents/?uuid=f19abb9e-c8e6-418a-9982-408e71f48b8e" ] } ], "mendeley" : { "formattedCitation" : "[7]", "plainTextFormattedCitation" : "[7]", "previouslyFormattedCitation" : "[6]" }, "properties" : { "noteIndex" : 0 }, "schema" : "https://github.com/citation-style-language/schema/raw/master/csl-citation.json" }</w:instrText>
      </w:r>
      <w:r w:rsidR="0030642C">
        <w:rPr>
          <w:rFonts w:cs="Times New Roman"/>
          <w:lang w:val="en-CA"/>
        </w:rPr>
        <w:fldChar w:fldCharType="separate"/>
      </w:r>
      <w:r w:rsidR="008949B0" w:rsidRPr="008949B0">
        <w:rPr>
          <w:rFonts w:cs="Times New Roman"/>
          <w:noProof/>
          <w:lang w:val="en-CA"/>
        </w:rPr>
        <w:t>[7]</w:t>
      </w:r>
      <w:r w:rsidR="0030642C">
        <w:rPr>
          <w:rFonts w:cs="Times New Roman"/>
          <w:lang w:val="en-CA"/>
        </w:rPr>
        <w:fldChar w:fldCharType="end"/>
      </w:r>
      <w:r>
        <w:rPr>
          <w:rFonts w:cs="Times New Roman"/>
          <w:lang w:val="en-CA"/>
        </w:rPr>
        <w:t xml:space="preserve">. Similarly in an attempt to show the efficiency of a dedicated minimally invasive operating room (OR), Hsiao et al. recorded the time for steps during laparoscopic procedures in two types of OR’s: a dedicated minimally invasive OR and a traditional OR </w:t>
      </w:r>
      <w:r w:rsidR="0030642C">
        <w:rPr>
          <w:rFonts w:cs="Times New Roman"/>
          <w:lang w:val="en-CA"/>
        </w:rPr>
        <w:fldChar w:fldCharType="begin" w:fldLock="1"/>
      </w:r>
      <w:r w:rsidR="008949B0">
        <w:rPr>
          <w:rFonts w:cs="Times New Roman"/>
          <w:lang w:val="en-CA"/>
        </w:rPr>
        <w:instrText>ADDIN CSL_CITATION { "citationItems" : [ { "id" : "ITEM-1", "itemData" : { "author" : [ { "dropping-particle" : "", "family" : "Hsiao", "given" : "Kenneth C", "non-dropping-particle" : "", "parse-names" : false, "suffix" : "" }, { "dropping-particle" : "", "family" : "Machaidze", "given" : "Zurab", "non-dropping-particle" : "", "parse-names" : false, "suffix" : "" }, { "dropping-particle" : "", "family" : "Pattaras", "given" : "John G", "non-dropping-particle" : "", "parse-names" : false, "suffix" : "" } ], "id" : "ITEM-1", "issued" : { "date-parts" : [ [ "2004" ] ] }, "page" : "300-303", "title" : "Time Management in the Operating Room : An Analysis of the Dedicated Minimally Invasive Surgery Suite", "type" : "article-journal" }, "uris" : [ "http://www.mendeley.com/documents/?uuid=c2ac687b-b54c-47a1-b4fa-cf26e4495dee" ] } ], "mendeley" : { "formattedCitation" : "[8]", "plainTextFormattedCitation" : "[8]", "previouslyFormattedCitation" : "[7]" }, "properties" : { "noteIndex" : 0 }, "schema" : "https://github.com/citation-style-language/schema/raw/master/csl-citation.json" }</w:instrText>
      </w:r>
      <w:r w:rsidR="0030642C">
        <w:rPr>
          <w:rFonts w:cs="Times New Roman"/>
          <w:lang w:val="en-CA"/>
        </w:rPr>
        <w:fldChar w:fldCharType="separate"/>
      </w:r>
      <w:r w:rsidR="008949B0" w:rsidRPr="008949B0">
        <w:rPr>
          <w:rFonts w:cs="Times New Roman"/>
          <w:noProof/>
          <w:lang w:val="en-CA"/>
        </w:rPr>
        <w:t>[8]</w:t>
      </w:r>
      <w:r w:rsidR="0030642C">
        <w:rPr>
          <w:rFonts w:cs="Times New Roman"/>
          <w:lang w:val="en-CA"/>
        </w:rPr>
        <w:fldChar w:fldCharType="end"/>
      </w:r>
      <w:r>
        <w:rPr>
          <w:rFonts w:cs="Times New Roman"/>
          <w:lang w:val="en-CA"/>
        </w:rPr>
        <w:t xml:space="preserve">. </w:t>
      </w:r>
      <w:r w:rsidR="005A5BDC">
        <w:rPr>
          <w:rFonts w:cs="Times New Roman"/>
          <w:lang w:val="en-CA"/>
        </w:rPr>
        <w:t xml:space="preserve">A time flow study was </w:t>
      </w:r>
      <w:r w:rsidR="005A6E5C">
        <w:rPr>
          <w:rFonts w:cs="Times New Roman"/>
          <w:lang w:val="en-CA"/>
        </w:rPr>
        <w:t xml:space="preserve">also </w:t>
      </w:r>
      <w:r w:rsidR="005A5BDC">
        <w:rPr>
          <w:rFonts w:cs="Times New Roman"/>
          <w:lang w:val="en-CA"/>
        </w:rPr>
        <w:t xml:space="preserve">used to measure the patient wait times before and after restructuring the practice patterns to assess the efficiency of the new practice </w:t>
      </w:r>
      <w:r w:rsidR="0030642C">
        <w:rPr>
          <w:rFonts w:cs="Times New Roman"/>
          <w:lang w:val="en-CA"/>
        </w:rPr>
        <w:fldChar w:fldCharType="begin" w:fldLock="1"/>
      </w:r>
      <w:r w:rsidR="008949B0">
        <w:rPr>
          <w:rFonts w:cs="Times New Roman"/>
          <w:lang w:val="en-CA"/>
        </w:rPr>
        <w:instrText>ADDIN CSL_CITATION { "citationItems" : [ { "id" : "ITEM-1", "itemData" : { "DOI" : "10.1001/archpedi.156.12.1203", "ISSN" : "1072-4710", "PMID" : "1664", "abstract" : "OBJECTIVES: To use findings from a time-flow study at an academic pediatric practice to restructure practice patterns and to repeat the time-flow study to evaluate consequent changes in patient waiting times, total visit times, and room and nursing time usage rates. DESIGN: A before-and-after time-flow evaluation of patient waiting times, total visit times, and room and nursing time usage rates. SETTING: An inner-city academic pediatric practice located at a community health center affiliated with a major urban academic teaching hospital. PATIENTS: All patients visiting the pediatric practice during the weeks of April 26 through 30, 1999, and March 24 through 28, 2000. INTERVENTIONS: Initial time-flow findings generated in telephone messaging, provider scheduling, nursing location, and provider and preceptor documentation. MAIN OUTCOME MEASURES: Patient waiting times, total visit times, room usage rates, and nursing time usage rates. RESULTS: After the implementing of practice changes, mean total visit time declined from 91.9 to 78.3 minutes. Mean waiting time to be called by the nurse decreased 3.2 minutes, mean time spent with the provider decreased 4.6 minutes, and mean time to wait for a preceptor decreased by 8.8 minutes. Multivariate analysis controlling for visit type, provider type, and the type of postvisit interventions found that mean time of visit decreased by 13.6 minutes. Room and nursing time usage rates, resident satisfaction, and quality-of-care indicators remained largely unchanged. CONCLUSIONS: Time-flow studies can be useful instruments for academic ambulatory practices to identify and ameliorate practice inefficiencies without sacrificing quality of teaching or patient care.", "author" : [ { "dropping-particle" : "", "family" : "Racine", "given" : "a D", "non-dropping-particle" : "", "parse-names" : false, "suffix" : "" }, { "dropping-particle" : "", "family" : "Davidson", "given" : "a G", "non-dropping-particle" : "", "parse-names" : false, "suffix" : "" } ], "container-title" : "Arch Pediatr Adolesc Med", "id" : "ITEM-1", "issue" : "12", "issued" : { "date-parts" : [ [ "2002" ] ] }, "page" : "1203-1209", "title" : "Use of a time-flow study to improve patient waiting times at an inner-city academic pediatric practice", "type" : "article-journal", "volume" : "156" }, "uris" : [ "http://www.mendeley.com/documents/?uuid=33425d2d-3e2d-4ea6-b368-976c1625dce4", "http://www.mendeley.com/documents/?uuid=85e465bc-325b-4985-8e43-b634953241cc" ] } ], "mendeley" : { "formattedCitation" : "[9]", "plainTextFormattedCitation" : "[9]", "previouslyFormattedCitation" : "[8]" }, "properties" : { "noteIndex" : 0 }, "schema" : "https://github.com/citation-style-language/schema/raw/master/csl-citation.json" }</w:instrText>
      </w:r>
      <w:r w:rsidR="0030642C">
        <w:rPr>
          <w:rFonts w:cs="Times New Roman"/>
          <w:lang w:val="en-CA"/>
        </w:rPr>
        <w:fldChar w:fldCharType="separate"/>
      </w:r>
      <w:r w:rsidR="008949B0" w:rsidRPr="008949B0">
        <w:rPr>
          <w:rFonts w:cs="Times New Roman"/>
          <w:noProof/>
          <w:lang w:val="en-CA"/>
        </w:rPr>
        <w:t>[9]</w:t>
      </w:r>
      <w:r w:rsidR="0030642C">
        <w:rPr>
          <w:rFonts w:cs="Times New Roman"/>
          <w:lang w:val="en-CA"/>
        </w:rPr>
        <w:fldChar w:fldCharType="end"/>
      </w:r>
      <w:r w:rsidR="005A5BDC">
        <w:rPr>
          <w:rFonts w:cs="Times New Roman"/>
          <w:lang w:val="en-CA"/>
        </w:rPr>
        <w:t xml:space="preserve">.  </w:t>
      </w:r>
      <w:r w:rsidR="005A6E5C">
        <w:rPr>
          <w:rFonts w:cs="Times New Roman"/>
          <w:lang w:val="en-CA"/>
        </w:rPr>
        <w:t xml:space="preserve">Time flow studies have been employed to analyze the efficiency and compare between surgery procedures and hospital protocols. </w:t>
      </w:r>
    </w:p>
    <w:p w14:paraId="39B29051" w14:textId="77777777" w:rsidR="00661894" w:rsidRDefault="00661894" w:rsidP="005B641B">
      <w:pPr>
        <w:widowControl w:val="0"/>
        <w:autoSpaceDE w:val="0"/>
        <w:autoSpaceDN w:val="0"/>
        <w:adjustRightInd w:val="0"/>
        <w:spacing w:after="240"/>
        <w:jc w:val="both"/>
        <w:rPr>
          <w:rFonts w:cs="Times New Roman"/>
          <w:lang w:val="en-CA"/>
        </w:rPr>
      </w:pPr>
      <w:r>
        <w:rPr>
          <w:rFonts w:cs="Times New Roman"/>
          <w:lang w:val="en-CA"/>
        </w:rPr>
        <w:t>This study will also assess the feasibility and efficiency of endoscopic ear surgery using the same method: recording the times of steps in the procedure. This will aim to determine the inefficiencies and address the steps where further instrument design would be beneficial. This would also provide a good benchmark against which to measure efficiency and feasibility of future tools that would be developed.</w:t>
      </w:r>
    </w:p>
    <w:p w14:paraId="12574F71" w14:textId="77777777" w:rsidR="00A2246A" w:rsidRPr="00661894" w:rsidRDefault="00A2246A" w:rsidP="00A2246A">
      <w:pPr>
        <w:pStyle w:val="Heading2"/>
        <w:rPr>
          <w:lang w:val="en-CA"/>
        </w:rPr>
      </w:pPr>
      <w:r>
        <w:rPr>
          <w:lang w:val="en-CA"/>
        </w:rPr>
        <w:t>Method:</w:t>
      </w:r>
    </w:p>
    <w:p w14:paraId="3A8F57A0" w14:textId="77777777" w:rsidR="005B641B" w:rsidRPr="00FD3A3E" w:rsidRDefault="005B641B" w:rsidP="005B641B">
      <w:pPr>
        <w:widowControl w:val="0"/>
        <w:autoSpaceDE w:val="0"/>
        <w:autoSpaceDN w:val="0"/>
        <w:adjustRightInd w:val="0"/>
        <w:spacing w:after="240"/>
        <w:jc w:val="both"/>
        <w:rPr>
          <w:rFonts w:cs="Arial"/>
        </w:rPr>
      </w:pPr>
      <w:r w:rsidRPr="00FD3A3E">
        <w:rPr>
          <w:rFonts w:cs="Arial"/>
        </w:rPr>
        <w:t>The time flow analysis will measure the duration of predetermined steps during the surgery as well as the number of changes between instruments. This will breakdown and quantify the period of time associated with the completion of a particular task; it is used across a variety of fields, including medicine (14). This will aim to measure the efficiency of current endoscopic ear surgery and provide areas where instrumentation redesign is required. The time flow analysis will be recorded by the MASc</w:t>
      </w:r>
      <w:r>
        <w:rPr>
          <w:rFonts w:cs="Arial"/>
        </w:rPr>
        <w:t>. student during ear surgery. T</w:t>
      </w:r>
      <w:r w:rsidRPr="00FD3A3E">
        <w:rPr>
          <w:rFonts w:cs="Arial"/>
        </w:rPr>
        <w:t>hese will be divided into preparation, tympanomeatal flap elevation, access to tympanomastoid sub-sites for cholesteatoma removal, graft positioning, and ossiculoplasty. The type of instruments used during these different maneuvers and the number of changes between different instruments will also be noted. These observation</w:t>
      </w:r>
      <w:r w:rsidR="00661894">
        <w:rPr>
          <w:rFonts w:cs="Arial"/>
        </w:rPr>
        <w:t>s</w:t>
      </w:r>
      <w:r w:rsidRPr="00FD3A3E">
        <w:rPr>
          <w:rFonts w:cs="Arial"/>
        </w:rPr>
        <w:t xml:space="preserve"> will also lead to an appreciation of the ergonomic requirements of instruments during </w:t>
      </w:r>
      <w:r w:rsidR="00661894">
        <w:rPr>
          <w:rFonts w:cs="Arial"/>
        </w:rPr>
        <w:t>ear surgery</w:t>
      </w:r>
      <w:r w:rsidRPr="00FD3A3E">
        <w:rPr>
          <w:rFonts w:cs="Arial"/>
        </w:rPr>
        <w:t xml:space="preserve"> and the design advantages of different instruments for specific maneuvers.</w:t>
      </w:r>
    </w:p>
    <w:p w14:paraId="28216A18" w14:textId="77777777" w:rsidR="005B641B" w:rsidRDefault="005B641B" w:rsidP="005B641B">
      <w:pPr>
        <w:widowControl w:val="0"/>
        <w:autoSpaceDE w:val="0"/>
        <w:autoSpaceDN w:val="0"/>
        <w:adjustRightInd w:val="0"/>
        <w:spacing w:after="240"/>
        <w:jc w:val="both"/>
        <w:rPr>
          <w:rFonts w:cs="Arial"/>
        </w:rPr>
      </w:pPr>
      <w:r w:rsidRPr="00FD3A3E">
        <w:rPr>
          <w:rFonts w:cs="Arial"/>
        </w:rPr>
        <w:t xml:space="preserve">It is anticipated that variance in time-flow between cases will be high between cases based on patient specific factors such as extent of bleeding, ear canal morphology, extent of disease. Nevertheless, this methodology will provide a more accurate assessment of surgical practice and challenges than anecdotal surgeon’s recall. Steps demanding a disproportionate amount of time or multiple changes in instrument will be determined from analysis of these data. This will reveal procedural areas in which surgical efficiency may be improved by instrument modification. </w:t>
      </w:r>
    </w:p>
    <w:p w14:paraId="24EFF3CF" w14:textId="77777777" w:rsidR="00085EAC" w:rsidRDefault="00085EAC" w:rsidP="005B641B">
      <w:pPr>
        <w:widowControl w:val="0"/>
        <w:autoSpaceDE w:val="0"/>
        <w:autoSpaceDN w:val="0"/>
        <w:adjustRightInd w:val="0"/>
        <w:spacing w:after="240"/>
        <w:jc w:val="both"/>
        <w:rPr>
          <w:rFonts w:cs="Arial"/>
        </w:rPr>
      </w:pPr>
      <w:r>
        <w:rPr>
          <w:rFonts w:cs="Arial"/>
        </w:rPr>
        <w:t xml:space="preserve">Steps to conduct the study: </w:t>
      </w:r>
    </w:p>
    <w:p w14:paraId="246924EB" w14:textId="77777777" w:rsidR="00085EAC" w:rsidRDefault="00085EAC" w:rsidP="00085EAC">
      <w:pPr>
        <w:pStyle w:val="ListParagraph"/>
        <w:widowControl w:val="0"/>
        <w:numPr>
          <w:ilvl w:val="0"/>
          <w:numId w:val="18"/>
        </w:numPr>
        <w:autoSpaceDE w:val="0"/>
        <w:autoSpaceDN w:val="0"/>
        <w:adjustRightInd w:val="0"/>
        <w:spacing w:after="240"/>
        <w:jc w:val="both"/>
        <w:rPr>
          <w:rFonts w:cs="Arial"/>
        </w:rPr>
      </w:pPr>
      <w:r>
        <w:rPr>
          <w:rFonts w:cs="Arial"/>
        </w:rPr>
        <w:t>Obtain consent (clinic by the nurse) – noted in the patient’s chart</w:t>
      </w:r>
    </w:p>
    <w:p w14:paraId="70BA013E" w14:textId="77777777" w:rsidR="00085EAC" w:rsidRDefault="00085EAC" w:rsidP="00085EAC">
      <w:pPr>
        <w:pStyle w:val="ListParagraph"/>
        <w:widowControl w:val="0"/>
        <w:numPr>
          <w:ilvl w:val="0"/>
          <w:numId w:val="18"/>
        </w:numPr>
        <w:autoSpaceDE w:val="0"/>
        <w:autoSpaceDN w:val="0"/>
        <w:adjustRightInd w:val="0"/>
        <w:spacing w:after="240"/>
        <w:jc w:val="both"/>
        <w:rPr>
          <w:rFonts w:cs="Arial"/>
        </w:rPr>
      </w:pPr>
      <w:r>
        <w:rPr>
          <w:rFonts w:cs="Arial"/>
        </w:rPr>
        <w:t>Dr. James will tell me what date/time of surgery I should attend to fill in the data collection table</w:t>
      </w:r>
    </w:p>
    <w:p w14:paraId="2ACE985E" w14:textId="77777777" w:rsidR="00085EAC" w:rsidRDefault="00085EAC" w:rsidP="00085EAC">
      <w:pPr>
        <w:pStyle w:val="ListParagraph"/>
        <w:widowControl w:val="0"/>
        <w:numPr>
          <w:ilvl w:val="0"/>
          <w:numId w:val="18"/>
        </w:numPr>
        <w:autoSpaceDE w:val="0"/>
        <w:autoSpaceDN w:val="0"/>
        <w:adjustRightInd w:val="0"/>
        <w:spacing w:after="240"/>
        <w:jc w:val="both"/>
        <w:rPr>
          <w:rFonts w:cs="Arial"/>
        </w:rPr>
      </w:pPr>
      <w:r>
        <w:rPr>
          <w:rFonts w:cs="Arial"/>
        </w:rPr>
        <w:t>Assign the date/time/type of surgery a 5 digit code (as recorded in the key code sheet)</w:t>
      </w:r>
    </w:p>
    <w:p w14:paraId="52B816E7" w14:textId="77777777" w:rsidR="00085EAC" w:rsidRPr="00085EAC" w:rsidRDefault="00085EAC" w:rsidP="00085EAC">
      <w:pPr>
        <w:pStyle w:val="ListParagraph"/>
        <w:widowControl w:val="0"/>
        <w:numPr>
          <w:ilvl w:val="0"/>
          <w:numId w:val="18"/>
        </w:numPr>
        <w:autoSpaceDE w:val="0"/>
        <w:autoSpaceDN w:val="0"/>
        <w:adjustRightInd w:val="0"/>
        <w:spacing w:after="240"/>
        <w:jc w:val="both"/>
        <w:rPr>
          <w:rFonts w:cs="Arial"/>
        </w:rPr>
      </w:pPr>
      <w:r>
        <w:rPr>
          <w:rFonts w:cs="Arial"/>
        </w:rPr>
        <w:t>Attend the surgery and fill out the form</w:t>
      </w:r>
    </w:p>
    <w:p w14:paraId="7B538411" w14:textId="77777777" w:rsidR="00085EAC" w:rsidRDefault="00085EAC" w:rsidP="005B641B">
      <w:pPr>
        <w:widowControl w:val="0"/>
        <w:autoSpaceDE w:val="0"/>
        <w:autoSpaceDN w:val="0"/>
        <w:adjustRightInd w:val="0"/>
        <w:spacing w:after="240"/>
        <w:jc w:val="both"/>
        <w:rPr>
          <w:rFonts w:cs="Arial"/>
        </w:rPr>
      </w:pPr>
    </w:p>
    <w:p w14:paraId="4DFE6C72" w14:textId="77777777" w:rsidR="00085EAC" w:rsidRDefault="00085EAC" w:rsidP="005B641B">
      <w:pPr>
        <w:widowControl w:val="0"/>
        <w:autoSpaceDE w:val="0"/>
        <w:autoSpaceDN w:val="0"/>
        <w:adjustRightInd w:val="0"/>
        <w:spacing w:after="240"/>
        <w:jc w:val="both"/>
        <w:rPr>
          <w:rFonts w:cs="Arial"/>
        </w:rPr>
      </w:pPr>
    </w:p>
    <w:p w14:paraId="34933D63" w14:textId="77777777" w:rsidR="00C07E73" w:rsidRDefault="00C07E73" w:rsidP="005B641B">
      <w:pPr>
        <w:widowControl w:val="0"/>
        <w:autoSpaceDE w:val="0"/>
        <w:autoSpaceDN w:val="0"/>
        <w:adjustRightInd w:val="0"/>
        <w:spacing w:after="240"/>
        <w:jc w:val="both"/>
        <w:rPr>
          <w:rFonts w:cs="Arial"/>
        </w:rPr>
      </w:pPr>
      <w:r>
        <w:rPr>
          <w:rFonts w:cs="Arial"/>
        </w:rPr>
        <w:t xml:space="preserve">Data was collected on a spreadsheet with the following data table: </w:t>
      </w:r>
    </w:p>
    <w:tbl>
      <w:tblPr>
        <w:tblW w:w="78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85"/>
        <w:gridCol w:w="2910"/>
        <w:gridCol w:w="1665"/>
        <w:gridCol w:w="1455"/>
      </w:tblGrid>
      <w:tr w:rsidR="003E4DF5" w:rsidRPr="003E4DF5" w14:paraId="278D5D10" w14:textId="77777777" w:rsidTr="003E4DF5">
        <w:trPr>
          <w:trHeight w:val="225"/>
        </w:trPr>
        <w:tc>
          <w:tcPr>
            <w:tcW w:w="1785"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0FA6CEFE"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color w:val="FFFFFF"/>
                <w:sz w:val="16"/>
                <w:szCs w:val="16"/>
                <w:highlight w:val="black"/>
              </w:rPr>
              <w:t>Surgery:</w:t>
            </w:r>
          </w:p>
        </w:tc>
        <w:tc>
          <w:tcPr>
            <w:tcW w:w="2910" w:type="dxa"/>
            <w:tcBorders>
              <w:top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0D5F9974" w14:textId="77777777" w:rsidR="003E4DF5" w:rsidRPr="003E4DF5" w:rsidRDefault="003E4DF5" w:rsidP="003E4DF5">
            <w:pPr>
              <w:pStyle w:val="Normal1"/>
              <w:widowControl w:val="0"/>
              <w:rPr>
                <w:rFonts w:asciiTheme="minorHAnsi" w:hAnsiTheme="minorHAnsi"/>
                <w:sz w:val="16"/>
                <w:szCs w:val="16"/>
              </w:rPr>
            </w:pPr>
          </w:p>
        </w:tc>
        <w:tc>
          <w:tcPr>
            <w:tcW w:w="3120" w:type="dxa"/>
            <w:gridSpan w:val="2"/>
            <w:tcBorders>
              <w:top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278EACF1"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color w:val="FFFFFF"/>
                <w:sz w:val="16"/>
                <w:szCs w:val="16"/>
                <w:highlight w:val="black"/>
              </w:rPr>
              <w:t>Study Number: XXXXX</w:t>
            </w:r>
          </w:p>
        </w:tc>
      </w:tr>
      <w:tr w:rsidR="003E4DF5" w:rsidRPr="003E4DF5" w14:paraId="5544A039" w14:textId="77777777" w:rsidTr="003E4DF5">
        <w:trPr>
          <w:trHeight w:val="225"/>
        </w:trPr>
        <w:tc>
          <w:tcPr>
            <w:tcW w:w="1785" w:type="dxa"/>
            <w:vMerge w:val="restart"/>
            <w:tcBorders>
              <w:left w:val="single" w:sz="8" w:space="0" w:color="000000"/>
              <w:right w:val="single" w:sz="8" w:space="0" w:color="000000"/>
            </w:tcBorders>
            <w:tcMar>
              <w:top w:w="100" w:type="dxa"/>
              <w:left w:w="100" w:type="dxa"/>
              <w:bottom w:w="100" w:type="dxa"/>
              <w:right w:w="100" w:type="dxa"/>
            </w:tcMar>
          </w:tcPr>
          <w:p w14:paraId="7537FB89"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Tympanoplasty</w:t>
            </w:r>
          </w:p>
        </w:tc>
        <w:tc>
          <w:tcPr>
            <w:tcW w:w="2910" w:type="dxa"/>
            <w:tcBorders>
              <w:bottom w:val="single" w:sz="8" w:space="0" w:color="000000"/>
              <w:right w:val="single" w:sz="8" w:space="0" w:color="000000"/>
            </w:tcBorders>
            <w:tcMar>
              <w:top w:w="100" w:type="dxa"/>
              <w:left w:w="100" w:type="dxa"/>
              <w:bottom w:w="100" w:type="dxa"/>
              <w:right w:w="100" w:type="dxa"/>
            </w:tcMar>
          </w:tcPr>
          <w:p w14:paraId="7FB9B6F8"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Step</w:t>
            </w:r>
          </w:p>
        </w:tc>
        <w:tc>
          <w:tcPr>
            <w:tcW w:w="1665" w:type="dxa"/>
            <w:tcBorders>
              <w:bottom w:val="single" w:sz="8" w:space="0" w:color="000000"/>
              <w:right w:val="single" w:sz="8" w:space="0" w:color="000000"/>
            </w:tcBorders>
            <w:tcMar>
              <w:top w:w="100" w:type="dxa"/>
              <w:left w:w="100" w:type="dxa"/>
              <w:bottom w:w="100" w:type="dxa"/>
              <w:right w:w="100" w:type="dxa"/>
            </w:tcMar>
          </w:tcPr>
          <w:p w14:paraId="12AD4035" w14:textId="77777777" w:rsidR="003E4DF5" w:rsidRPr="003E4DF5" w:rsidRDefault="003E4DF5" w:rsidP="003E4DF5">
            <w:pPr>
              <w:pStyle w:val="Normal1"/>
              <w:widowControl w:val="0"/>
              <w:rPr>
                <w:rFonts w:asciiTheme="minorHAnsi" w:hAnsiTheme="minorHAnsi"/>
                <w:sz w:val="16"/>
                <w:szCs w:val="16"/>
              </w:rPr>
            </w:pPr>
            <w:r w:rsidRPr="003E4DF5">
              <w:rPr>
                <w:rFonts w:asciiTheme="minorHAnsi" w:hAnsiTheme="minorHAnsi"/>
                <w:sz w:val="16"/>
                <w:szCs w:val="16"/>
              </w:rPr>
              <w:t>Date/notes</w:t>
            </w:r>
          </w:p>
        </w:tc>
        <w:tc>
          <w:tcPr>
            <w:tcW w:w="1455" w:type="dxa"/>
            <w:tcBorders>
              <w:bottom w:val="single" w:sz="8" w:space="0" w:color="000000"/>
              <w:right w:val="single" w:sz="8" w:space="0" w:color="000000"/>
            </w:tcBorders>
            <w:tcMar>
              <w:top w:w="100" w:type="dxa"/>
              <w:left w:w="100" w:type="dxa"/>
              <w:bottom w:w="100" w:type="dxa"/>
              <w:right w:w="100" w:type="dxa"/>
            </w:tcMar>
          </w:tcPr>
          <w:p w14:paraId="1B84EB53" w14:textId="77777777" w:rsidR="003E4DF5" w:rsidRPr="003E4DF5" w:rsidRDefault="003E4DF5" w:rsidP="003E4DF5">
            <w:pPr>
              <w:pStyle w:val="Normal1"/>
              <w:widowControl w:val="0"/>
              <w:rPr>
                <w:rFonts w:asciiTheme="minorHAnsi" w:hAnsiTheme="minorHAnsi"/>
                <w:sz w:val="16"/>
                <w:szCs w:val="16"/>
              </w:rPr>
            </w:pPr>
            <w:r w:rsidRPr="003E4DF5">
              <w:rPr>
                <w:rFonts w:asciiTheme="minorHAnsi" w:hAnsiTheme="minorHAnsi"/>
                <w:sz w:val="16"/>
                <w:szCs w:val="16"/>
              </w:rPr>
              <w:t>Time (min)</w:t>
            </w:r>
          </w:p>
        </w:tc>
      </w:tr>
      <w:tr w:rsidR="003E4DF5" w:rsidRPr="003E4DF5" w14:paraId="7DEE5C19"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44C39914"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1ED45D19"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Cleaning Out Ear canal</w:t>
            </w:r>
          </w:p>
        </w:tc>
        <w:tc>
          <w:tcPr>
            <w:tcW w:w="1665" w:type="dxa"/>
            <w:tcBorders>
              <w:bottom w:val="single" w:sz="8" w:space="0" w:color="000000"/>
              <w:right w:val="single" w:sz="8" w:space="0" w:color="000000"/>
            </w:tcBorders>
            <w:tcMar>
              <w:top w:w="100" w:type="dxa"/>
              <w:left w:w="100" w:type="dxa"/>
              <w:bottom w:w="100" w:type="dxa"/>
              <w:right w:w="100" w:type="dxa"/>
            </w:tcMar>
          </w:tcPr>
          <w:p w14:paraId="540450D6"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449E09E4"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008E074D"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3C5016FB"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678E643D"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Injecting Anaesthesia</w:t>
            </w:r>
          </w:p>
        </w:tc>
        <w:tc>
          <w:tcPr>
            <w:tcW w:w="1665" w:type="dxa"/>
            <w:tcBorders>
              <w:bottom w:val="single" w:sz="8" w:space="0" w:color="000000"/>
              <w:right w:val="single" w:sz="8" w:space="0" w:color="000000"/>
            </w:tcBorders>
            <w:tcMar>
              <w:top w:w="100" w:type="dxa"/>
              <w:left w:w="100" w:type="dxa"/>
              <w:bottom w:w="100" w:type="dxa"/>
              <w:right w:w="100" w:type="dxa"/>
            </w:tcMar>
          </w:tcPr>
          <w:p w14:paraId="5CA855D2"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40F13514"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4141A3C1"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63BACFF0"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10C82885"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Hair Trimming</w:t>
            </w:r>
          </w:p>
        </w:tc>
        <w:tc>
          <w:tcPr>
            <w:tcW w:w="1665" w:type="dxa"/>
            <w:tcBorders>
              <w:bottom w:val="single" w:sz="8" w:space="0" w:color="000000"/>
              <w:right w:val="single" w:sz="8" w:space="0" w:color="000000"/>
            </w:tcBorders>
            <w:tcMar>
              <w:top w:w="100" w:type="dxa"/>
              <w:left w:w="100" w:type="dxa"/>
              <w:bottom w:w="100" w:type="dxa"/>
              <w:right w:w="100" w:type="dxa"/>
            </w:tcMar>
          </w:tcPr>
          <w:p w14:paraId="69C73EB2"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1BBD1E57"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33C4957A"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0E340D24"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7DE8D260"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Cleaning Edges of Perforation</w:t>
            </w:r>
          </w:p>
        </w:tc>
        <w:tc>
          <w:tcPr>
            <w:tcW w:w="1665" w:type="dxa"/>
            <w:tcBorders>
              <w:bottom w:val="single" w:sz="8" w:space="0" w:color="000000"/>
              <w:right w:val="single" w:sz="8" w:space="0" w:color="000000"/>
            </w:tcBorders>
            <w:tcMar>
              <w:top w:w="100" w:type="dxa"/>
              <w:left w:w="100" w:type="dxa"/>
              <w:bottom w:w="100" w:type="dxa"/>
              <w:right w:w="100" w:type="dxa"/>
            </w:tcMar>
          </w:tcPr>
          <w:p w14:paraId="67DBA4D5"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704F783C"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21B6FEA9"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17A73094"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03FF6DA5"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Making Skin Incision</w:t>
            </w:r>
          </w:p>
        </w:tc>
        <w:tc>
          <w:tcPr>
            <w:tcW w:w="1665" w:type="dxa"/>
            <w:tcBorders>
              <w:bottom w:val="single" w:sz="8" w:space="0" w:color="000000"/>
              <w:right w:val="single" w:sz="8" w:space="0" w:color="000000"/>
            </w:tcBorders>
            <w:tcMar>
              <w:top w:w="100" w:type="dxa"/>
              <w:left w:w="100" w:type="dxa"/>
              <w:bottom w:w="100" w:type="dxa"/>
              <w:right w:w="100" w:type="dxa"/>
            </w:tcMar>
          </w:tcPr>
          <w:p w14:paraId="791DF82D"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0DC6E11E"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303F61CB"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04546D2B"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35ECC0F2"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Raising Flap</w:t>
            </w:r>
          </w:p>
        </w:tc>
        <w:tc>
          <w:tcPr>
            <w:tcW w:w="1665" w:type="dxa"/>
            <w:tcBorders>
              <w:bottom w:val="single" w:sz="8" w:space="0" w:color="000000"/>
              <w:right w:val="single" w:sz="8" w:space="0" w:color="000000"/>
            </w:tcBorders>
            <w:tcMar>
              <w:top w:w="100" w:type="dxa"/>
              <w:left w:w="100" w:type="dxa"/>
              <w:bottom w:w="100" w:type="dxa"/>
              <w:right w:w="100" w:type="dxa"/>
            </w:tcMar>
          </w:tcPr>
          <w:p w14:paraId="56B2D1D7"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2528FB5A"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53D16656"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0A978822"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724E3C97"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Preparing Graft</w:t>
            </w:r>
          </w:p>
        </w:tc>
        <w:tc>
          <w:tcPr>
            <w:tcW w:w="1665" w:type="dxa"/>
            <w:tcBorders>
              <w:bottom w:val="single" w:sz="8" w:space="0" w:color="000000"/>
              <w:right w:val="single" w:sz="8" w:space="0" w:color="000000"/>
            </w:tcBorders>
            <w:tcMar>
              <w:top w:w="100" w:type="dxa"/>
              <w:left w:w="100" w:type="dxa"/>
              <w:bottom w:w="100" w:type="dxa"/>
              <w:right w:w="100" w:type="dxa"/>
            </w:tcMar>
          </w:tcPr>
          <w:p w14:paraId="3E776E8F"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06D9279D"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1B320341"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234FC2D7"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45F28487"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Placing Graft</w:t>
            </w:r>
          </w:p>
        </w:tc>
        <w:tc>
          <w:tcPr>
            <w:tcW w:w="1665" w:type="dxa"/>
            <w:tcBorders>
              <w:bottom w:val="single" w:sz="8" w:space="0" w:color="000000"/>
              <w:right w:val="single" w:sz="8" w:space="0" w:color="000000"/>
            </w:tcBorders>
            <w:tcMar>
              <w:top w:w="100" w:type="dxa"/>
              <w:left w:w="100" w:type="dxa"/>
              <w:bottom w:w="100" w:type="dxa"/>
              <w:right w:w="100" w:type="dxa"/>
            </w:tcMar>
          </w:tcPr>
          <w:p w14:paraId="03D30165"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50E924B5"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1ADE19A3"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68B3A3BC"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4E9D5C4E"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Replacing Flap</w:t>
            </w:r>
          </w:p>
        </w:tc>
        <w:tc>
          <w:tcPr>
            <w:tcW w:w="1665" w:type="dxa"/>
            <w:tcBorders>
              <w:bottom w:val="single" w:sz="8" w:space="0" w:color="000000"/>
              <w:right w:val="single" w:sz="8" w:space="0" w:color="000000"/>
            </w:tcBorders>
            <w:tcMar>
              <w:top w:w="100" w:type="dxa"/>
              <w:left w:w="100" w:type="dxa"/>
              <w:bottom w:w="100" w:type="dxa"/>
              <w:right w:w="100" w:type="dxa"/>
            </w:tcMar>
          </w:tcPr>
          <w:p w14:paraId="05EB0397"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23F576DF"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1FA42B56" w14:textId="77777777" w:rsidTr="003E4DF5">
        <w:trPr>
          <w:trHeight w:val="225"/>
        </w:trPr>
        <w:tc>
          <w:tcPr>
            <w:tcW w:w="1785"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558A46C6"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34C9FB7D"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Packing Ear Canal</w:t>
            </w:r>
          </w:p>
        </w:tc>
        <w:tc>
          <w:tcPr>
            <w:tcW w:w="1665" w:type="dxa"/>
            <w:tcBorders>
              <w:bottom w:val="single" w:sz="8" w:space="0" w:color="000000"/>
              <w:right w:val="single" w:sz="8" w:space="0" w:color="000000"/>
            </w:tcBorders>
            <w:tcMar>
              <w:top w:w="100" w:type="dxa"/>
              <w:left w:w="100" w:type="dxa"/>
              <w:bottom w:w="100" w:type="dxa"/>
              <w:right w:w="100" w:type="dxa"/>
            </w:tcMar>
          </w:tcPr>
          <w:p w14:paraId="43C1B0EB"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78ACFE49"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26DB9A97" w14:textId="77777777" w:rsidTr="003E4DF5">
        <w:trPr>
          <w:trHeight w:val="225"/>
        </w:trPr>
        <w:tc>
          <w:tcPr>
            <w:tcW w:w="1785" w:type="dxa"/>
            <w:tcBorders>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781F3C9C"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color w:val="FFFFFF"/>
                <w:sz w:val="16"/>
                <w:szCs w:val="16"/>
                <w:highlight w:val="black"/>
              </w:rPr>
              <w:t>Surgery:</w:t>
            </w:r>
          </w:p>
        </w:tc>
        <w:tc>
          <w:tcPr>
            <w:tcW w:w="2910" w:type="dxa"/>
            <w:tcBorders>
              <w:bottom w:val="single" w:sz="8" w:space="0" w:color="000000"/>
              <w:right w:val="single" w:sz="8" w:space="0" w:color="000000"/>
            </w:tcBorders>
            <w:shd w:val="clear" w:color="auto" w:fill="000000"/>
            <w:tcMar>
              <w:top w:w="100" w:type="dxa"/>
              <w:left w:w="100" w:type="dxa"/>
              <w:bottom w:w="100" w:type="dxa"/>
              <w:right w:w="100" w:type="dxa"/>
            </w:tcMar>
          </w:tcPr>
          <w:p w14:paraId="6165199E" w14:textId="77777777" w:rsidR="003E4DF5" w:rsidRPr="003E4DF5" w:rsidRDefault="003E4DF5" w:rsidP="003E4DF5">
            <w:pPr>
              <w:pStyle w:val="Normal1"/>
              <w:widowControl w:val="0"/>
              <w:rPr>
                <w:rFonts w:asciiTheme="minorHAnsi" w:hAnsiTheme="minorHAnsi"/>
                <w:sz w:val="16"/>
                <w:szCs w:val="16"/>
              </w:rPr>
            </w:pPr>
          </w:p>
        </w:tc>
        <w:tc>
          <w:tcPr>
            <w:tcW w:w="3120" w:type="dxa"/>
            <w:gridSpan w:val="2"/>
            <w:tcBorders>
              <w:bottom w:val="single" w:sz="8" w:space="0" w:color="000000"/>
              <w:right w:val="single" w:sz="8" w:space="0" w:color="000000"/>
            </w:tcBorders>
            <w:shd w:val="clear" w:color="auto" w:fill="000000"/>
            <w:tcMar>
              <w:top w:w="100" w:type="dxa"/>
              <w:left w:w="100" w:type="dxa"/>
              <w:bottom w:w="100" w:type="dxa"/>
              <w:right w:w="100" w:type="dxa"/>
            </w:tcMar>
          </w:tcPr>
          <w:p w14:paraId="7E94A06E" w14:textId="77777777" w:rsidR="003E4DF5" w:rsidRPr="003E4DF5" w:rsidRDefault="003E4DF5" w:rsidP="003E4DF5">
            <w:pPr>
              <w:pStyle w:val="Normal1"/>
              <w:widowControl w:val="0"/>
              <w:rPr>
                <w:rFonts w:asciiTheme="minorHAnsi" w:hAnsiTheme="minorHAnsi"/>
                <w:sz w:val="16"/>
                <w:szCs w:val="16"/>
              </w:rPr>
            </w:pPr>
            <w:r w:rsidRPr="003E4DF5">
              <w:rPr>
                <w:rFonts w:asciiTheme="minorHAnsi" w:hAnsiTheme="minorHAnsi"/>
                <w:color w:val="FFFFFF"/>
                <w:sz w:val="16"/>
                <w:szCs w:val="16"/>
                <w:highlight w:val="black"/>
              </w:rPr>
              <w:t>Study Number: XXXXX</w:t>
            </w:r>
          </w:p>
        </w:tc>
      </w:tr>
      <w:tr w:rsidR="003E4DF5" w:rsidRPr="003E4DF5" w14:paraId="08C49198" w14:textId="77777777" w:rsidTr="003E4DF5">
        <w:trPr>
          <w:trHeight w:val="225"/>
        </w:trPr>
        <w:tc>
          <w:tcPr>
            <w:tcW w:w="1785" w:type="dxa"/>
            <w:vMerge w:val="restart"/>
            <w:tcBorders>
              <w:left w:val="single" w:sz="8" w:space="0" w:color="000000"/>
              <w:right w:val="single" w:sz="8" w:space="0" w:color="000000"/>
            </w:tcBorders>
            <w:tcMar>
              <w:top w:w="100" w:type="dxa"/>
              <w:left w:w="100" w:type="dxa"/>
              <w:bottom w:w="100" w:type="dxa"/>
              <w:right w:w="100" w:type="dxa"/>
            </w:tcMar>
          </w:tcPr>
          <w:p w14:paraId="51C66BCB"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Cholesteatoma Removal</w:t>
            </w:r>
          </w:p>
        </w:tc>
        <w:tc>
          <w:tcPr>
            <w:tcW w:w="2910" w:type="dxa"/>
            <w:tcBorders>
              <w:bottom w:val="single" w:sz="8" w:space="0" w:color="000000"/>
              <w:right w:val="single" w:sz="8" w:space="0" w:color="000000"/>
            </w:tcBorders>
            <w:tcMar>
              <w:top w:w="100" w:type="dxa"/>
              <w:left w:w="100" w:type="dxa"/>
              <w:bottom w:w="100" w:type="dxa"/>
              <w:right w:w="100" w:type="dxa"/>
            </w:tcMar>
          </w:tcPr>
          <w:p w14:paraId="44223BE3"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Step</w:t>
            </w:r>
          </w:p>
        </w:tc>
        <w:tc>
          <w:tcPr>
            <w:tcW w:w="1665" w:type="dxa"/>
            <w:tcBorders>
              <w:bottom w:val="single" w:sz="8" w:space="0" w:color="000000"/>
              <w:right w:val="single" w:sz="8" w:space="0" w:color="000000"/>
            </w:tcBorders>
            <w:tcMar>
              <w:top w:w="100" w:type="dxa"/>
              <w:left w:w="100" w:type="dxa"/>
              <w:bottom w:w="100" w:type="dxa"/>
              <w:right w:w="100" w:type="dxa"/>
            </w:tcMar>
          </w:tcPr>
          <w:p w14:paraId="706057F1" w14:textId="77777777" w:rsidR="003E4DF5" w:rsidRPr="003E4DF5" w:rsidRDefault="003E4DF5" w:rsidP="003E4DF5">
            <w:pPr>
              <w:pStyle w:val="Normal1"/>
              <w:widowControl w:val="0"/>
              <w:rPr>
                <w:rFonts w:asciiTheme="minorHAnsi" w:hAnsiTheme="minorHAnsi"/>
                <w:sz w:val="16"/>
                <w:szCs w:val="16"/>
              </w:rPr>
            </w:pPr>
            <w:r w:rsidRPr="003E4DF5">
              <w:rPr>
                <w:rFonts w:asciiTheme="minorHAnsi" w:hAnsiTheme="minorHAnsi"/>
                <w:sz w:val="16"/>
                <w:szCs w:val="16"/>
              </w:rPr>
              <w:t>Date/notes</w:t>
            </w:r>
          </w:p>
        </w:tc>
        <w:tc>
          <w:tcPr>
            <w:tcW w:w="1455" w:type="dxa"/>
            <w:tcBorders>
              <w:bottom w:val="single" w:sz="8" w:space="0" w:color="000000"/>
              <w:right w:val="single" w:sz="8" w:space="0" w:color="000000"/>
            </w:tcBorders>
            <w:tcMar>
              <w:top w:w="100" w:type="dxa"/>
              <w:left w:w="100" w:type="dxa"/>
              <w:bottom w:w="100" w:type="dxa"/>
              <w:right w:w="100" w:type="dxa"/>
            </w:tcMar>
          </w:tcPr>
          <w:p w14:paraId="3B1AA8A5" w14:textId="77777777" w:rsidR="003E4DF5" w:rsidRPr="003E4DF5" w:rsidRDefault="003E4DF5" w:rsidP="003E4DF5">
            <w:pPr>
              <w:pStyle w:val="Normal1"/>
              <w:widowControl w:val="0"/>
              <w:rPr>
                <w:rFonts w:asciiTheme="minorHAnsi" w:hAnsiTheme="minorHAnsi"/>
                <w:sz w:val="16"/>
                <w:szCs w:val="16"/>
              </w:rPr>
            </w:pPr>
            <w:r w:rsidRPr="003E4DF5">
              <w:rPr>
                <w:rFonts w:asciiTheme="minorHAnsi" w:hAnsiTheme="minorHAnsi"/>
                <w:sz w:val="16"/>
                <w:szCs w:val="16"/>
              </w:rPr>
              <w:t>Time (min)</w:t>
            </w:r>
          </w:p>
        </w:tc>
      </w:tr>
      <w:tr w:rsidR="003E4DF5" w:rsidRPr="003E4DF5" w14:paraId="7FACCBA5"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78122AEA"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6C0543C6"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Cleaning Out Ear canal</w:t>
            </w:r>
          </w:p>
        </w:tc>
        <w:tc>
          <w:tcPr>
            <w:tcW w:w="1665" w:type="dxa"/>
            <w:tcBorders>
              <w:bottom w:val="single" w:sz="8" w:space="0" w:color="000000"/>
              <w:right w:val="single" w:sz="8" w:space="0" w:color="000000"/>
            </w:tcBorders>
            <w:tcMar>
              <w:top w:w="100" w:type="dxa"/>
              <w:left w:w="100" w:type="dxa"/>
              <w:bottom w:w="100" w:type="dxa"/>
              <w:right w:w="100" w:type="dxa"/>
            </w:tcMar>
          </w:tcPr>
          <w:p w14:paraId="2105EB02"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7B156ABD"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020F7C51"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230D63DE"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53BCF6EA"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Injecting Anaesthesia</w:t>
            </w:r>
          </w:p>
        </w:tc>
        <w:tc>
          <w:tcPr>
            <w:tcW w:w="1665" w:type="dxa"/>
            <w:tcBorders>
              <w:bottom w:val="single" w:sz="8" w:space="0" w:color="000000"/>
              <w:right w:val="single" w:sz="8" w:space="0" w:color="000000"/>
            </w:tcBorders>
            <w:tcMar>
              <w:top w:w="100" w:type="dxa"/>
              <w:left w:w="100" w:type="dxa"/>
              <w:bottom w:w="100" w:type="dxa"/>
              <w:right w:w="100" w:type="dxa"/>
            </w:tcMar>
          </w:tcPr>
          <w:p w14:paraId="135962DA"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6731F1A0"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27EE7EF5"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2720E633"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342C03E7"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Hair Trimming</w:t>
            </w:r>
          </w:p>
        </w:tc>
        <w:tc>
          <w:tcPr>
            <w:tcW w:w="1665" w:type="dxa"/>
            <w:tcBorders>
              <w:bottom w:val="single" w:sz="8" w:space="0" w:color="000000"/>
              <w:right w:val="single" w:sz="8" w:space="0" w:color="000000"/>
            </w:tcBorders>
            <w:tcMar>
              <w:top w:w="100" w:type="dxa"/>
              <w:left w:w="100" w:type="dxa"/>
              <w:bottom w:w="100" w:type="dxa"/>
              <w:right w:w="100" w:type="dxa"/>
            </w:tcMar>
          </w:tcPr>
          <w:p w14:paraId="179E8971"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380B6355"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59A6CBC7"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038956FF"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46DB2DE2"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Cleaning Edges of Perforation</w:t>
            </w:r>
          </w:p>
        </w:tc>
        <w:tc>
          <w:tcPr>
            <w:tcW w:w="1665" w:type="dxa"/>
            <w:tcBorders>
              <w:bottom w:val="single" w:sz="8" w:space="0" w:color="000000"/>
              <w:right w:val="single" w:sz="8" w:space="0" w:color="000000"/>
            </w:tcBorders>
            <w:tcMar>
              <w:top w:w="100" w:type="dxa"/>
              <w:left w:w="100" w:type="dxa"/>
              <w:bottom w:w="100" w:type="dxa"/>
              <w:right w:w="100" w:type="dxa"/>
            </w:tcMar>
          </w:tcPr>
          <w:p w14:paraId="617C083F"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6E554E39"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375E6C77"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6EE480DC"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4F306385"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Making Skin Incision</w:t>
            </w:r>
          </w:p>
        </w:tc>
        <w:tc>
          <w:tcPr>
            <w:tcW w:w="1665" w:type="dxa"/>
            <w:tcBorders>
              <w:bottom w:val="single" w:sz="8" w:space="0" w:color="000000"/>
              <w:right w:val="single" w:sz="8" w:space="0" w:color="000000"/>
            </w:tcBorders>
            <w:tcMar>
              <w:top w:w="100" w:type="dxa"/>
              <w:left w:w="100" w:type="dxa"/>
              <w:bottom w:w="100" w:type="dxa"/>
              <w:right w:w="100" w:type="dxa"/>
            </w:tcMar>
          </w:tcPr>
          <w:p w14:paraId="0E66B8DD"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15CEBE12"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18367639"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3C73E659"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4558CB5C"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Raising Flap</w:t>
            </w:r>
          </w:p>
        </w:tc>
        <w:tc>
          <w:tcPr>
            <w:tcW w:w="1665" w:type="dxa"/>
            <w:tcBorders>
              <w:bottom w:val="single" w:sz="8" w:space="0" w:color="000000"/>
              <w:right w:val="single" w:sz="8" w:space="0" w:color="000000"/>
            </w:tcBorders>
            <w:tcMar>
              <w:top w:w="100" w:type="dxa"/>
              <w:left w:w="100" w:type="dxa"/>
              <w:bottom w:w="100" w:type="dxa"/>
              <w:right w:w="100" w:type="dxa"/>
            </w:tcMar>
          </w:tcPr>
          <w:p w14:paraId="7A7E58E4"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5C25262D"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5326274F"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7C62356E"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5EA8BD29"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Preparing Graft</w:t>
            </w:r>
          </w:p>
        </w:tc>
        <w:tc>
          <w:tcPr>
            <w:tcW w:w="1665" w:type="dxa"/>
            <w:tcBorders>
              <w:bottom w:val="single" w:sz="8" w:space="0" w:color="000000"/>
              <w:right w:val="single" w:sz="8" w:space="0" w:color="000000"/>
            </w:tcBorders>
            <w:tcMar>
              <w:top w:w="100" w:type="dxa"/>
              <w:left w:w="100" w:type="dxa"/>
              <w:bottom w:w="100" w:type="dxa"/>
              <w:right w:w="100" w:type="dxa"/>
            </w:tcMar>
          </w:tcPr>
          <w:p w14:paraId="0A6DC602"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3051F4B9"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68B542A6"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79BEF430"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2DAAC442"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Placing Graft</w:t>
            </w:r>
          </w:p>
        </w:tc>
        <w:tc>
          <w:tcPr>
            <w:tcW w:w="1665" w:type="dxa"/>
            <w:tcBorders>
              <w:bottom w:val="single" w:sz="8" w:space="0" w:color="000000"/>
              <w:right w:val="single" w:sz="8" w:space="0" w:color="000000"/>
            </w:tcBorders>
            <w:tcMar>
              <w:top w:w="100" w:type="dxa"/>
              <w:left w:w="100" w:type="dxa"/>
              <w:bottom w:w="100" w:type="dxa"/>
              <w:right w:w="100" w:type="dxa"/>
            </w:tcMar>
          </w:tcPr>
          <w:p w14:paraId="0B37E455"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7A3F47E0"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2A41C3C3"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0CCAD843"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5CD742C7"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Replacing Flap</w:t>
            </w:r>
          </w:p>
        </w:tc>
        <w:tc>
          <w:tcPr>
            <w:tcW w:w="1665" w:type="dxa"/>
            <w:tcBorders>
              <w:bottom w:val="single" w:sz="8" w:space="0" w:color="000000"/>
              <w:right w:val="single" w:sz="8" w:space="0" w:color="000000"/>
            </w:tcBorders>
            <w:tcMar>
              <w:top w:w="100" w:type="dxa"/>
              <w:left w:w="100" w:type="dxa"/>
              <w:bottom w:w="100" w:type="dxa"/>
              <w:right w:w="100" w:type="dxa"/>
            </w:tcMar>
          </w:tcPr>
          <w:p w14:paraId="4929AE39"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5F0DAA0E"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6241FFA1" w14:textId="77777777" w:rsidTr="003E4DF5">
        <w:trPr>
          <w:trHeight w:val="225"/>
        </w:trPr>
        <w:tc>
          <w:tcPr>
            <w:tcW w:w="1785"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37FFE02A"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6E477A4E"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Packing Ear Canal</w:t>
            </w:r>
          </w:p>
        </w:tc>
        <w:tc>
          <w:tcPr>
            <w:tcW w:w="1665" w:type="dxa"/>
            <w:tcBorders>
              <w:bottom w:val="single" w:sz="8" w:space="0" w:color="000000"/>
              <w:right w:val="single" w:sz="8" w:space="0" w:color="000000"/>
            </w:tcBorders>
            <w:tcMar>
              <w:top w:w="100" w:type="dxa"/>
              <w:left w:w="100" w:type="dxa"/>
              <w:bottom w:w="100" w:type="dxa"/>
              <w:right w:w="100" w:type="dxa"/>
            </w:tcMar>
          </w:tcPr>
          <w:p w14:paraId="472BF460"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7C4AF265" w14:textId="77777777" w:rsidR="003E4DF5" w:rsidRPr="003E4DF5" w:rsidRDefault="003E4DF5" w:rsidP="003E4DF5">
            <w:pPr>
              <w:pStyle w:val="Normal1"/>
              <w:widowControl w:val="0"/>
              <w:rPr>
                <w:rFonts w:asciiTheme="minorHAnsi" w:hAnsiTheme="minorHAnsi"/>
                <w:sz w:val="16"/>
                <w:szCs w:val="16"/>
              </w:rPr>
            </w:pPr>
          </w:p>
        </w:tc>
      </w:tr>
    </w:tbl>
    <w:p w14:paraId="18F8B5E8" w14:textId="77777777" w:rsidR="00C07E73" w:rsidRDefault="00C07E73" w:rsidP="005B641B">
      <w:pPr>
        <w:widowControl w:val="0"/>
        <w:autoSpaceDE w:val="0"/>
        <w:autoSpaceDN w:val="0"/>
        <w:adjustRightInd w:val="0"/>
        <w:spacing w:after="240"/>
        <w:jc w:val="both"/>
        <w:rPr>
          <w:rFonts w:cs="Arial"/>
        </w:rPr>
      </w:pPr>
    </w:p>
    <w:p w14:paraId="186746C5" w14:textId="77777777" w:rsidR="00C07E73" w:rsidRDefault="003E4DF5" w:rsidP="005B641B">
      <w:pPr>
        <w:widowControl w:val="0"/>
        <w:autoSpaceDE w:val="0"/>
        <w:autoSpaceDN w:val="0"/>
        <w:adjustRightInd w:val="0"/>
        <w:spacing w:after="240"/>
        <w:jc w:val="both"/>
        <w:rPr>
          <w:rFonts w:cs="Arial"/>
        </w:rPr>
      </w:pPr>
      <w:r>
        <w:rPr>
          <w:rFonts w:cs="Arial"/>
        </w:rPr>
        <w:t xml:space="preserve">The patient chart states whether or not the patient has consented to recording their surgery duration. The date and time of the surgeries of patients who had consented are linked to the 5 digit code in a separate spreadsheet. </w:t>
      </w:r>
      <w:r w:rsidR="00C07E73">
        <w:rPr>
          <w:rFonts w:cs="Arial"/>
        </w:rPr>
        <w:t>This</w:t>
      </w:r>
      <w:r>
        <w:rPr>
          <w:rFonts w:cs="Arial"/>
        </w:rPr>
        <w:t xml:space="preserve"> key sheet and the</w:t>
      </w:r>
      <w:r w:rsidR="00C07E73">
        <w:rPr>
          <w:rFonts w:cs="Arial"/>
        </w:rPr>
        <w:t xml:space="preserve"> results sheet </w:t>
      </w:r>
      <w:r>
        <w:rPr>
          <w:rFonts w:cs="Arial"/>
        </w:rPr>
        <w:t xml:space="preserve">are </w:t>
      </w:r>
      <w:r w:rsidR="00C07E73">
        <w:rPr>
          <w:rFonts w:cs="Arial"/>
        </w:rPr>
        <w:t xml:space="preserve">kept in a file on a SickKids </w:t>
      </w:r>
      <w:r w:rsidR="00C07E73">
        <w:rPr>
          <w:rFonts w:cs="Arial"/>
        </w:rPr>
        <w:lastRenderedPageBreak/>
        <w:t xml:space="preserve">research computer. </w:t>
      </w:r>
    </w:p>
    <w:p w14:paraId="4D12C3F7" w14:textId="77777777" w:rsidR="00A2246A" w:rsidRDefault="00A2246A" w:rsidP="00A2246A">
      <w:commentRangeStart w:id="0"/>
      <w:r>
        <w:t>Results Analsyis:</w:t>
      </w:r>
    </w:p>
    <w:p w14:paraId="63F4B0BF" w14:textId="77777777" w:rsidR="00A2246A" w:rsidRDefault="00A2246A" w:rsidP="00A2246A">
      <w:r>
        <w:t xml:space="preserve">Discussion: </w:t>
      </w:r>
    </w:p>
    <w:p w14:paraId="3D2D7D4F" w14:textId="77777777" w:rsidR="00A2246A" w:rsidRPr="00A2246A" w:rsidRDefault="00A2246A" w:rsidP="00A2246A">
      <w:r>
        <w:t xml:space="preserve">Conclusion: </w:t>
      </w:r>
    </w:p>
    <w:commentRangeEnd w:id="0"/>
    <w:p w14:paraId="152D0516" w14:textId="77777777" w:rsidR="00661894" w:rsidRDefault="00A2246A" w:rsidP="00C07E73">
      <w:pPr>
        <w:pStyle w:val="Heading1"/>
      </w:pPr>
      <w:r>
        <w:rPr>
          <w:rStyle w:val="CommentReference"/>
          <w:rFonts w:asciiTheme="minorHAnsi" w:eastAsiaTheme="minorEastAsia" w:hAnsiTheme="minorHAnsi" w:cstheme="minorBidi"/>
          <w:b w:val="0"/>
          <w:bCs w:val="0"/>
          <w:color w:val="auto"/>
        </w:rPr>
        <w:commentReference w:id="0"/>
      </w:r>
      <w:r w:rsidR="00C07E73">
        <w:t xml:space="preserve">Part 2: </w:t>
      </w:r>
      <w:r>
        <w:t xml:space="preserve">Needs Assessment </w:t>
      </w:r>
      <w:r w:rsidR="005B641B" w:rsidRPr="00FD3A3E">
        <w:t xml:space="preserve">Survey: </w:t>
      </w:r>
    </w:p>
    <w:p w14:paraId="7B28D81B" w14:textId="77777777" w:rsidR="00A2246A" w:rsidRPr="005B641B" w:rsidRDefault="005171CF" w:rsidP="00A2246A">
      <w:pPr>
        <w:widowControl w:val="0"/>
        <w:autoSpaceDE w:val="0"/>
        <w:autoSpaceDN w:val="0"/>
        <w:adjustRightInd w:val="0"/>
        <w:spacing w:after="240"/>
        <w:jc w:val="both"/>
        <w:rPr>
          <w:rFonts w:cs="Arial"/>
          <w:b/>
        </w:rPr>
      </w:pPr>
      <w:r>
        <w:rPr>
          <w:lang w:val="en-CA"/>
        </w:rPr>
        <w:t>The</w:t>
      </w:r>
      <w:r w:rsidR="00A2246A">
        <w:rPr>
          <w:lang w:val="en-CA"/>
        </w:rPr>
        <w:t xml:space="preserve"> needs assessment survey aims to understand</w:t>
      </w:r>
      <w:r w:rsidR="00A2246A" w:rsidRPr="00FD3A3E">
        <w:rPr>
          <w:lang w:val="en-CA"/>
        </w:rPr>
        <w:t xml:space="preserve"> </w:t>
      </w:r>
      <w:r>
        <w:rPr>
          <w:lang w:val="en-CA"/>
        </w:rPr>
        <w:t>surgeons’ needs when performing</w:t>
      </w:r>
      <w:r w:rsidR="00A2246A">
        <w:rPr>
          <w:lang w:val="en-CA"/>
        </w:rPr>
        <w:t xml:space="preserve"> TEES in order to design instruments better suited for the surgery </w:t>
      </w:r>
      <w:r>
        <w:rPr>
          <w:lang w:val="en-CA"/>
        </w:rPr>
        <w:t>and thus encourage greater use of TEES</w:t>
      </w:r>
      <w:r w:rsidR="00A2246A">
        <w:rPr>
          <w:lang w:val="en-CA"/>
        </w:rPr>
        <w:t xml:space="preserve">. </w:t>
      </w:r>
      <w:r w:rsidR="00FF4510">
        <w:rPr>
          <w:lang w:val="en-CA"/>
        </w:rPr>
        <w:t>L</w:t>
      </w:r>
      <w:r w:rsidR="005B641B" w:rsidRPr="00FD3A3E">
        <w:rPr>
          <w:rFonts w:cs="Arial"/>
        </w:rPr>
        <w:t xml:space="preserve">imitations in current instrumentation will be </w:t>
      </w:r>
      <w:r w:rsidR="00A2246A">
        <w:rPr>
          <w:rFonts w:cs="Arial"/>
        </w:rPr>
        <w:t>assessed by following the Delphi method to survey ear surgeons.</w:t>
      </w:r>
      <w:r w:rsidR="00FF4510">
        <w:rPr>
          <w:rFonts w:cs="Arial"/>
        </w:rPr>
        <w:t xml:space="preserve"> </w:t>
      </w:r>
      <w:r w:rsidR="00FF4510">
        <w:rPr>
          <w:lang w:val="en-CA"/>
        </w:rPr>
        <w:t xml:space="preserve">This will be done by surveying ear surgeons and asking them to rate the importance of specific instrument functionalities during TEES. </w:t>
      </w:r>
      <w:r w:rsidR="00A2246A" w:rsidRPr="00FD3A3E">
        <w:rPr>
          <w:rFonts w:cs="Arial"/>
        </w:rPr>
        <w:t xml:space="preserve">This information will be used to develop design criteria against which future instrumentation and training models can be developed to facilitate practitioner use of endoscopic ear surgery. </w:t>
      </w:r>
      <w:r w:rsidR="00A2246A" w:rsidRPr="00FD3A3E">
        <w:rPr>
          <w:rFonts w:cs="Times New Roman"/>
          <w:lang w:val="en-CA"/>
        </w:rPr>
        <w:t xml:space="preserve"> </w:t>
      </w:r>
    </w:p>
    <w:p w14:paraId="68F79012" w14:textId="77777777" w:rsidR="00A2246A" w:rsidRDefault="00A2246A" w:rsidP="00E176B0">
      <w:pPr>
        <w:pStyle w:val="Heading2"/>
        <w:rPr>
          <w:lang w:val="en-CA"/>
        </w:rPr>
      </w:pPr>
      <w:r w:rsidRPr="005B641B">
        <w:rPr>
          <w:lang w:val="en-CA"/>
        </w:rPr>
        <w:t>Literature</w:t>
      </w:r>
      <w:r>
        <w:rPr>
          <w:lang w:val="en-CA"/>
        </w:rPr>
        <w:t xml:space="preserve">: </w:t>
      </w:r>
    </w:p>
    <w:p w14:paraId="7C5F03F0" w14:textId="77777777" w:rsidR="00E176B0" w:rsidRDefault="00FF4510" w:rsidP="00E176B0">
      <w:pPr>
        <w:widowControl w:val="0"/>
        <w:autoSpaceDE w:val="0"/>
        <w:autoSpaceDN w:val="0"/>
        <w:adjustRightInd w:val="0"/>
        <w:spacing w:after="240"/>
        <w:jc w:val="both"/>
        <w:rPr>
          <w:rFonts w:cs="Times New Roman"/>
          <w:lang w:val="en-CA"/>
        </w:rPr>
      </w:pPr>
      <w:r>
        <w:rPr>
          <w:rFonts w:cs="Times New Roman"/>
          <w:lang w:val="en-CA"/>
        </w:rPr>
        <w:t>Surveys and questionnaires</w:t>
      </w:r>
      <w:r w:rsidR="00A2246A">
        <w:rPr>
          <w:rFonts w:cs="Times New Roman"/>
          <w:lang w:val="en-CA"/>
        </w:rPr>
        <w:t xml:space="preserve"> are used to gain information regarding a specific topic by consulting a wide variety of experts in the field. Marcus et al. assessed the technical challenges of endoscopic neurosurgery and the scope for technological advances that would overcome the challenges by asking members of the Society of British Neurosurgeons to answer these questions in an online survey and analyzed using a multi-rater emergent themes analysis </w:t>
      </w:r>
      <w:r w:rsidR="0030642C">
        <w:rPr>
          <w:rFonts w:cs="Times New Roman"/>
          <w:lang w:val="en-CA"/>
        </w:rPr>
        <w:fldChar w:fldCharType="begin" w:fldLock="1"/>
      </w:r>
      <w:r w:rsidR="008949B0">
        <w:rPr>
          <w:rFonts w:cs="Times New Roman"/>
          <w:lang w:val="en-CA"/>
        </w:rPr>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"[10]", "plainTextFormattedCitation" : "[10]", "previouslyFormattedCitation" : "[9]" }, "properties" : { "noteIndex" : 0 }, "schema" : "https://github.com/citation-style-language/schema/raw/master/csl-citation.json" }</w:instrText>
      </w:r>
      <w:r w:rsidR="0030642C">
        <w:rPr>
          <w:rFonts w:cs="Times New Roman"/>
          <w:lang w:val="en-CA"/>
        </w:rPr>
        <w:fldChar w:fldCharType="separate"/>
      </w:r>
      <w:r w:rsidR="008949B0" w:rsidRPr="008949B0">
        <w:rPr>
          <w:rFonts w:cs="Times New Roman"/>
          <w:noProof/>
          <w:lang w:val="en-CA"/>
        </w:rPr>
        <w:t>[10]</w:t>
      </w:r>
      <w:r w:rsidR="0030642C">
        <w:rPr>
          <w:rFonts w:cs="Times New Roman"/>
          <w:lang w:val="en-CA"/>
        </w:rPr>
        <w:fldChar w:fldCharType="end"/>
      </w:r>
      <w:r w:rsidR="00A2246A">
        <w:rPr>
          <w:rFonts w:cs="Times New Roman"/>
          <w:lang w:val="en-CA"/>
        </w:rPr>
        <w:t xml:space="preserve">. As well, the members of the Canadian Society of Otolaryngology filled out a survey that characterized the current status of endoscopic ear surgery in Canada and reported a generally positive attitude toward endoscopes (81%) and their potential in the future of ear surgery </w:t>
      </w:r>
      <w:r w:rsidR="0030642C">
        <w:rPr>
          <w:rFonts w:cs="Times New Roman"/>
          <w:lang w:val="en-CA"/>
        </w:rPr>
        <w:fldChar w:fldCharType="begin" w:fldLock="1"/>
      </w:r>
      <w:r w:rsidR="008949B0">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"[11]", "plainTextFormattedCitation" : "[11]", "previouslyFormattedCitation" : "[10]" }, "properties" : { "noteIndex" : 0 }, "schema" : "https://github.com/citation-style-language/schema/raw/master/csl-citation.json" }</w:instrText>
      </w:r>
      <w:r w:rsidR="0030642C">
        <w:rPr>
          <w:rFonts w:cs="Times New Roman"/>
          <w:lang w:val="en-CA"/>
        </w:rPr>
        <w:fldChar w:fldCharType="separate"/>
      </w:r>
      <w:r w:rsidR="008949B0" w:rsidRPr="008949B0">
        <w:rPr>
          <w:rFonts w:cs="Times New Roman"/>
          <w:noProof/>
          <w:lang w:val="en-CA"/>
        </w:rPr>
        <w:t>[11]</w:t>
      </w:r>
      <w:r w:rsidR="0030642C">
        <w:rPr>
          <w:rFonts w:cs="Times New Roman"/>
          <w:lang w:val="en-CA"/>
        </w:rPr>
        <w:fldChar w:fldCharType="end"/>
      </w:r>
      <w:r w:rsidR="00A2246A">
        <w:rPr>
          <w:rFonts w:cs="Times New Roman"/>
          <w:lang w:val="en-CA"/>
        </w:rPr>
        <w:t xml:space="preserve">. 53% of the survey responders indicated they would likely use endoscopes in their own future practice </w:t>
      </w:r>
      <w:r w:rsidR="0030642C">
        <w:rPr>
          <w:rFonts w:cs="Times New Roman"/>
          <w:lang w:val="en-CA"/>
        </w:rPr>
        <w:fldChar w:fldCharType="begin" w:fldLock="1"/>
      </w:r>
      <w:r w:rsidR="008949B0">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"[11]", "plainTextFormattedCitation" : "[11]", "previouslyFormattedCitation" : "[10]" }, "properties" : { "noteIndex" : 0 }, "schema" : "https://github.com/citation-style-language/schema/raw/master/csl-citation.json" }</w:instrText>
      </w:r>
      <w:r w:rsidR="0030642C">
        <w:rPr>
          <w:rFonts w:cs="Times New Roman"/>
          <w:lang w:val="en-CA"/>
        </w:rPr>
        <w:fldChar w:fldCharType="separate"/>
      </w:r>
      <w:r w:rsidR="008949B0" w:rsidRPr="008949B0">
        <w:rPr>
          <w:rFonts w:cs="Times New Roman"/>
          <w:noProof/>
          <w:lang w:val="en-CA"/>
        </w:rPr>
        <w:t>[11]</w:t>
      </w:r>
      <w:r w:rsidR="0030642C">
        <w:rPr>
          <w:rFonts w:cs="Times New Roman"/>
          <w:lang w:val="en-CA"/>
        </w:rPr>
        <w:fldChar w:fldCharType="end"/>
      </w:r>
      <w:r w:rsidR="00A2246A">
        <w:rPr>
          <w:rFonts w:cs="Times New Roman"/>
          <w:lang w:val="en-CA"/>
        </w:rPr>
        <w:t xml:space="preserve">. This also showed that the main concern of TEES was the challenge of one-handed surgery and the advantage was reduced rates of residual disease  </w:t>
      </w:r>
      <w:r w:rsidR="0030642C">
        <w:rPr>
          <w:rFonts w:cs="Times New Roman"/>
          <w:lang w:val="en-CA"/>
        </w:rPr>
        <w:fldChar w:fldCharType="begin" w:fldLock="1"/>
      </w:r>
      <w:r w:rsidR="008949B0">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"[11]", "plainTextFormattedCitation" : "[11]", "previouslyFormattedCitation" : "[10]" }, "properties" : { "noteIndex" : 0 }, "schema" : "https://github.com/citation-style-language/schema/raw/master/csl-citation.json" }</w:instrText>
      </w:r>
      <w:r w:rsidR="0030642C">
        <w:rPr>
          <w:rFonts w:cs="Times New Roman"/>
          <w:lang w:val="en-CA"/>
        </w:rPr>
        <w:fldChar w:fldCharType="separate"/>
      </w:r>
      <w:r w:rsidR="008949B0" w:rsidRPr="008949B0">
        <w:rPr>
          <w:rFonts w:cs="Times New Roman"/>
          <w:noProof/>
          <w:lang w:val="en-CA"/>
        </w:rPr>
        <w:t>[11]</w:t>
      </w:r>
      <w:r w:rsidR="0030642C">
        <w:rPr>
          <w:rFonts w:cs="Times New Roman"/>
          <w:lang w:val="en-CA"/>
        </w:rPr>
        <w:fldChar w:fldCharType="end"/>
      </w:r>
      <w:r w:rsidR="00A2246A">
        <w:rPr>
          <w:rFonts w:cs="Times New Roman"/>
          <w:lang w:val="en-CA"/>
        </w:rPr>
        <w:t xml:space="preserve">. Therefore, this method has been used to gain knowledge in the field of endoscopic surgery and has been accepted as a method by members of the Canadian Society of Otolaryngology and will be used in this study to answer similar questions. </w:t>
      </w:r>
    </w:p>
    <w:p w14:paraId="642702A0" w14:textId="77777777" w:rsidR="00E176B0" w:rsidRDefault="00E176B0" w:rsidP="00A2246A">
      <w:pPr>
        <w:widowControl w:val="0"/>
        <w:autoSpaceDE w:val="0"/>
        <w:autoSpaceDN w:val="0"/>
        <w:adjustRightInd w:val="0"/>
        <w:spacing w:after="240"/>
        <w:jc w:val="both"/>
        <w:rPr>
          <w:rFonts w:cs="Times New Roman"/>
          <w:lang w:val="en-CA"/>
        </w:rPr>
      </w:pPr>
      <w:r>
        <w:rPr>
          <w:rFonts w:cs="Times New Roman"/>
          <w:lang w:val="en-CA"/>
        </w:rPr>
        <w:t xml:space="preserve">The Delphi method has been employed internationally in the field of surgery where surveys are sent out to surgeons to form a consensus about varying surgical questions such as: treatment of the retraction pockets of the tympanic membrane, developing a core set of patient-reported outcomes in pancreatic cancer, and an international consensus for sepsis and septic shock definitions </w:t>
      </w:r>
      <w:r w:rsidR="0030642C">
        <w:rPr>
          <w:rFonts w:cs="Times New Roman"/>
          <w:lang w:val="en-CA"/>
        </w:rPr>
        <w:fldChar w:fldCharType="begin" w:fldLock="1"/>
      </w:r>
      <w:r w:rsidR="008949B0">
        <w:rPr>
          <w:rFonts w:cs="Times New Roman"/>
          <w:lang w:val="en-CA"/>
        </w:rPr>
        <w:instrText>ADDIN CSL_CITATION { "citationItems" : [ { "id" : "ITEM-1", "itemData" : { "DOI" : "10.1016/j.ejca.2016.01.001", "ISSN" : "1879-0852", "PMID" : "26886181", "abstract" : "BACKGROUND Patient-reported outcomes (PROs) are amongst the most relevant outcome measures in pancreatic cancer care and research. However, it is unknown which out of the numerous PROs are most important to patients and health care professionals (HCPs) in this setting. The aim of this study was to identify a core set of PROs to be incorporated in a nationwide prospective multidisciplinary pancreatic cancer registry. PATIENTS AND METHODS We performed a two-round Delphi survey among 150 patients diagnosed with pancreatic or periampullary cancer (treated either with curative intent or in palliative setting) and 78 HCPs (surgeons, medical oncologists, gastroenterologists, radiotherapists, nurses, and dietitians) in The Netherlands. In round 1, participants were invited to rate the importance of 53 PROs, which were extracted from 17 different PRO measures and grouped into global domains, on a 1-9 Likert scale. PROs rated as very important (score 7-9) by the majority (\u2265 80%) of curative and/or palliative patients as well as HCPs were considered sufficiently important to be incorporated in the core set. PROs not fulfilling these criteria in round 1 were presented again to the participants in round 2 along with individual and group feedback. RESULTS A total of 97 patients (94%) in curative-intent setting, 38 patients (81%) in palliative setting and 73 HCPs (94%) completed both rounds 1 and 2. After the first round, 7 PROs were included in the core set: general quality of life, general health, physical ability, satisfaction with caregivers, satisfaction with services and care organisation, coping and defecation. After the second round, 10 additional PROs were added: appetite, ability to work/do usual activities, medication use, weight changes, fatigue, negative feelings, positive feelings, fear of recurrence, relationship with partner/family, and pancreatic enzyme replacement therapy use. CONCLUSION This study provides a core set of PROs selected by patients and HCPs, which may be incorporated in pancreatic cancer care and research. Validation outside the Dutch context is recommended for generalisation and use in international studies.", "author" : [ { "dropping-particle" : "", "family" : "Gerritsen", "given" : "Arja", "non-dropping-particle" : "", "parse-names" : false, "suffix" : "" }, { "dropping-particle" : "", "family" : "Jacobs", "given" : "Marc", "non-dropping-particle" : "", "parse-names" : false, "suffix" : "" }, { "dropping-particle" : "", "family" : "Henselmans", "given" : "Inge", "non-dropping-particle" : "", "parse-names" : false, "suffix" : "" }, { "dropping-particle" : "", "family" : "Hattum", "given" : "Jons", "non-dropping-particle" : "van", "parse-names" : false, "suffix" : "" }, { "dropping-particle" : "", "family" : "Efficace", "given" : "Fabio", "non-dropping-particle" : "", "parse-names" : false, "suffix" : "" }, { "dropping-particle" : "", "family" : "Creemers", "given" : "Geert-Jan", "non-dropping-particle" : "", "parse-names" : false, "suffix" : "" }, { "dropping-particle" : "", "family" : "Hingh", "given" : "Ignace H", "non-dropping-particle" : "de", "parse-names" : false, "suffix" : "" }, { "dropping-particle" : "", "family" : "Koopman", "given" : "Miriam", "non-dropping-particle" : "", "parse-names" : false, "suffix" : "" }, { "dropping-particle" : "", "family" : "Molenaar", "given" : "I Quintus", "non-dropping-particle" : "", "parse-names" : false, "suffix" : "" }, { "dropping-particle" : "", "family" : "Wilmink", "given" : "Hanneke W", "non-dropping-particle" : "", "parse-names" : false, "suffix" : "" }, { "dropping-particle" : "", "family" : "Busch", "given" : "Olivier R", "non-dropping-particle" : "", "parse-names" : false, "suffix" : "" }, { "dropping-particle" : "", "family" : "Besselink", "given" : "Marc G", "non-dropping-particle" : "", "parse-names" : false, "suffix" : "" }, { "dropping-particle" : "", "family" : "Laarhoven", "given" : "Hanneke W", "non-dropping-particle" : "van", "parse-names" : false, "suffix" : "" }, { "dropping-particle" : "", "family" : "Dutch Pancreatic Cancer Group", "given" : "", "non-dropping-particle" : "", "parse-names" : false, "suffix" : "" } ], "container-title" : "European journal of cancer (Oxford, England : 1990)", "id" : "ITEM-1", "issued" : { "date-parts" : [ [ "2016", "4" ] ] }, "page" : "68-77", "title" : "Developing a core set of patient-reported outcomes in pancreatic cancer: A Delphi survey.", "type" : "article-journal", "volume" : "57" }, "uris" : [ "http://www.mendeley.com/documents/?uuid=43c01060-90d9-394a-8f37-ae63184aa73f" ] } ], "mendeley" : { "formattedCitation" : "[12]", "plainTextFormattedCitation" : "[12]", "previouslyFormattedCitation" : "[11]" }, "properties" : { "noteIndex" : 0 }, "schema" : "https://github.com/citation-style-language/schema/raw/master/csl-citation.json" }</w:instrText>
      </w:r>
      <w:r w:rsidR="0030642C">
        <w:rPr>
          <w:rFonts w:cs="Times New Roman"/>
          <w:lang w:val="en-CA"/>
        </w:rPr>
        <w:fldChar w:fldCharType="separate"/>
      </w:r>
      <w:r w:rsidR="008949B0" w:rsidRPr="008949B0">
        <w:rPr>
          <w:rFonts w:cs="Times New Roman"/>
          <w:noProof/>
          <w:lang w:val="en-CA"/>
        </w:rPr>
        <w:t>[12]</w:t>
      </w:r>
      <w:r w:rsidR="0030642C">
        <w:rPr>
          <w:rFonts w:cs="Times New Roman"/>
          <w:lang w:val="en-CA"/>
        </w:rPr>
        <w:fldChar w:fldCharType="end"/>
      </w:r>
      <w:r>
        <w:rPr>
          <w:rFonts w:cs="Times New Roman"/>
          <w:lang w:val="en-CA"/>
        </w:rPr>
        <w:t xml:space="preserve"> </w:t>
      </w:r>
      <w:r w:rsidR="0030642C">
        <w:rPr>
          <w:rFonts w:cs="Times New Roman"/>
          <w:lang w:val="en-CA"/>
        </w:rPr>
        <w:fldChar w:fldCharType="begin" w:fldLock="1"/>
      </w:r>
      <w:r w:rsidR="008949B0">
        <w:rPr>
          <w:rFonts w:cs="Times New Roman"/>
          <w:lang w:val="en-CA"/>
        </w:rPr>
        <w:instrText>ADDIN CSL_CITATION { "citationItems" : [ { "id" : "ITEM-1", "itemData" : { "ISSN" : "0042-4668", "PMID" : "26977575", "abstract" : "The objective of the present study was to formulate the consensus document \u00abThe treatment of the retraction pockets (RP) of pars tensa and pars flaccida\u00bb as well as to estimate the situation in this country pertaining to the treatment of the retraction pockets of the tympanic membrane. We undertaken a pilot study that involved 91 practicing otorhinolaryngologists based at in-patient and out-patient healthcare facilities in different regions of the Russian Federation. M. Yung's questionnaire for otorhinolaryngologistswas used to gain relevant information. The Delphi technology was employed to process the data obtained. 30% of those who agreed to participate in the study answered to the proposed questions although some of them aroused a discord among the respondents. The results of this questionnaire study provided a basis for the pilot consensus document and allowed for the preliminary conclusion as regards prospects for the further exploration of both the problem in question and the instruments for this purpose with special reference to the awareness of the otorhinolaryngologists. Abstract available from the publisher.", "author" : [ { "dropping-particle" : "", "family" : "Kosyakov", "given" : "S Ya", "non-dropping-particle" : "", "parse-names" : false, "suffix" : "" }, { "dropping-particle" : "V", "family" : "Minavnina", "given" : "Yu", "non-dropping-particle" : "", "parse-names" : false, "suffix" : "" }, { "dropping-particle" : "V", "family" : "Pchelenok", "given" : "E", "non-dropping-particle" : "", "parse-names" : false, "suffix" : "" } ], "container-title" : "Vestnik otorinolaringologii", "id" : "ITEM-1", "issue" : "1", "issued" : { "date-parts" : [ [ "2016" ] ] }, "page" : "78-83", "title" : "[The consensus view of the treatment of the retraction pockets of the tympanic membrane].", "type" : "article-journal", "volume" : "81" }, "uris" : [ "http://www.mendeley.com/documents/?uuid=f7ef2f9f-ea01-3526-8191-3a816547a3b6" ] } ], "mendeley" : { "formattedCitation" : "[13]", "plainTextFormattedCitation" : "[13]", "previouslyFormattedCitation" : "[12]" }, "properties" : { "noteIndex" : 0 }, "schema" : "https://github.com/citation-style-language/schema/raw/master/csl-citation.json" }</w:instrText>
      </w:r>
      <w:r w:rsidR="0030642C">
        <w:rPr>
          <w:rFonts w:cs="Times New Roman"/>
          <w:lang w:val="en-CA"/>
        </w:rPr>
        <w:fldChar w:fldCharType="separate"/>
      </w:r>
      <w:r w:rsidR="008949B0" w:rsidRPr="008949B0">
        <w:rPr>
          <w:rFonts w:cs="Times New Roman"/>
          <w:noProof/>
          <w:lang w:val="en-CA"/>
        </w:rPr>
        <w:t>[13]</w:t>
      </w:r>
      <w:r w:rsidR="0030642C">
        <w:rPr>
          <w:rFonts w:cs="Times New Roman"/>
          <w:lang w:val="en-CA"/>
        </w:rPr>
        <w:fldChar w:fldCharType="end"/>
      </w:r>
      <w:r>
        <w:rPr>
          <w:rFonts w:cs="Times New Roman"/>
          <w:lang w:val="en-CA"/>
        </w:rPr>
        <w:t xml:space="preserve"> </w:t>
      </w:r>
      <w:r w:rsidR="0030642C">
        <w:rPr>
          <w:rFonts w:cs="Times New Roman"/>
          <w:lang w:val="en-CA"/>
        </w:rPr>
        <w:fldChar w:fldCharType="begin" w:fldLock="1"/>
      </w:r>
      <w:r w:rsidR="008949B0">
        <w:rPr>
          <w:rFonts w:cs="Times New Roman"/>
          <w:lang w:val="en-CA"/>
        </w:rPr>
        <w:instrText>ADDIN CSL_CITATION { "citationItems" : [ { "id" : "ITEM-1", "itemData" : { "DOI" : "10.1001/jama.2016.0287", "ISSN" : "1538-3598", "PMID" : "26903338", "abstract" : "IMPORTANCE Definitions of sepsis and septic shock were last revised in 2001. Considerable advances have since been made into the pathobiology (changes in organ function, morphology, cell biology, biochemistry, immunology, and circulation), management, and epidemiology of sepsis, suggesting the need for reexamination. OBJECTIVE To evaluate and, as needed, update definitions for sepsis and septic shock. PROCESS A task force (n\u2009=\u200919) with expertise in sepsis pathobiology, clinical trials, and epidemiology was convened by the Society of Critical Care Medicine and the European Society of Intensive Care Medicine. Definitions and clinical criteria were generated through meetings, Delphi processes, analysis of electronic health record databases, and voting, followed by circulation to international professional societies, requesting peer review and endorsement (by 31 societies listed in the Acknowledgment). KEY FINDINGS FROM EVIDENCE SYNTHESIS Limitations of previous definitions included an excessive focus on inflammation, the misleading model that sepsis follows a continuum through severe sepsis to shock, and inadequate specificity and sensitivity of the systemic inflammatory response syndrome (SIRS) criteria. Multiple definitions and terminologies are currently in use for sepsis, septic shock, and organ dysfunction, leading to discrepancies in reported incidence and observed mortality. The task force concluded the term severe sepsis was redundant. RECOMMENDATIONS Sepsis should be defined as life-threatening organ dysfunction caused by a dysregulated host response to infection. For clinical operationalization, organ dysfunction can be represented by an increase in the Sequential [Sepsis-related] Organ Failure Assessment (SOFA) score of 2 points or more, which is associated with an in-hospital mortality greater than 10%. Septic shock should be defined as a subset of sepsis in which particularly profound circulatory, cellular, and metabolic abnormalities are associated with a greater risk of mortality than with sepsis alone. Patients with septic shock can be clinically identified by a vasopressor requirement to maintain a mean arterial pressure of 65 mm Hg or greater and serum lactate level greater than 2 mmol/L (&gt;18 mg/dL) in the absence of hypovolemia. This combination is associated with hospital mortality rates greater than 40%. In out-of-hospital, emergency department, or general hospital ward settings, adult patients with suspected infection can be rapidly i\u2026", "author" : [ { "dropping-particle" : "", "family" : "Singer", "given" : "Mervyn", "non-dropping-particle" : "", "parse-names" : false, "suffix" : "" }, { "dropping-particle" : "", "family" : "Deutschman", "given" : "Clifford S", "non-dropping-particle" : "", "parse-names" : false, "suffix" : "" }, { "dropping-particle" : "", "family" : "Seymour", "given" : "Christopher Warren", "non-dropping-particle" : "", "parse-names" : false, "suffix" : "" }, { "dropping-particle" : "", "family" : "Shankar-Hari", "given" : "Manu", "non-dropping-particle" : "", "parse-names" : false, "suffix" : "" }, { "dropping-particle" : "", "family" : "Annane", "given" : "Djillali", "non-dropping-particle" : "", "parse-names" : false, "suffix" : "" }, { "dropping-particle" : "", "family" : "Bauer", "given" : "Michael", "non-dropping-particle" : "", "parse-names" : false, "suffix" : "" }, { "dropping-particle" : "", "family" : "Bellomo", "given" : "Rinaldo", "non-dropping-particle" : "", "parse-names" : false, "suffix" : "" }, { "dropping-particle" : "", "family" : "Bernard", "given" : "Gordon R", "non-dropping-particle" : "", "parse-names" : false, "suffix" : "" }, { "dropping-particle" : "", "family" : "Chiche", "given" : "Jean-Daniel", "non-dropping-particle" : "", "parse-names" : false, "suffix" : "" }, { "dropping-particle" : "", "family" : "Coopersmith", "given" : "Craig M", "non-dropping-particle" : "", "parse-names" : false, "suffix" : "" }, { "dropping-particle" : "", "family" : "Hotchkiss", "given" : "Richard S", "non-dropping-particle" : "", "parse-names" : false, "suffix" : "" }, { "dropping-particle" : "", "family" : "Levy", "given" : "Mitchell M", "non-dropping-particle" : "", "parse-names" : false, "suffix" : "" }, { "dropping-particle" : "", "family" : "Marshall", "given" : "John C", "non-dropping-particle" : "", "parse-names" : false, "suffix" : "" }, { "dropping-particle" : "", "family" : "Martin", "given" : "Greg S", "non-dropping-particle" : "", "parse-names" : false, "suffix" : "" }, { "dropping-particle" : "", "family" : "Opal", "given" : "Steven M", "non-dropping-particle" : "", "parse-names" : false, "suffix" : "" }, { "dropping-particle" : "", "family" : "Rubenfeld", "given" : "Gordon D", "non-dropping-particle" : "", "parse-names" : false, "suffix" : "" }, { "dropping-particle" : "", "family" : "Poll", "given" : "Tom", "non-dropping-particle" : "van der", "parse-names" : false, "suffix" : "" }, { "dropping-particle" : "", "family" : "Vincent", "given" : "Jean-Louis", "non-dropping-particle" : "", "parse-names" : false, "suffix" : "" }, { "dropping-particle" : "", "family" : "Angus", "given" : "Derek C", "non-dropping-particle" : "", "parse-names" : false, "suffix" : "" } ], "container-title" : "JAMA", "id" : "ITEM-1", "issue" : "8", "issued" : { "date-parts" : [ [ "2016", "2", "23" ] ] }, "page" : "801-10", "title" : "The Third International Consensus Definitions for Sepsis and Septic Shock (Sepsis-3).", "type" : "article-journal", "volume" : "315" }, "uris" : [ "http://www.mendeley.com/documents/?uuid=3da322cc-6c92-3607-95d3-6289cefcdc3a" ] } ], "mendeley" : { "formattedCitation" : "[14]", "plainTextFormattedCitation" : "[14]", "previouslyFormattedCitation" : "[13]" }, "properties" : { "noteIndex" : 0 }, "schema" : "https://github.com/citation-style-language/schema/raw/master/csl-citation.json" }</w:instrText>
      </w:r>
      <w:r w:rsidR="0030642C">
        <w:rPr>
          <w:rFonts w:cs="Times New Roman"/>
          <w:lang w:val="en-CA"/>
        </w:rPr>
        <w:fldChar w:fldCharType="separate"/>
      </w:r>
      <w:r w:rsidR="008949B0" w:rsidRPr="008949B0">
        <w:rPr>
          <w:rFonts w:cs="Times New Roman"/>
          <w:noProof/>
          <w:lang w:val="en-CA"/>
        </w:rPr>
        <w:t>[14]</w:t>
      </w:r>
      <w:r w:rsidR="0030642C">
        <w:rPr>
          <w:rFonts w:cs="Times New Roman"/>
          <w:lang w:val="en-CA"/>
        </w:rPr>
        <w:fldChar w:fldCharType="end"/>
      </w:r>
      <w:r>
        <w:rPr>
          <w:rFonts w:cs="Times New Roman"/>
          <w:lang w:val="en-CA"/>
        </w:rPr>
        <w:t>.</w:t>
      </w:r>
    </w:p>
    <w:p w14:paraId="479C9874" w14:textId="77777777" w:rsidR="00A2246A" w:rsidRDefault="00A2246A" w:rsidP="00A2246A">
      <w:pPr>
        <w:widowControl w:val="0"/>
        <w:autoSpaceDE w:val="0"/>
        <w:autoSpaceDN w:val="0"/>
        <w:adjustRightInd w:val="0"/>
        <w:spacing w:after="240"/>
        <w:jc w:val="both"/>
        <w:rPr>
          <w:rFonts w:cs="Times New Roman"/>
          <w:lang w:val="en-CA"/>
        </w:rPr>
      </w:pPr>
      <w:r>
        <w:rPr>
          <w:rFonts w:cs="Times New Roman"/>
          <w:lang w:val="en-CA"/>
        </w:rPr>
        <w:t xml:space="preserve">A two-round Delphi survey </w:t>
      </w:r>
      <w:r w:rsidR="00E176B0">
        <w:rPr>
          <w:rFonts w:cs="Times New Roman"/>
          <w:lang w:val="en-CA"/>
        </w:rPr>
        <w:t xml:space="preserve">was </w:t>
      </w:r>
      <w:r>
        <w:rPr>
          <w:rFonts w:cs="Times New Roman"/>
          <w:lang w:val="en-CA"/>
        </w:rPr>
        <w:t>employed to conduct the survey</w:t>
      </w:r>
      <w:r w:rsidR="00E176B0">
        <w:rPr>
          <w:rFonts w:cs="Times New Roman"/>
          <w:lang w:val="en-CA"/>
        </w:rPr>
        <w:t>, where the questionnaire was</w:t>
      </w:r>
      <w:r>
        <w:rPr>
          <w:rFonts w:cs="Times New Roman"/>
          <w:lang w:val="en-CA"/>
        </w:rPr>
        <w:t xml:space="preserve"> developed after speaking with local otolaryngologists at Toronto Hospitals, then the survey </w:t>
      </w:r>
      <w:r w:rsidR="00E176B0">
        <w:rPr>
          <w:rFonts w:cs="Times New Roman"/>
          <w:lang w:val="en-CA"/>
        </w:rPr>
        <w:t>was</w:t>
      </w:r>
      <w:r>
        <w:rPr>
          <w:rFonts w:cs="Times New Roman"/>
          <w:lang w:val="en-CA"/>
        </w:rPr>
        <w:t xml:space="preserve"> electronically sent out to Otology groups around the world. The responses </w:t>
      </w:r>
      <w:r w:rsidR="00E176B0">
        <w:rPr>
          <w:rFonts w:cs="Times New Roman"/>
          <w:lang w:val="en-CA"/>
        </w:rPr>
        <w:t>were</w:t>
      </w:r>
      <w:r>
        <w:rPr>
          <w:rFonts w:cs="Times New Roman"/>
          <w:lang w:val="en-CA"/>
        </w:rPr>
        <w:t xml:space="preserve"> analyzed using statistics to identify differing views. These will formulate</w:t>
      </w:r>
      <w:r w:rsidR="00E176B0">
        <w:rPr>
          <w:rFonts w:cs="Times New Roman"/>
          <w:lang w:val="en-CA"/>
        </w:rPr>
        <w:t>d</w:t>
      </w:r>
      <w:r>
        <w:rPr>
          <w:rFonts w:cs="Times New Roman"/>
          <w:lang w:val="en-CA"/>
        </w:rPr>
        <w:t xml:space="preserve"> further questions that </w:t>
      </w:r>
      <w:r w:rsidR="00E176B0">
        <w:rPr>
          <w:rFonts w:cs="Times New Roman"/>
          <w:lang w:val="en-CA"/>
        </w:rPr>
        <w:t>were</w:t>
      </w:r>
      <w:r>
        <w:rPr>
          <w:rFonts w:cs="Times New Roman"/>
          <w:lang w:val="en-CA"/>
        </w:rPr>
        <w:t xml:space="preserve"> sent out again to the respondents. The corresponding results </w:t>
      </w:r>
      <w:r w:rsidR="00E176B0">
        <w:rPr>
          <w:rFonts w:cs="Times New Roman"/>
          <w:lang w:val="en-CA"/>
        </w:rPr>
        <w:t>were analyzed to determine</w:t>
      </w:r>
      <w:r>
        <w:rPr>
          <w:rFonts w:cs="Times New Roman"/>
          <w:lang w:val="en-CA"/>
        </w:rPr>
        <w:t xml:space="preserve"> the final consensus. </w:t>
      </w:r>
    </w:p>
    <w:p w14:paraId="5D917C4C" w14:textId="77777777" w:rsidR="00E176B0" w:rsidRDefault="00E176B0" w:rsidP="00E176B0">
      <w:pPr>
        <w:pStyle w:val="Heading2"/>
        <w:rPr>
          <w:lang w:val="en-CA"/>
        </w:rPr>
      </w:pPr>
      <w:r>
        <w:rPr>
          <w:lang w:val="en-CA"/>
        </w:rPr>
        <w:t xml:space="preserve">Method: </w:t>
      </w:r>
    </w:p>
    <w:p w14:paraId="315A4780" w14:textId="77777777" w:rsidR="00E176B0" w:rsidRPr="005B641B" w:rsidRDefault="00E176B0" w:rsidP="00E176B0">
      <w:pPr>
        <w:pStyle w:val="Heading3"/>
        <w:rPr>
          <w:lang w:val="en-CA"/>
        </w:rPr>
      </w:pPr>
      <w:r w:rsidRPr="005B641B">
        <w:rPr>
          <w:lang w:val="en-CA"/>
        </w:rPr>
        <w:t xml:space="preserve">Developing the Questionnaire: </w:t>
      </w:r>
    </w:p>
    <w:p w14:paraId="6F75D5CF" w14:textId="77777777" w:rsidR="00E176B0" w:rsidRDefault="00E176B0" w:rsidP="00E176B0">
      <w:pPr>
        <w:jc w:val="both"/>
        <w:rPr>
          <w:lang w:val="en-CA"/>
        </w:rPr>
      </w:pPr>
    </w:p>
    <w:p w14:paraId="16985E03" w14:textId="77777777" w:rsidR="00E176B0" w:rsidRDefault="00E176B0" w:rsidP="00E176B0">
      <w:pPr>
        <w:jc w:val="both"/>
        <w:rPr>
          <w:lang w:val="en-CA"/>
        </w:rPr>
      </w:pPr>
      <w:r>
        <w:rPr>
          <w:lang w:val="en-CA"/>
        </w:rPr>
        <w:lastRenderedPageBreak/>
        <w:t xml:space="preserve">The Canadian otologists’ EES survey already reported on how many surgeons in Canada use TEES (11%),  what surgeries it is used for (cholesteatoma, tympanoplasty, ossicular reconstruction and what they find difficult about it (single-handed surgery, efficiency/operative time, technical difficulty, cost, managing bleeding. This questionnaire was intended to build on this one by evaluating the limitations of surgical tools. </w:t>
      </w:r>
    </w:p>
    <w:p w14:paraId="6E5B5DA6" w14:textId="77777777" w:rsidR="00E176B0" w:rsidRDefault="00E176B0" w:rsidP="00E176B0">
      <w:pPr>
        <w:pStyle w:val="ListParagraph"/>
        <w:numPr>
          <w:ilvl w:val="0"/>
          <w:numId w:val="9"/>
        </w:numPr>
        <w:jc w:val="both"/>
        <w:rPr>
          <w:lang w:val="en-CA"/>
        </w:rPr>
      </w:pPr>
      <w:r>
        <w:rPr>
          <w:lang w:val="en-CA"/>
        </w:rPr>
        <w:t>interviewed</w:t>
      </w:r>
      <w:r w:rsidRPr="00CB1821">
        <w:rPr>
          <w:lang w:val="en-CA"/>
        </w:rPr>
        <w:t xml:space="preserve"> ear surgeons locally about what they think about TEES, we narrowed down the main difficulties the surgeons experience during surgery and </w:t>
      </w:r>
      <w:r>
        <w:rPr>
          <w:lang w:val="en-CA"/>
        </w:rPr>
        <w:t>how they can see it being fixed</w:t>
      </w:r>
    </w:p>
    <w:p w14:paraId="42248ADD" w14:textId="77777777" w:rsidR="00E176B0" w:rsidRDefault="00E176B0" w:rsidP="00E176B0">
      <w:pPr>
        <w:pStyle w:val="ListParagraph"/>
        <w:numPr>
          <w:ilvl w:val="0"/>
          <w:numId w:val="9"/>
        </w:numPr>
        <w:jc w:val="both"/>
        <w:rPr>
          <w:highlight w:val="lightGray"/>
          <w:lang w:val="en-CA"/>
        </w:rPr>
      </w:pPr>
      <w:r>
        <w:rPr>
          <w:lang w:val="en-CA"/>
        </w:rPr>
        <w:t xml:space="preserve">attended an endoscopic ear surgery course held in Toronto in October, 2016 and asked all participants to fill out a preliminary survey. They were new to TEES, and so were just developing the techniques. The more experienced surgeons who delivered lectures during the course and trained the participants had ideas about what kind of instruments they wanted. </w:t>
      </w:r>
      <w:r w:rsidRPr="002D3FCA">
        <w:rPr>
          <w:highlight w:val="magenta"/>
          <w:lang w:val="en-CA"/>
        </w:rPr>
        <w:t>&lt;link to file with informal feedback from course: C:\Users\arushri swarup\Documents\GitHub\Graduate-School\EES Course&gt;</w:t>
      </w:r>
    </w:p>
    <w:p w14:paraId="0EF006F2" w14:textId="77777777" w:rsidR="00E176B0" w:rsidRPr="005B641B" w:rsidRDefault="00E176B0" w:rsidP="00E176B0">
      <w:pPr>
        <w:pStyle w:val="ListParagraph"/>
        <w:numPr>
          <w:ilvl w:val="0"/>
          <w:numId w:val="9"/>
        </w:numPr>
        <w:jc w:val="both"/>
        <w:rPr>
          <w:highlight w:val="lightGray"/>
          <w:lang w:val="en-CA"/>
        </w:rPr>
      </w:pPr>
      <w:r w:rsidRPr="005B641B">
        <w:rPr>
          <w:lang w:val="en-CA"/>
        </w:rPr>
        <w:t xml:space="preserve">based on the results of the preliminary questionnaire </w:t>
      </w:r>
      <w:r w:rsidRPr="002D3FCA">
        <w:rPr>
          <w:highlight w:val="magenta"/>
          <w:lang w:val="en-CA"/>
        </w:rPr>
        <w:t>&lt;link: C:\Users\arushri swarup\Documents\GitHub\Graduate-School\EES Course (excel doc)&gt;,</w:t>
      </w:r>
      <w:r>
        <w:rPr>
          <w:lang w:val="en-CA"/>
        </w:rPr>
        <w:t xml:space="preserve"> the second round of questions (submitted in the REB main application) were changed to ask the surgeons to rank their need for specific instrument functionalities</w:t>
      </w:r>
    </w:p>
    <w:p w14:paraId="29473068" w14:textId="77777777" w:rsidR="00E176B0" w:rsidRPr="005B641B" w:rsidRDefault="00E176B0" w:rsidP="00E176B0">
      <w:pPr>
        <w:rPr>
          <w:b/>
          <w:sz w:val="14"/>
          <w:lang w:val="en-CA"/>
        </w:rPr>
      </w:pPr>
      <w:r w:rsidRPr="005B641B">
        <w:rPr>
          <w:b/>
          <w:sz w:val="14"/>
          <w:lang w:val="en-CA"/>
        </w:rPr>
        <w:t>Endoscopic Ear Surgery Preliminary Questionnaire</w:t>
      </w:r>
    </w:p>
    <w:p w14:paraId="2B18CBFE" w14:textId="77777777" w:rsidR="00E176B0" w:rsidRPr="005B641B" w:rsidRDefault="00E176B0" w:rsidP="00E176B0">
      <w:pPr>
        <w:rPr>
          <w:sz w:val="14"/>
          <w:lang w:val="en-CA"/>
        </w:rPr>
      </w:pPr>
      <w:r w:rsidRPr="005B641B">
        <w:rPr>
          <w:sz w:val="14"/>
          <w:lang w:val="en-CA"/>
        </w:rPr>
        <w:t>Note: all answers are confidential for internal use to ultimately develop a formal questionnaire to be sent out globally.</w:t>
      </w:r>
    </w:p>
    <w:p w14:paraId="71568A50" w14:textId="77777777" w:rsidR="00E176B0" w:rsidRPr="005B641B" w:rsidRDefault="00E176B0" w:rsidP="00E176B0">
      <w:pPr>
        <w:pStyle w:val="ListParagraph"/>
        <w:numPr>
          <w:ilvl w:val="0"/>
          <w:numId w:val="10"/>
        </w:numPr>
        <w:ind w:left="426"/>
        <w:rPr>
          <w:sz w:val="14"/>
          <w:lang w:val="en-CA"/>
        </w:rPr>
      </w:pPr>
      <w:r w:rsidRPr="005B641B">
        <w:rPr>
          <w:sz w:val="14"/>
          <w:lang w:val="en-CA"/>
        </w:rPr>
        <w:t xml:space="preserve">How many years of experience do you have with Endoscopic Ear Surgery (EES)? </w:t>
      </w:r>
    </w:p>
    <w:p w14:paraId="2005245D" w14:textId="77777777" w:rsidR="00E176B0" w:rsidRPr="005B641B" w:rsidRDefault="00E176B0" w:rsidP="00E176B0">
      <w:pPr>
        <w:pStyle w:val="ListParagraph"/>
        <w:numPr>
          <w:ilvl w:val="1"/>
          <w:numId w:val="10"/>
        </w:numPr>
        <w:rPr>
          <w:sz w:val="14"/>
          <w:lang w:val="en-CA"/>
        </w:rPr>
      </w:pPr>
      <w:r w:rsidRPr="005B641B">
        <w:rPr>
          <w:sz w:val="14"/>
          <w:lang w:val="en-CA"/>
        </w:rPr>
        <w:t xml:space="preserve"> &lt;1 </w:t>
      </w:r>
    </w:p>
    <w:p w14:paraId="0050BCA9" w14:textId="77777777" w:rsidR="00E176B0" w:rsidRPr="005B641B" w:rsidRDefault="00E176B0" w:rsidP="00E176B0">
      <w:pPr>
        <w:pStyle w:val="ListParagraph"/>
        <w:numPr>
          <w:ilvl w:val="1"/>
          <w:numId w:val="10"/>
        </w:numPr>
        <w:rPr>
          <w:sz w:val="14"/>
          <w:lang w:val="en-CA"/>
        </w:rPr>
      </w:pPr>
      <w:r w:rsidRPr="005B641B">
        <w:rPr>
          <w:sz w:val="14"/>
          <w:lang w:val="en-CA"/>
        </w:rPr>
        <w:t>1-3</w:t>
      </w:r>
    </w:p>
    <w:p w14:paraId="34624DB4" w14:textId="77777777" w:rsidR="00E176B0" w:rsidRPr="005B641B" w:rsidRDefault="00E176B0" w:rsidP="00E176B0">
      <w:pPr>
        <w:pStyle w:val="ListParagraph"/>
        <w:numPr>
          <w:ilvl w:val="1"/>
          <w:numId w:val="10"/>
        </w:numPr>
        <w:rPr>
          <w:sz w:val="14"/>
          <w:lang w:val="en-CA"/>
        </w:rPr>
      </w:pPr>
      <w:r w:rsidRPr="005B641B">
        <w:rPr>
          <w:sz w:val="14"/>
          <w:lang w:val="en-CA"/>
        </w:rPr>
        <w:t xml:space="preserve">4-7 </w:t>
      </w:r>
    </w:p>
    <w:p w14:paraId="3A4BAF9C" w14:textId="77777777" w:rsidR="00E176B0" w:rsidRPr="005B641B" w:rsidRDefault="00E176B0" w:rsidP="00E176B0">
      <w:pPr>
        <w:pStyle w:val="ListParagraph"/>
        <w:numPr>
          <w:ilvl w:val="1"/>
          <w:numId w:val="10"/>
        </w:numPr>
        <w:rPr>
          <w:sz w:val="14"/>
          <w:lang w:val="en-CA"/>
        </w:rPr>
      </w:pPr>
      <w:r w:rsidRPr="005B641B">
        <w:rPr>
          <w:sz w:val="14"/>
          <w:lang w:val="en-CA"/>
        </w:rPr>
        <w:t xml:space="preserve">&gt;8 </w:t>
      </w:r>
    </w:p>
    <w:p w14:paraId="049CC4E6" w14:textId="77777777" w:rsidR="00E176B0" w:rsidRPr="005B641B" w:rsidRDefault="00E176B0" w:rsidP="00E176B0">
      <w:pPr>
        <w:pStyle w:val="ListParagraph"/>
        <w:numPr>
          <w:ilvl w:val="0"/>
          <w:numId w:val="10"/>
        </w:numPr>
        <w:ind w:left="426"/>
        <w:rPr>
          <w:sz w:val="14"/>
          <w:lang w:val="en-CA"/>
        </w:rPr>
      </w:pPr>
      <w:r w:rsidRPr="005B641B">
        <w:rPr>
          <w:sz w:val="14"/>
          <w:lang w:val="en-CA"/>
        </w:rPr>
        <w:t xml:space="preserve">Approximately what percentage of totally EES do you currently do (ie. Percentage of cases without a microscope)? </w:t>
      </w:r>
    </w:p>
    <w:p w14:paraId="0D3A5B23" w14:textId="77777777" w:rsidR="00E176B0" w:rsidRPr="005B641B" w:rsidRDefault="00E176B0" w:rsidP="00E176B0">
      <w:pPr>
        <w:pStyle w:val="ListParagraph"/>
        <w:numPr>
          <w:ilvl w:val="1"/>
          <w:numId w:val="10"/>
        </w:numPr>
        <w:rPr>
          <w:sz w:val="14"/>
          <w:lang w:val="en-CA"/>
        </w:rPr>
      </w:pPr>
      <w:r w:rsidRPr="005B641B">
        <w:rPr>
          <w:sz w:val="14"/>
          <w:lang w:val="en-CA"/>
        </w:rPr>
        <w:t>0%</w:t>
      </w:r>
    </w:p>
    <w:p w14:paraId="12C70E4E" w14:textId="77777777" w:rsidR="00E176B0" w:rsidRPr="005B641B" w:rsidRDefault="00E176B0" w:rsidP="00E176B0">
      <w:pPr>
        <w:pStyle w:val="ListParagraph"/>
        <w:numPr>
          <w:ilvl w:val="1"/>
          <w:numId w:val="10"/>
        </w:numPr>
        <w:rPr>
          <w:sz w:val="14"/>
          <w:lang w:val="en-CA"/>
        </w:rPr>
      </w:pPr>
      <w:r w:rsidRPr="005B641B">
        <w:rPr>
          <w:sz w:val="14"/>
          <w:lang w:val="en-CA"/>
        </w:rPr>
        <w:t xml:space="preserve">Up to 25% </w:t>
      </w:r>
    </w:p>
    <w:p w14:paraId="797C8FD6" w14:textId="77777777" w:rsidR="00E176B0" w:rsidRPr="005B641B" w:rsidRDefault="00E176B0" w:rsidP="00E176B0">
      <w:pPr>
        <w:pStyle w:val="ListParagraph"/>
        <w:numPr>
          <w:ilvl w:val="1"/>
          <w:numId w:val="10"/>
        </w:numPr>
        <w:rPr>
          <w:sz w:val="14"/>
          <w:lang w:val="en-CA"/>
        </w:rPr>
      </w:pPr>
      <w:r w:rsidRPr="005B641B">
        <w:rPr>
          <w:sz w:val="14"/>
          <w:lang w:val="en-CA"/>
        </w:rPr>
        <w:t>Up to 50%</w:t>
      </w:r>
    </w:p>
    <w:p w14:paraId="3AA70C37" w14:textId="77777777" w:rsidR="00E176B0" w:rsidRPr="005B641B" w:rsidRDefault="00E176B0" w:rsidP="00E176B0">
      <w:pPr>
        <w:pStyle w:val="ListParagraph"/>
        <w:numPr>
          <w:ilvl w:val="1"/>
          <w:numId w:val="10"/>
        </w:numPr>
        <w:rPr>
          <w:sz w:val="14"/>
          <w:lang w:val="en-CA"/>
        </w:rPr>
      </w:pPr>
      <w:r w:rsidRPr="005B641B">
        <w:rPr>
          <w:sz w:val="14"/>
          <w:lang w:val="en-CA"/>
        </w:rPr>
        <w:t>Up to 75%</w:t>
      </w:r>
    </w:p>
    <w:p w14:paraId="358C5D0B" w14:textId="77777777" w:rsidR="00E176B0" w:rsidRPr="005B641B" w:rsidRDefault="00E176B0" w:rsidP="00E176B0">
      <w:pPr>
        <w:pStyle w:val="ListParagraph"/>
        <w:numPr>
          <w:ilvl w:val="1"/>
          <w:numId w:val="10"/>
        </w:numPr>
        <w:rPr>
          <w:sz w:val="14"/>
          <w:lang w:val="en-CA"/>
        </w:rPr>
      </w:pPr>
      <w:r w:rsidRPr="005B641B">
        <w:rPr>
          <w:sz w:val="14"/>
          <w:lang w:val="en-CA"/>
        </w:rPr>
        <w:t>Up to 100 %</w:t>
      </w:r>
    </w:p>
    <w:p w14:paraId="64DA3846" w14:textId="77777777" w:rsidR="00E176B0" w:rsidRPr="005B641B" w:rsidRDefault="00E176B0" w:rsidP="00E176B0">
      <w:pPr>
        <w:pStyle w:val="ListParagraph"/>
        <w:numPr>
          <w:ilvl w:val="0"/>
          <w:numId w:val="10"/>
        </w:numPr>
        <w:ind w:left="426"/>
        <w:rPr>
          <w:rFonts w:ascii="Calibri" w:hAnsi="Calibri"/>
          <w:color w:val="000000"/>
          <w:sz w:val="14"/>
          <w:szCs w:val="20"/>
        </w:rPr>
      </w:pPr>
      <w:r w:rsidRPr="005B641B">
        <w:rPr>
          <w:rStyle w:val="m5457844605781567817s1"/>
          <w:rFonts w:ascii="Calibri" w:hAnsi="Calibri"/>
          <w:color w:val="000000"/>
          <w:sz w:val="14"/>
          <w:szCs w:val="20"/>
        </w:rPr>
        <w:t>What surgeries do you use EES for? </w:t>
      </w:r>
    </w:p>
    <w:p w14:paraId="22ADC7FF" w14:textId="77777777" w:rsidR="00E176B0" w:rsidRPr="005B641B" w:rsidRDefault="00E176B0" w:rsidP="00E176B0">
      <w:pPr>
        <w:pStyle w:val="ListParagraph"/>
        <w:numPr>
          <w:ilvl w:val="0"/>
          <w:numId w:val="14"/>
        </w:numPr>
        <w:rPr>
          <w:rStyle w:val="m5457844605781567817s1"/>
          <w:sz w:val="14"/>
        </w:rPr>
      </w:pPr>
      <w:r w:rsidRPr="005B641B">
        <w:rPr>
          <w:rStyle w:val="m5457844605781567817s1"/>
          <w:rFonts w:ascii="Calibri" w:hAnsi="Calibri"/>
          <w:color w:val="000000"/>
          <w:sz w:val="14"/>
          <w:szCs w:val="20"/>
        </w:rPr>
        <w:t>Cholesteatoma removal</w:t>
      </w:r>
    </w:p>
    <w:p w14:paraId="7FDE510F" w14:textId="77777777" w:rsidR="00E176B0" w:rsidRPr="005B641B" w:rsidRDefault="00E176B0" w:rsidP="00E176B0">
      <w:pPr>
        <w:pStyle w:val="ListParagraph"/>
        <w:numPr>
          <w:ilvl w:val="0"/>
          <w:numId w:val="14"/>
        </w:numPr>
        <w:rPr>
          <w:rStyle w:val="m5457844605781567817s1"/>
          <w:sz w:val="14"/>
        </w:rPr>
      </w:pPr>
      <w:r w:rsidRPr="005B641B">
        <w:rPr>
          <w:rStyle w:val="m5457844605781567817s1"/>
          <w:rFonts w:ascii="Calibri" w:hAnsi="Calibri"/>
          <w:color w:val="000000"/>
          <w:sz w:val="14"/>
          <w:szCs w:val="20"/>
        </w:rPr>
        <w:t>Tympanoplasty</w:t>
      </w:r>
    </w:p>
    <w:p w14:paraId="0ED89AF9" w14:textId="77777777" w:rsidR="00E176B0" w:rsidRPr="005B641B" w:rsidRDefault="00E176B0" w:rsidP="00E176B0">
      <w:pPr>
        <w:pStyle w:val="ListParagraph"/>
        <w:numPr>
          <w:ilvl w:val="0"/>
          <w:numId w:val="14"/>
        </w:numPr>
        <w:rPr>
          <w:rStyle w:val="m5457844605781567817s1"/>
          <w:sz w:val="14"/>
        </w:rPr>
      </w:pPr>
      <w:r w:rsidRPr="005B641B">
        <w:rPr>
          <w:rStyle w:val="m5457844605781567817s1"/>
          <w:rFonts w:ascii="Calibri" w:hAnsi="Calibri"/>
          <w:color w:val="000000"/>
          <w:sz w:val="14"/>
          <w:szCs w:val="20"/>
        </w:rPr>
        <w:t>Ossicular repair</w:t>
      </w:r>
    </w:p>
    <w:p w14:paraId="26BDF2F0" w14:textId="77777777" w:rsidR="00E176B0" w:rsidRPr="005B641B" w:rsidRDefault="00E176B0" w:rsidP="00E176B0">
      <w:pPr>
        <w:pStyle w:val="ListParagraph"/>
        <w:numPr>
          <w:ilvl w:val="0"/>
          <w:numId w:val="14"/>
        </w:numPr>
        <w:rPr>
          <w:rStyle w:val="m5457844605781567817s1"/>
          <w:sz w:val="14"/>
        </w:rPr>
      </w:pPr>
      <w:r w:rsidRPr="005B641B">
        <w:rPr>
          <w:rStyle w:val="m5457844605781567817s1"/>
          <w:rFonts w:ascii="Calibri" w:hAnsi="Calibri"/>
          <w:color w:val="000000"/>
          <w:sz w:val="14"/>
          <w:szCs w:val="20"/>
        </w:rPr>
        <w:t>Other</w:t>
      </w:r>
    </w:p>
    <w:p w14:paraId="601DA8AB" w14:textId="77777777" w:rsidR="00E176B0" w:rsidRPr="005B641B" w:rsidRDefault="00E176B0" w:rsidP="00E176B0">
      <w:pPr>
        <w:pStyle w:val="ListParagraph"/>
        <w:numPr>
          <w:ilvl w:val="0"/>
          <w:numId w:val="14"/>
        </w:numPr>
        <w:rPr>
          <w:rFonts w:ascii="Calibri" w:hAnsi="Calibri"/>
          <w:color w:val="000000"/>
          <w:sz w:val="14"/>
          <w:szCs w:val="20"/>
        </w:rPr>
      </w:pPr>
      <w:r w:rsidRPr="005B641B">
        <w:rPr>
          <w:rStyle w:val="m5457844605781567817s1"/>
          <w:rFonts w:ascii="Calibri" w:hAnsi="Calibri"/>
          <w:color w:val="000000"/>
          <w:sz w:val="14"/>
          <w:szCs w:val="20"/>
        </w:rPr>
        <w:t>None of the above</w:t>
      </w:r>
    </w:p>
    <w:p w14:paraId="6CDC8CE6" w14:textId="77777777" w:rsidR="00E176B0" w:rsidRPr="005B641B" w:rsidRDefault="00E176B0" w:rsidP="00E176B0">
      <w:pPr>
        <w:pStyle w:val="ListParagraph"/>
        <w:numPr>
          <w:ilvl w:val="0"/>
          <w:numId w:val="10"/>
        </w:numPr>
        <w:ind w:left="426"/>
        <w:rPr>
          <w:sz w:val="14"/>
          <w:lang w:val="en-CA"/>
        </w:rPr>
      </w:pPr>
      <w:r w:rsidRPr="005B641B">
        <w:rPr>
          <w:sz w:val="14"/>
          <w:lang w:val="en-CA"/>
        </w:rPr>
        <w:t xml:space="preserve">Do you currently use any of these dedicated EES instruments? </w:t>
      </w:r>
    </w:p>
    <w:p w14:paraId="64163928" w14:textId="77777777" w:rsidR="00E176B0" w:rsidRPr="005B641B" w:rsidRDefault="00E176B0" w:rsidP="00E176B0">
      <w:pPr>
        <w:pStyle w:val="ListParagraph"/>
        <w:numPr>
          <w:ilvl w:val="1"/>
          <w:numId w:val="10"/>
        </w:numPr>
        <w:rPr>
          <w:sz w:val="14"/>
          <w:lang w:val="en-CA"/>
        </w:rPr>
      </w:pPr>
      <w:r w:rsidRPr="005B641B">
        <w:rPr>
          <w:sz w:val="14"/>
          <w:lang w:val="en-CA"/>
        </w:rPr>
        <w:t>Spiggle and Theis Panetti Instrument Set</w:t>
      </w:r>
    </w:p>
    <w:p w14:paraId="439B990F" w14:textId="77777777" w:rsidR="00E176B0" w:rsidRPr="005B641B" w:rsidRDefault="00E176B0" w:rsidP="00E176B0">
      <w:pPr>
        <w:pStyle w:val="ListParagraph"/>
        <w:numPr>
          <w:ilvl w:val="1"/>
          <w:numId w:val="10"/>
        </w:numPr>
        <w:rPr>
          <w:sz w:val="14"/>
          <w:lang w:val="en-CA"/>
        </w:rPr>
      </w:pPr>
      <w:r w:rsidRPr="005B641B">
        <w:rPr>
          <w:sz w:val="14"/>
          <w:lang w:val="en-CA"/>
        </w:rPr>
        <w:t>Storz Endoscopic Middle Ear Surgery Instrument Set</w:t>
      </w:r>
    </w:p>
    <w:p w14:paraId="434BB302" w14:textId="77777777" w:rsidR="00E176B0" w:rsidRPr="005B641B" w:rsidRDefault="00E176B0" w:rsidP="00E176B0">
      <w:pPr>
        <w:pStyle w:val="ListParagraph"/>
        <w:numPr>
          <w:ilvl w:val="1"/>
          <w:numId w:val="10"/>
        </w:numPr>
        <w:rPr>
          <w:sz w:val="14"/>
          <w:lang w:val="en-CA"/>
        </w:rPr>
      </w:pPr>
      <w:r w:rsidRPr="005B641B">
        <w:rPr>
          <w:sz w:val="14"/>
          <w:lang w:val="en-CA"/>
        </w:rPr>
        <w:t>Grace Medical IWGEES Set</w:t>
      </w:r>
    </w:p>
    <w:p w14:paraId="4A1F3668" w14:textId="77777777" w:rsidR="00E176B0" w:rsidRPr="005B641B" w:rsidRDefault="00E176B0" w:rsidP="00E176B0">
      <w:pPr>
        <w:pStyle w:val="ListParagraph"/>
        <w:numPr>
          <w:ilvl w:val="0"/>
          <w:numId w:val="10"/>
        </w:numPr>
        <w:ind w:left="426"/>
        <w:rPr>
          <w:sz w:val="14"/>
          <w:lang w:val="en-CA"/>
        </w:rPr>
      </w:pPr>
      <w:r w:rsidRPr="005B641B">
        <w:rPr>
          <w:sz w:val="14"/>
          <w:lang w:val="en-CA"/>
        </w:rPr>
        <w:t>What are the factors that hinder your use of EES? (Please circle all that apply)</w:t>
      </w:r>
    </w:p>
    <w:p w14:paraId="2A771617" w14:textId="77777777" w:rsidR="00E176B0" w:rsidRPr="005B641B" w:rsidRDefault="00E176B0" w:rsidP="00E176B0">
      <w:pPr>
        <w:pStyle w:val="ListParagraph"/>
        <w:numPr>
          <w:ilvl w:val="1"/>
          <w:numId w:val="10"/>
        </w:numPr>
        <w:rPr>
          <w:sz w:val="14"/>
          <w:lang w:val="en-CA"/>
        </w:rPr>
      </w:pPr>
      <w:r w:rsidRPr="005B641B">
        <w:rPr>
          <w:sz w:val="14"/>
          <w:lang w:val="en-CA"/>
        </w:rPr>
        <w:t xml:space="preserve">One handed surgery </w:t>
      </w:r>
    </w:p>
    <w:p w14:paraId="35972FD2" w14:textId="77777777" w:rsidR="00E176B0" w:rsidRPr="005B641B" w:rsidRDefault="00E176B0" w:rsidP="00E176B0">
      <w:pPr>
        <w:pStyle w:val="ListParagraph"/>
        <w:numPr>
          <w:ilvl w:val="1"/>
          <w:numId w:val="10"/>
        </w:numPr>
        <w:rPr>
          <w:sz w:val="14"/>
          <w:lang w:val="en-CA"/>
        </w:rPr>
      </w:pPr>
      <w:r w:rsidRPr="005B641B">
        <w:rPr>
          <w:sz w:val="14"/>
          <w:lang w:val="en-CA"/>
        </w:rPr>
        <w:t>Bleeding control</w:t>
      </w:r>
    </w:p>
    <w:p w14:paraId="04125F5D" w14:textId="77777777" w:rsidR="00E176B0" w:rsidRPr="005B641B" w:rsidRDefault="00E176B0" w:rsidP="00E176B0">
      <w:pPr>
        <w:pStyle w:val="ListParagraph"/>
        <w:numPr>
          <w:ilvl w:val="1"/>
          <w:numId w:val="10"/>
        </w:numPr>
        <w:rPr>
          <w:sz w:val="14"/>
          <w:lang w:val="en-CA"/>
        </w:rPr>
      </w:pPr>
      <w:r w:rsidRPr="005B641B">
        <w:rPr>
          <w:sz w:val="14"/>
          <w:lang w:val="en-CA"/>
        </w:rPr>
        <w:t xml:space="preserve">Effect of endoscope on depth perception of the surgical field </w:t>
      </w:r>
    </w:p>
    <w:p w14:paraId="4FE11E9E" w14:textId="77777777" w:rsidR="00E176B0" w:rsidRPr="005B641B" w:rsidRDefault="00E176B0" w:rsidP="00E176B0">
      <w:pPr>
        <w:pStyle w:val="ListParagraph"/>
        <w:numPr>
          <w:ilvl w:val="1"/>
          <w:numId w:val="10"/>
        </w:numPr>
        <w:rPr>
          <w:sz w:val="14"/>
          <w:lang w:val="en-CA"/>
        </w:rPr>
      </w:pPr>
      <w:r w:rsidRPr="005B641B">
        <w:rPr>
          <w:sz w:val="14"/>
          <w:lang w:val="en-CA"/>
        </w:rPr>
        <w:t xml:space="preserve">Other, please specify below: </w:t>
      </w:r>
    </w:p>
    <w:p w14:paraId="0A607735" w14:textId="77777777" w:rsidR="00E176B0" w:rsidRPr="005B641B" w:rsidRDefault="00E176B0" w:rsidP="00E176B0">
      <w:pPr>
        <w:pStyle w:val="ListParagraph"/>
        <w:numPr>
          <w:ilvl w:val="0"/>
          <w:numId w:val="10"/>
        </w:numPr>
        <w:ind w:left="426"/>
        <w:rPr>
          <w:rFonts w:ascii="Calibri" w:hAnsi="Calibri"/>
          <w:color w:val="000000"/>
          <w:sz w:val="14"/>
          <w:szCs w:val="20"/>
        </w:rPr>
      </w:pPr>
      <w:r w:rsidRPr="005B641B">
        <w:rPr>
          <w:sz w:val="14"/>
          <w:lang w:val="en-CA"/>
        </w:rPr>
        <w:t>What</w:t>
      </w:r>
      <w:r w:rsidRPr="005B641B">
        <w:rPr>
          <w:rStyle w:val="m5457844605781567817s1"/>
          <w:rFonts w:ascii="Calibri" w:hAnsi="Calibri"/>
          <w:color w:val="000000"/>
          <w:sz w:val="14"/>
          <w:szCs w:val="20"/>
        </w:rPr>
        <w:t xml:space="preserve"> are things that you find difficult during EES? (Please circle all that apply)</w:t>
      </w:r>
    </w:p>
    <w:p w14:paraId="31C9DDA2" w14:textId="77777777" w:rsidR="00E176B0" w:rsidRPr="005B641B" w:rsidRDefault="00E176B0" w:rsidP="00E176B0">
      <w:pPr>
        <w:pStyle w:val="ListParagraph"/>
        <w:numPr>
          <w:ilvl w:val="0"/>
          <w:numId w:val="11"/>
        </w:numPr>
        <w:rPr>
          <w:sz w:val="14"/>
          <w:lang w:val="en-CA"/>
        </w:rPr>
      </w:pPr>
      <w:r w:rsidRPr="005B641B">
        <w:rPr>
          <w:sz w:val="14"/>
          <w:lang w:val="en-CA"/>
        </w:rPr>
        <w:t>Gripping and/or moving an ear drum graft</w:t>
      </w:r>
    </w:p>
    <w:p w14:paraId="28485E3A" w14:textId="77777777" w:rsidR="00E176B0" w:rsidRPr="005B641B" w:rsidRDefault="00E176B0" w:rsidP="00E176B0">
      <w:pPr>
        <w:pStyle w:val="ListParagraph"/>
        <w:numPr>
          <w:ilvl w:val="0"/>
          <w:numId w:val="11"/>
        </w:numPr>
        <w:rPr>
          <w:sz w:val="14"/>
          <w:lang w:val="en-CA"/>
        </w:rPr>
      </w:pPr>
      <w:r w:rsidRPr="005B641B">
        <w:rPr>
          <w:sz w:val="14"/>
          <w:lang w:val="en-CA"/>
        </w:rPr>
        <w:t>Cutting the ear drum graft into the appropriate shape</w:t>
      </w:r>
    </w:p>
    <w:p w14:paraId="7B53B0C2" w14:textId="77777777" w:rsidR="00E176B0" w:rsidRPr="005B641B" w:rsidRDefault="00E176B0" w:rsidP="00E176B0">
      <w:pPr>
        <w:pStyle w:val="ListParagraph"/>
        <w:numPr>
          <w:ilvl w:val="0"/>
          <w:numId w:val="11"/>
        </w:numPr>
        <w:rPr>
          <w:sz w:val="14"/>
          <w:lang w:val="en-CA"/>
        </w:rPr>
      </w:pPr>
      <w:r w:rsidRPr="005B641B">
        <w:rPr>
          <w:sz w:val="14"/>
          <w:lang w:val="en-CA"/>
        </w:rPr>
        <w:t>Gripping and/or moving cholesteatoma</w:t>
      </w:r>
    </w:p>
    <w:p w14:paraId="54B0EC93" w14:textId="77777777" w:rsidR="00E176B0" w:rsidRPr="005B641B" w:rsidRDefault="00E176B0" w:rsidP="00E176B0">
      <w:pPr>
        <w:pStyle w:val="ListParagraph"/>
        <w:numPr>
          <w:ilvl w:val="0"/>
          <w:numId w:val="11"/>
        </w:numPr>
        <w:rPr>
          <w:sz w:val="14"/>
          <w:lang w:val="en-CA"/>
        </w:rPr>
      </w:pPr>
      <w:r w:rsidRPr="005B641B">
        <w:rPr>
          <w:sz w:val="14"/>
          <w:lang w:val="en-CA"/>
        </w:rPr>
        <w:t xml:space="preserve">Keeping tissues in place or in tension while cutting or dissecting </w:t>
      </w:r>
    </w:p>
    <w:p w14:paraId="2270A509" w14:textId="77777777" w:rsidR="00E176B0" w:rsidRPr="005B641B" w:rsidRDefault="00E176B0" w:rsidP="00E176B0">
      <w:pPr>
        <w:pStyle w:val="ListParagraph"/>
        <w:numPr>
          <w:ilvl w:val="0"/>
          <w:numId w:val="11"/>
        </w:numPr>
        <w:rPr>
          <w:sz w:val="14"/>
          <w:lang w:val="en-CA"/>
        </w:rPr>
      </w:pPr>
      <w:r w:rsidRPr="005B641B">
        <w:rPr>
          <w:sz w:val="14"/>
          <w:lang w:val="en-CA"/>
        </w:rPr>
        <w:t xml:space="preserve">Keeping the operative field clean </w:t>
      </w:r>
    </w:p>
    <w:p w14:paraId="567817BF" w14:textId="77777777" w:rsidR="00E176B0" w:rsidRPr="005B641B" w:rsidRDefault="00E176B0" w:rsidP="00E176B0">
      <w:pPr>
        <w:pStyle w:val="ListParagraph"/>
        <w:numPr>
          <w:ilvl w:val="0"/>
          <w:numId w:val="11"/>
        </w:numPr>
        <w:rPr>
          <w:rStyle w:val="m5457844605781567817s1"/>
          <w:rFonts w:ascii="Calibri" w:hAnsi="Calibri"/>
          <w:color w:val="000000"/>
          <w:sz w:val="14"/>
          <w:szCs w:val="20"/>
        </w:rPr>
      </w:pPr>
      <w:r w:rsidRPr="005B641B">
        <w:rPr>
          <w:sz w:val="14"/>
          <w:lang w:val="en-CA"/>
        </w:rPr>
        <w:t>Accessing</w:t>
      </w:r>
      <w:r w:rsidRPr="005B641B">
        <w:rPr>
          <w:rStyle w:val="m5457844605781567817s1"/>
          <w:rFonts w:ascii="Calibri" w:hAnsi="Calibri"/>
          <w:color w:val="000000"/>
          <w:sz w:val="14"/>
          <w:szCs w:val="20"/>
        </w:rPr>
        <w:t xml:space="preserve"> areas within hidden recesses in the ear (e.g. antrum)</w:t>
      </w:r>
    </w:p>
    <w:p w14:paraId="5833CD2E" w14:textId="77777777" w:rsidR="00E176B0" w:rsidRPr="005B641B" w:rsidRDefault="00E176B0" w:rsidP="00E176B0">
      <w:pPr>
        <w:pStyle w:val="ListParagraph"/>
        <w:numPr>
          <w:ilvl w:val="0"/>
          <w:numId w:val="11"/>
        </w:numPr>
        <w:rPr>
          <w:rStyle w:val="m5457844605781567817s1"/>
          <w:rFonts w:ascii="Calibri" w:hAnsi="Calibri"/>
          <w:color w:val="000000"/>
          <w:sz w:val="14"/>
          <w:szCs w:val="20"/>
        </w:rPr>
      </w:pPr>
      <w:r w:rsidRPr="005B641B">
        <w:rPr>
          <w:sz w:val="14"/>
        </w:rPr>
        <w:t>Accessing areas that are visible via endoscope (but cannot be reached by conventional instrum</w:t>
      </w:r>
      <w:r w:rsidRPr="005B641B">
        <w:rPr>
          <w:rStyle w:val="m5457844605781567817s1"/>
          <w:rFonts w:ascii="Calibri" w:hAnsi="Calibri"/>
          <w:color w:val="000000"/>
          <w:sz w:val="14"/>
          <w:szCs w:val="20"/>
        </w:rPr>
        <w:t>ents)</w:t>
      </w:r>
    </w:p>
    <w:p w14:paraId="565352E6" w14:textId="77777777" w:rsidR="00E176B0" w:rsidRPr="005B641B" w:rsidRDefault="00E176B0" w:rsidP="00E176B0">
      <w:pPr>
        <w:pStyle w:val="ListParagraph"/>
        <w:numPr>
          <w:ilvl w:val="0"/>
          <w:numId w:val="11"/>
        </w:numPr>
        <w:rPr>
          <w:rStyle w:val="m5457844605781567817s1"/>
          <w:rFonts w:ascii="Calibri" w:hAnsi="Calibri"/>
          <w:color w:val="000000"/>
          <w:sz w:val="14"/>
          <w:szCs w:val="20"/>
        </w:rPr>
      </w:pPr>
      <w:r w:rsidRPr="005B641B">
        <w:rPr>
          <w:rStyle w:val="m5457844605781567817s1"/>
          <w:rFonts w:ascii="Calibri" w:hAnsi="Calibri"/>
          <w:color w:val="000000"/>
          <w:sz w:val="14"/>
          <w:szCs w:val="20"/>
        </w:rPr>
        <w:t>Keeping the endoscope lens clean </w:t>
      </w:r>
    </w:p>
    <w:p w14:paraId="55A01EB1" w14:textId="77777777" w:rsidR="00E176B0" w:rsidRPr="005B641B" w:rsidRDefault="00E176B0" w:rsidP="00E176B0">
      <w:pPr>
        <w:pStyle w:val="ListParagraph"/>
        <w:numPr>
          <w:ilvl w:val="0"/>
          <w:numId w:val="10"/>
        </w:numPr>
        <w:ind w:left="426"/>
        <w:rPr>
          <w:rFonts w:ascii="Calibri" w:hAnsi="Calibri"/>
          <w:color w:val="000000"/>
          <w:sz w:val="14"/>
          <w:szCs w:val="20"/>
        </w:rPr>
      </w:pPr>
      <w:r w:rsidRPr="005B641B">
        <w:rPr>
          <w:sz w:val="14"/>
          <w:lang w:val="en-CA"/>
        </w:rPr>
        <w:t>What</w:t>
      </w:r>
      <w:r w:rsidRPr="005B641B">
        <w:rPr>
          <w:rStyle w:val="m5457844605781567817s1"/>
          <w:rFonts w:ascii="Calibri" w:hAnsi="Calibri"/>
          <w:color w:val="000000"/>
          <w:sz w:val="14"/>
          <w:szCs w:val="20"/>
        </w:rPr>
        <w:t xml:space="preserve"> functionality of instruments do you think will improve your experience with EES? (Please circle all that apply)</w:t>
      </w:r>
    </w:p>
    <w:p w14:paraId="7AC63DAB" w14:textId="77777777" w:rsidR="00E176B0" w:rsidRPr="005B641B" w:rsidRDefault="00E176B0" w:rsidP="00E176B0">
      <w:pPr>
        <w:pStyle w:val="ListParagraph"/>
        <w:numPr>
          <w:ilvl w:val="1"/>
          <w:numId w:val="10"/>
        </w:numPr>
        <w:rPr>
          <w:sz w:val="14"/>
          <w:lang w:val="en-CA"/>
        </w:rPr>
      </w:pPr>
      <w:r w:rsidRPr="005B641B">
        <w:rPr>
          <w:rStyle w:val="m5457844605781567817s1"/>
          <w:rFonts w:ascii="Calibri" w:hAnsi="Calibri"/>
          <w:color w:val="000000"/>
          <w:sz w:val="14"/>
          <w:szCs w:val="20"/>
        </w:rPr>
        <w:t>S</w:t>
      </w:r>
      <w:r w:rsidRPr="005B641B">
        <w:rPr>
          <w:sz w:val="14"/>
          <w:lang w:val="en-CA"/>
        </w:rPr>
        <w:t>uction integrated with another functionality (e.g. suction + curette or suction + forceps)</w:t>
      </w:r>
    </w:p>
    <w:p w14:paraId="2238D35E" w14:textId="77777777" w:rsidR="00E176B0" w:rsidRPr="005B641B" w:rsidRDefault="00E176B0" w:rsidP="00E176B0">
      <w:pPr>
        <w:pStyle w:val="ListParagraph"/>
        <w:numPr>
          <w:ilvl w:val="1"/>
          <w:numId w:val="10"/>
        </w:numPr>
        <w:rPr>
          <w:sz w:val="14"/>
          <w:lang w:val="en-CA"/>
        </w:rPr>
      </w:pPr>
      <w:r w:rsidRPr="005B641B">
        <w:rPr>
          <w:sz w:val="14"/>
          <w:lang w:val="en-CA"/>
        </w:rPr>
        <w:t>Suction actuated by a pedal (rather than with finger plug hole)</w:t>
      </w:r>
    </w:p>
    <w:p w14:paraId="79117591" w14:textId="77777777" w:rsidR="00E176B0" w:rsidRPr="005B641B" w:rsidRDefault="00E176B0" w:rsidP="00E176B0">
      <w:pPr>
        <w:pStyle w:val="ListParagraph"/>
        <w:numPr>
          <w:ilvl w:val="1"/>
          <w:numId w:val="10"/>
        </w:numPr>
        <w:rPr>
          <w:sz w:val="14"/>
          <w:lang w:val="en-CA"/>
        </w:rPr>
      </w:pPr>
      <w:r w:rsidRPr="005B641B">
        <w:rPr>
          <w:sz w:val="14"/>
          <w:lang w:val="en-CA"/>
        </w:rPr>
        <w:t xml:space="preserve">Increasing accessibility of instrument tips to reach all areas within the viewing angle of the endoscope </w:t>
      </w:r>
    </w:p>
    <w:p w14:paraId="2DD83343" w14:textId="77777777" w:rsidR="00E176B0" w:rsidRPr="005B641B" w:rsidRDefault="00E176B0" w:rsidP="00E176B0">
      <w:pPr>
        <w:pStyle w:val="ListParagraph"/>
        <w:numPr>
          <w:ilvl w:val="1"/>
          <w:numId w:val="10"/>
        </w:numPr>
        <w:rPr>
          <w:rStyle w:val="m5457844605781567817s1"/>
          <w:sz w:val="14"/>
          <w:lang w:val="en-CA"/>
        </w:rPr>
      </w:pPr>
      <w:r w:rsidRPr="005B641B">
        <w:rPr>
          <w:sz w:val="14"/>
          <w:lang w:val="en-CA"/>
        </w:rPr>
        <w:t>None</w:t>
      </w:r>
    </w:p>
    <w:p w14:paraId="5A336748" w14:textId="77777777" w:rsidR="00E176B0" w:rsidRPr="005B641B" w:rsidRDefault="00E176B0" w:rsidP="00E176B0">
      <w:pPr>
        <w:pStyle w:val="ListParagraph"/>
        <w:numPr>
          <w:ilvl w:val="0"/>
          <w:numId w:val="10"/>
        </w:numPr>
        <w:ind w:left="426"/>
        <w:rPr>
          <w:rFonts w:ascii="Calibri" w:hAnsi="Calibri"/>
          <w:color w:val="000000"/>
          <w:sz w:val="14"/>
          <w:szCs w:val="20"/>
        </w:rPr>
      </w:pPr>
      <w:r w:rsidRPr="005B641B">
        <w:rPr>
          <w:rStyle w:val="m5457844605781567817s1"/>
          <w:rFonts w:ascii="Calibri" w:hAnsi="Calibri"/>
          <w:color w:val="000000"/>
          <w:sz w:val="14"/>
          <w:szCs w:val="20"/>
        </w:rPr>
        <w:t xml:space="preserve">If </w:t>
      </w:r>
      <w:r w:rsidRPr="005B641B">
        <w:rPr>
          <w:sz w:val="14"/>
          <w:lang w:val="en-CA"/>
        </w:rPr>
        <w:t>there</w:t>
      </w:r>
      <w:r w:rsidRPr="005B641B">
        <w:rPr>
          <w:rStyle w:val="m5457844605781567817s1"/>
          <w:rFonts w:ascii="Calibri" w:hAnsi="Calibri"/>
          <w:color w:val="000000"/>
          <w:sz w:val="14"/>
          <w:szCs w:val="20"/>
        </w:rPr>
        <w:t xml:space="preserve"> is a tool that can reach within the recesses in the middle ear, what would you like the tip function to be? </w:t>
      </w:r>
    </w:p>
    <w:p w14:paraId="010E1C1D" w14:textId="77777777"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Gripping something (e.g. forceps)</w:t>
      </w:r>
    </w:p>
    <w:p w14:paraId="155927AE" w14:textId="77777777"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Suctioning</w:t>
      </w:r>
    </w:p>
    <w:p w14:paraId="1853F8F5" w14:textId="77777777"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Cutting</w:t>
      </w:r>
    </w:p>
    <w:p w14:paraId="68829D90" w14:textId="77777777"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Dissecting</w:t>
      </w:r>
    </w:p>
    <w:p w14:paraId="75E39B9A" w14:textId="77777777"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A combination of the above (please specify) </w:t>
      </w:r>
    </w:p>
    <w:p w14:paraId="37D555E3" w14:textId="77777777"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Other </w:t>
      </w:r>
    </w:p>
    <w:p w14:paraId="0E4CB185" w14:textId="77777777" w:rsidR="00E176B0" w:rsidRPr="005B641B" w:rsidRDefault="00E176B0" w:rsidP="00E176B0">
      <w:pPr>
        <w:pStyle w:val="ListParagraph"/>
        <w:numPr>
          <w:ilvl w:val="0"/>
          <w:numId w:val="12"/>
        </w:numPr>
        <w:rPr>
          <w:rFonts w:ascii="Calibri" w:hAnsi="Calibri"/>
          <w:color w:val="000000"/>
          <w:sz w:val="14"/>
          <w:szCs w:val="20"/>
        </w:rPr>
      </w:pPr>
      <w:r w:rsidRPr="005B641B">
        <w:rPr>
          <w:rStyle w:val="m5457844605781567817s1"/>
          <w:rFonts w:ascii="Calibri" w:hAnsi="Calibri"/>
          <w:color w:val="000000"/>
          <w:sz w:val="14"/>
          <w:szCs w:val="20"/>
        </w:rPr>
        <w:lastRenderedPageBreak/>
        <w:t>It is unnecessary to reach within these recesses in EES </w:t>
      </w:r>
    </w:p>
    <w:p w14:paraId="2F42FCCE" w14:textId="77777777" w:rsidR="00E176B0" w:rsidRPr="005B641B" w:rsidRDefault="00E176B0" w:rsidP="00E176B0">
      <w:pPr>
        <w:pStyle w:val="ListParagraph"/>
        <w:numPr>
          <w:ilvl w:val="0"/>
          <w:numId w:val="10"/>
        </w:numPr>
        <w:ind w:left="426"/>
        <w:rPr>
          <w:rFonts w:ascii="Calibri" w:hAnsi="Calibri"/>
          <w:color w:val="000000"/>
          <w:sz w:val="14"/>
          <w:szCs w:val="20"/>
        </w:rPr>
      </w:pPr>
      <w:r w:rsidRPr="005B641B">
        <w:rPr>
          <w:rStyle w:val="m5457844605781567817s1"/>
          <w:rFonts w:ascii="Calibri" w:hAnsi="Calibri"/>
          <w:color w:val="000000"/>
          <w:sz w:val="14"/>
          <w:szCs w:val="20"/>
        </w:rPr>
        <w:t>Rank the functions of a tool in order of importance: </w:t>
      </w:r>
    </w:p>
    <w:p w14:paraId="37E93B3C" w14:textId="77777777" w:rsidR="00E176B0" w:rsidRPr="005B641B" w:rsidRDefault="00E176B0" w:rsidP="00E176B0">
      <w:pPr>
        <w:pStyle w:val="ListParagraph"/>
        <w:numPr>
          <w:ilvl w:val="0"/>
          <w:numId w:val="13"/>
        </w:numPr>
        <w:rPr>
          <w:rStyle w:val="m5457844605781567817s1"/>
          <w:sz w:val="14"/>
        </w:rPr>
      </w:pPr>
      <w:r w:rsidRPr="005B641B">
        <w:rPr>
          <w:rStyle w:val="m5457844605781567817s1"/>
          <w:rFonts w:ascii="Calibri" w:hAnsi="Calibri"/>
          <w:color w:val="000000"/>
          <w:sz w:val="14"/>
          <w:szCs w:val="20"/>
        </w:rPr>
        <w:t>Facilitate graft movement and positioning </w:t>
      </w:r>
    </w:p>
    <w:p w14:paraId="099242D1" w14:textId="77777777" w:rsidR="00E176B0" w:rsidRPr="005B641B" w:rsidRDefault="00E176B0" w:rsidP="00E176B0">
      <w:pPr>
        <w:pStyle w:val="ListParagraph"/>
        <w:numPr>
          <w:ilvl w:val="0"/>
          <w:numId w:val="13"/>
        </w:numPr>
        <w:rPr>
          <w:rStyle w:val="m5457844605781567817s1"/>
          <w:sz w:val="14"/>
        </w:rPr>
      </w:pPr>
      <w:r w:rsidRPr="005B641B">
        <w:rPr>
          <w:rStyle w:val="m5457844605781567817s1"/>
          <w:rFonts w:ascii="Calibri" w:hAnsi="Calibri"/>
          <w:color w:val="000000"/>
          <w:sz w:val="14"/>
          <w:szCs w:val="20"/>
        </w:rPr>
        <w:t>Suction</w:t>
      </w:r>
    </w:p>
    <w:p w14:paraId="4B1A137B" w14:textId="77777777" w:rsidR="00E176B0" w:rsidRPr="005B641B" w:rsidRDefault="00E176B0" w:rsidP="00E176B0">
      <w:pPr>
        <w:pStyle w:val="ListParagraph"/>
        <w:numPr>
          <w:ilvl w:val="0"/>
          <w:numId w:val="13"/>
        </w:numPr>
        <w:rPr>
          <w:rStyle w:val="m5457844605781567817s1"/>
          <w:sz w:val="14"/>
        </w:rPr>
      </w:pPr>
      <w:r w:rsidRPr="005B641B">
        <w:rPr>
          <w:rStyle w:val="m5457844605781567817s1"/>
          <w:rFonts w:ascii="Calibri" w:hAnsi="Calibri"/>
          <w:color w:val="000000"/>
          <w:sz w:val="14"/>
          <w:szCs w:val="20"/>
        </w:rPr>
        <w:t>Cutting </w:t>
      </w:r>
    </w:p>
    <w:p w14:paraId="426A416E" w14:textId="77777777" w:rsidR="00E176B0" w:rsidRPr="005B641B" w:rsidRDefault="00E176B0" w:rsidP="00E176B0">
      <w:pPr>
        <w:pStyle w:val="ListParagraph"/>
        <w:numPr>
          <w:ilvl w:val="0"/>
          <w:numId w:val="13"/>
        </w:numPr>
        <w:rPr>
          <w:rStyle w:val="m5457844605781567817s1"/>
          <w:rFonts w:ascii="Calibri" w:hAnsi="Calibri"/>
          <w:color w:val="000000"/>
          <w:sz w:val="14"/>
          <w:szCs w:val="20"/>
        </w:rPr>
      </w:pPr>
      <w:r w:rsidRPr="005B641B">
        <w:rPr>
          <w:rStyle w:val="m5457844605781567817s1"/>
          <w:rFonts w:ascii="Calibri" w:hAnsi="Calibri"/>
          <w:color w:val="000000"/>
          <w:sz w:val="14"/>
          <w:szCs w:val="20"/>
        </w:rPr>
        <w:t>Gripping (e.g. cholesteatoma, bone or ear drum graft)</w:t>
      </w:r>
    </w:p>
    <w:p w14:paraId="015CFA72" w14:textId="77777777" w:rsidR="00E176B0" w:rsidRPr="005B641B" w:rsidRDefault="00E176B0" w:rsidP="00E176B0">
      <w:pPr>
        <w:pStyle w:val="ListParagraph"/>
        <w:numPr>
          <w:ilvl w:val="0"/>
          <w:numId w:val="13"/>
        </w:numPr>
        <w:rPr>
          <w:rFonts w:ascii="Calibri" w:hAnsi="Calibri"/>
          <w:color w:val="000000"/>
          <w:sz w:val="14"/>
          <w:szCs w:val="20"/>
        </w:rPr>
      </w:pPr>
      <w:r w:rsidRPr="005B641B">
        <w:rPr>
          <w:rStyle w:val="m5457844605781567817s1"/>
          <w:rFonts w:ascii="Calibri" w:hAnsi="Calibri"/>
          <w:color w:val="000000"/>
          <w:sz w:val="14"/>
          <w:szCs w:val="20"/>
        </w:rPr>
        <w:t>Reaching hidden areas within the ear</w:t>
      </w:r>
    </w:p>
    <w:p w14:paraId="6700A6F4" w14:textId="77777777" w:rsidR="00E176B0" w:rsidRPr="005B641B" w:rsidRDefault="00E176B0" w:rsidP="00E176B0">
      <w:pPr>
        <w:pStyle w:val="ListParagraph"/>
        <w:numPr>
          <w:ilvl w:val="0"/>
          <w:numId w:val="10"/>
        </w:numPr>
        <w:ind w:left="426"/>
        <w:rPr>
          <w:sz w:val="14"/>
        </w:rPr>
      </w:pPr>
      <w:r w:rsidRPr="005B641B">
        <w:rPr>
          <w:sz w:val="14"/>
        </w:rPr>
        <w:t>Is there a specific instrument that you have used before or seen that you would like to be adapted for use in EES?</w:t>
      </w:r>
    </w:p>
    <w:p w14:paraId="1F11B9AF" w14:textId="77777777" w:rsidR="00E176B0" w:rsidRDefault="00E176B0" w:rsidP="00E176B0">
      <w:pPr>
        <w:jc w:val="both"/>
        <w:rPr>
          <w:lang w:val="en-CA"/>
        </w:rPr>
      </w:pPr>
    </w:p>
    <w:p w14:paraId="060D21C1" w14:textId="77777777" w:rsidR="00E176B0" w:rsidRDefault="00E176B0" w:rsidP="00E176B0">
      <w:pPr>
        <w:pStyle w:val="ListParagraph"/>
        <w:numPr>
          <w:ilvl w:val="0"/>
          <w:numId w:val="15"/>
        </w:numPr>
        <w:jc w:val="both"/>
        <w:rPr>
          <w:lang w:val="en-CA"/>
        </w:rPr>
      </w:pPr>
      <w:r w:rsidRPr="00400B77">
        <w:rPr>
          <w:lang w:val="en-CA"/>
        </w:rPr>
        <w:t xml:space="preserve">Based on the responses, we decided the questionnaire would ask about most of these difficulties </w:t>
      </w:r>
      <w:r>
        <w:rPr>
          <w:lang w:val="en-CA"/>
        </w:rPr>
        <w:t xml:space="preserve"> by asking them to rate their degree of difficulty with the following tasks</w:t>
      </w:r>
    </w:p>
    <w:p w14:paraId="40D49EE9" w14:textId="77777777" w:rsidR="00E176B0" w:rsidRPr="005B641B" w:rsidRDefault="00E176B0" w:rsidP="00E176B0">
      <w:pPr>
        <w:pStyle w:val="ListParagraph"/>
        <w:numPr>
          <w:ilvl w:val="0"/>
          <w:numId w:val="15"/>
        </w:numPr>
        <w:jc w:val="both"/>
        <w:rPr>
          <w:i/>
          <w:lang w:val="en-CA"/>
        </w:rPr>
      </w:pPr>
      <w:r w:rsidRPr="005B641B">
        <w:rPr>
          <w:i/>
          <w:lang w:val="en-CA"/>
        </w:rPr>
        <w:t>Rating technique</w:t>
      </w:r>
    </w:p>
    <w:p w14:paraId="37E13A85" w14:textId="77777777" w:rsidR="00E176B0" w:rsidRDefault="00E176B0" w:rsidP="00E176B0">
      <w:pPr>
        <w:pStyle w:val="ListParagraph"/>
        <w:numPr>
          <w:ilvl w:val="1"/>
          <w:numId w:val="15"/>
        </w:numPr>
        <w:jc w:val="both"/>
        <w:rPr>
          <w:lang w:val="en-CA"/>
        </w:rPr>
      </w:pPr>
      <w:r>
        <w:rPr>
          <w:lang w:val="en-CA"/>
        </w:rPr>
        <w:t xml:space="preserve">Likert vs. analog visual scale these papers said that the analog visual scale was better </w:t>
      </w:r>
      <w:r w:rsidRPr="00400B77">
        <w:rPr>
          <w:highlight w:val="yellow"/>
          <w:lang w:val="en-CA"/>
        </w:rPr>
        <w:t>BECAUSE</w:t>
      </w:r>
      <w:r>
        <w:rPr>
          <w:lang w:val="en-CA"/>
        </w:rPr>
        <w:t xml:space="preserve"> </w:t>
      </w:r>
      <w:r w:rsidR="0030642C">
        <w:rPr>
          <w:lang w:val="en-CA"/>
        </w:rPr>
        <w:fldChar w:fldCharType="begin" w:fldLock="1"/>
      </w:r>
      <w:r w:rsidR="008949B0">
        <w:rPr>
          <w:lang w:val="en-CA"/>
        </w:rPr>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"[15]", "plainTextFormattedCitation" : "[15]", "previouslyFormattedCitation" : "[14]" }, "properties" : { "noteIndex" : 0 }, "schema" : "https://github.com/citation-style-language/schema/raw/master/csl-citation.json" }</w:instrText>
      </w:r>
      <w:r w:rsidR="0030642C">
        <w:rPr>
          <w:lang w:val="en-CA"/>
        </w:rPr>
        <w:fldChar w:fldCharType="separate"/>
      </w:r>
      <w:r w:rsidR="008949B0" w:rsidRPr="008949B0">
        <w:rPr>
          <w:noProof/>
          <w:lang w:val="en-CA"/>
        </w:rPr>
        <w:t>[15]</w:t>
      </w:r>
      <w:r w:rsidR="0030642C">
        <w:rPr>
          <w:lang w:val="en-CA"/>
        </w:rPr>
        <w:fldChar w:fldCharType="end"/>
      </w:r>
      <w:r>
        <w:rPr>
          <w:lang w:val="en-CA"/>
        </w:rPr>
        <w:t xml:space="preserve"> </w:t>
      </w:r>
      <w:r w:rsidR="0030642C">
        <w:rPr>
          <w:lang w:val="en-CA"/>
        </w:rPr>
        <w:fldChar w:fldCharType="begin" w:fldLock="1"/>
      </w:r>
      <w:r w:rsidR="008949B0">
        <w:rPr>
          <w:lang w:val="en-CA"/>
        </w:rPr>
        <w:instrText>ADDIN CSL_CITATION { "citationItems" : [ { "id" : "ITEM-1", "itemData" : { "DOI" : "10.3758/BRM.41.1.99.Adaptive", "author" : [ { "dropping-particle" : "", "family" : "Marsh-richard", "given" : "Dawn M", "non-dropping-particle" : "", "parse-names" : false, "suffix" : "" }, { "dropping-particle" : "", "family" : "Hatzis", "given" : "Erin S", "non-dropping-particle" : "", "parse-names" : false, "suffix" : "" }, { "dropping-particle" : "", "family" : "Mathias", "given" : "Charles W", "non-dropping-particle" : "", "parse-names" : false, "suffix" : "" }, { "dropping-particle" : "", "family" : "Venditti", "given" : "Nicholas", "non-dropping-particle" : "", "parse-names" : false, "suffix" : "" }, { "dropping-particle" : "", "family" : "Dougherty", "given" : "Donald M", "non-dropping-particle" : "", "parse-names" : false, "suffix" : "" }, { "dropping-particle" : "", "family" : "Forest", "given" : "Wake", "non-dropping-particle" : "", "parse-names" : false, "suffix" : "" } ], "container-title" : "Health (San Francisco)", "id" : "ITEM-1", "issue" : "1", "issued" : { "date-parts" : [ [ "2009" ] ] }, "page" : "99-106", "title" : "Adaptive Visual Analog Scales (AVAS): A Modifiable Software Program for the Creation, Administration, and Scoring of Visual Analog Scales", "type" : "article-journal", "volume" : "41" }, "uris" : [ "http://www.mendeley.com/documents/?uuid=9ff8f84f-0730-4d42-ac02-9ac0e2bbc046" ] } ], "mendeley" : { "formattedCitation" : "[16]", "plainTextFormattedCitation" : "[16]", "previouslyFormattedCitation" : "[15]" }, "properties" : { "noteIndex" : 0 }, "schema" : "https://github.com/citation-style-language/schema/raw/master/csl-citation.json" }</w:instrText>
      </w:r>
      <w:r w:rsidR="0030642C">
        <w:rPr>
          <w:lang w:val="en-CA"/>
        </w:rPr>
        <w:fldChar w:fldCharType="separate"/>
      </w:r>
      <w:r w:rsidR="008949B0" w:rsidRPr="008949B0">
        <w:rPr>
          <w:noProof/>
          <w:lang w:val="en-CA"/>
        </w:rPr>
        <w:t>[16]</w:t>
      </w:r>
      <w:r w:rsidR="0030642C">
        <w:rPr>
          <w:lang w:val="en-CA"/>
        </w:rPr>
        <w:fldChar w:fldCharType="end"/>
      </w:r>
      <w:r>
        <w:rPr>
          <w:lang w:val="en-CA"/>
        </w:rPr>
        <w:t xml:space="preserve"> – 10 describes what VAS and an LS are </w:t>
      </w:r>
    </w:p>
    <w:p w14:paraId="568ECD0B" w14:textId="77777777" w:rsidR="00E176B0" w:rsidRDefault="00BF5837" w:rsidP="00E176B0">
      <w:pPr>
        <w:pStyle w:val="Normal1"/>
        <w:numPr>
          <w:ilvl w:val="1"/>
          <w:numId w:val="15"/>
        </w:numPr>
        <w:contextualSpacing/>
      </w:pPr>
      <w:hyperlink r:id="rId10" w:history="1">
        <w:r w:rsidR="00E176B0" w:rsidRPr="00231DA4">
          <w:rPr>
            <w:rStyle w:val="Hyperlink"/>
          </w:rPr>
          <w:t>http://www.statistik.tuwien.ac.at/forschung/SM/SM-2009-4complete.pdf</w:t>
        </w:r>
      </w:hyperlink>
    </w:p>
    <w:p w14:paraId="3F5CF8D6" w14:textId="77777777" w:rsidR="00E176B0" w:rsidRDefault="00E176B0" w:rsidP="00E176B0">
      <w:pPr>
        <w:pStyle w:val="Normal1"/>
        <w:numPr>
          <w:ilvl w:val="2"/>
          <w:numId w:val="15"/>
        </w:numPr>
        <w:contextualSpacing/>
      </w:pPr>
      <w:r>
        <w:t xml:space="preserve">States that the advantages of using the continuous rating scale over the likert are: </w:t>
      </w:r>
    </w:p>
    <w:p w14:paraId="6CC2FB69" w14:textId="77777777" w:rsidR="00E176B0" w:rsidRDefault="00E176B0" w:rsidP="00E176B0">
      <w:pPr>
        <w:pStyle w:val="Normal1"/>
        <w:numPr>
          <w:ilvl w:val="3"/>
          <w:numId w:val="15"/>
        </w:numPr>
        <w:contextualSpacing/>
      </w:pPr>
      <w:r>
        <w:t xml:space="preserve">Hard to discriminate between the categories </w:t>
      </w:r>
    </w:p>
    <w:p w14:paraId="0F33EAE7" w14:textId="77777777" w:rsidR="00E176B0" w:rsidRPr="00400B77" w:rsidRDefault="00E176B0" w:rsidP="00E176B0">
      <w:pPr>
        <w:pStyle w:val="Normal1"/>
        <w:numPr>
          <w:ilvl w:val="3"/>
          <w:numId w:val="15"/>
        </w:numPr>
        <w:contextualSpacing/>
      </w:pPr>
      <w:r>
        <w:t>Cts scale – the respondent is only given anchor points and so it is up to the respondent to pick any value in between</w:t>
      </w:r>
      <w:r w:rsidRPr="00E24AA2">
        <w:rPr>
          <w:highlight w:val="yellow"/>
        </w:rPr>
        <w:t>......(continue)</w:t>
      </w:r>
    </w:p>
    <w:p w14:paraId="55C747DB" w14:textId="77777777" w:rsidR="00E176B0" w:rsidRDefault="00E176B0" w:rsidP="00E176B0">
      <w:pPr>
        <w:pStyle w:val="ListParagraph"/>
        <w:numPr>
          <w:ilvl w:val="0"/>
          <w:numId w:val="15"/>
        </w:numPr>
        <w:jc w:val="both"/>
        <w:rPr>
          <w:lang w:val="en-CA"/>
        </w:rPr>
      </w:pPr>
      <w:r>
        <w:rPr>
          <w:lang w:val="en-CA"/>
        </w:rPr>
        <w:t xml:space="preserve">The wording of the scale was taken from: </w:t>
      </w:r>
    </w:p>
    <w:p w14:paraId="591C6F47" w14:textId="77777777" w:rsidR="00E176B0" w:rsidRPr="00400B77" w:rsidRDefault="00BF5837" w:rsidP="00E176B0">
      <w:pPr>
        <w:pStyle w:val="ListParagraph"/>
        <w:numPr>
          <w:ilvl w:val="1"/>
          <w:numId w:val="15"/>
        </w:numPr>
        <w:jc w:val="both"/>
        <w:rPr>
          <w:lang w:val="en-CA"/>
        </w:rPr>
      </w:pPr>
      <w:hyperlink r:id="rId11">
        <w:r w:rsidR="00E176B0" w:rsidRPr="00400B77">
          <w:rPr>
            <w:color w:val="1155CC"/>
            <w:u w:val="single"/>
          </w:rPr>
          <w:t>http://psr.iq.harvard.edu/files/psr/files/PSRQuestionnaireTipSheet_0.pdf</w:t>
        </w:r>
      </w:hyperlink>
      <w:r w:rsidR="00E176B0">
        <w:t>,</w:t>
      </w:r>
    </w:p>
    <w:p w14:paraId="32E5E503" w14:textId="77777777" w:rsidR="00E176B0" w:rsidRPr="00400B77" w:rsidRDefault="00BF5837" w:rsidP="00E176B0">
      <w:pPr>
        <w:pStyle w:val="ListParagraph"/>
        <w:numPr>
          <w:ilvl w:val="1"/>
          <w:numId w:val="15"/>
        </w:numPr>
        <w:jc w:val="both"/>
        <w:rPr>
          <w:lang w:val="en-CA"/>
        </w:rPr>
      </w:pPr>
      <w:hyperlink r:id="rId12">
        <w:r w:rsidR="00E176B0" w:rsidRPr="00400B77">
          <w:rPr>
            <w:color w:val="1155CC"/>
            <w:u w:val="single"/>
          </w:rPr>
          <w:t>http://www.uwex.edu/ces/4h/evaluation/documents/Wordingforratingscales.pdf</w:t>
        </w:r>
      </w:hyperlink>
      <w:r w:rsidR="00E176B0">
        <w:t xml:space="preserve"> </w:t>
      </w:r>
    </w:p>
    <w:p w14:paraId="388F8559" w14:textId="77777777" w:rsidR="00E176B0" w:rsidRDefault="00E176B0" w:rsidP="00E176B0">
      <w:pPr>
        <w:jc w:val="both"/>
        <w:rPr>
          <w:lang w:val="en-CA"/>
        </w:rPr>
      </w:pPr>
      <w:r>
        <w:rPr>
          <w:lang w:val="en-CA"/>
        </w:rPr>
        <w:t xml:space="preserve">visual analog scale (used in questionnaire) vs. likert scale: </w:t>
      </w:r>
      <w:r w:rsidR="0030642C">
        <w:rPr>
          <w:lang w:val="en-CA"/>
        </w:rPr>
        <w:fldChar w:fldCharType="begin" w:fldLock="1"/>
      </w:r>
      <w:r w:rsidR="008949B0">
        <w:rPr>
          <w:lang w:val="en-CA"/>
        </w:rPr>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"[15]", "plainTextFormattedCitation" : "[15]", "previouslyFormattedCitation" : "[14]" }, "properties" : { "noteIndex" : 0 }, "schema" : "https://github.com/citation-style-language/schema/raw/master/csl-citation.json" }</w:instrText>
      </w:r>
      <w:r w:rsidR="0030642C">
        <w:rPr>
          <w:lang w:val="en-CA"/>
        </w:rPr>
        <w:fldChar w:fldCharType="separate"/>
      </w:r>
      <w:r w:rsidR="008949B0" w:rsidRPr="008949B0">
        <w:rPr>
          <w:noProof/>
          <w:lang w:val="en-CA"/>
        </w:rPr>
        <w:t>[15]</w:t>
      </w:r>
      <w:r w:rsidR="0030642C">
        <w:rPr>
          <w:lang w:val="en-CA"/>
        </w:rPr>
        <w:fldChar w:fldCharType="end"/>
      </w:r>
    </w:p>
    <w:p w14:paraId="74FB7854" w14:textId="77777777" w:rsidR="00E176B0" w:rsidRDefault="00E176B0" w:rsidP="00E176B0">
      <w:pPr>
        <w:pStyle w:val="ListParagraph"/>
        <w:numPr>
          <w:ilvl w:val="0"/>
          <w:numId w:val="17"/>
        </w:numPr>
        <w:jc w:val="both"/>
        <w:rPr>
          <w:lang w:val="en-CA"/>
        </w:rPr>
      </w:pPr>
      <w:r>
        <w:rPr>
          <w:lang w:val="en-CA"/>
        </w:rPr>
        <w:t>Compare LS (5 point) to VAS in evaluating perceptions of an emergency department bedside clinical teaching programme</w:t>
      </w:r>
    </w:p>
    <w:p w14:paraId="6E4415EA" w14:textId="77777777" w:rsidR="00E176B0" w:rsidRDefault="00E176B0" w:rsidP="00E176B0">
      <w:pPr>
        <w:pStyle w:val="ListParagraph"/>
        <w:numPr>
          <w:ilvl w:val="0"/>
          <w:numId w:val="17"/>
        </w:numPr>
        <w:jc w:val="both"/>
        <w:rPr>
          <w:lang w:val="en-CA"/>
        </w:rPr>
      </w:pPr>
      <w:r>
        <w:rPr>
          <w:lang w:val="en-CA"/>
        </w:rPr>
        <w:t>Evaluation questionnaires used LTS and 100mm horizontal VAS for each question, and this paper, through analyzing the correlations between the two methods for each correlation, concluded that the VAS is a reliable and valid alternative to the LS for educational evaluation, and may provide advantages in educational measurement</w:t>
      </w:r>
    </w:p>
    <w:p w14:paraId="4509A553" w14:textId="77777777" w:rsidR="00E176B0" w:rsidRDefault="00E176B0" w:rsidP="00E176B0">
      <w:pPr>
        <w:pStyle w:val="ListParagraph"/>
        <w:numPr>
          <w:ilvl w:val="0"/>
          <w:numId w:val="17"/>
        </w:numPr>
        <w:jc w:val="both"/>
        <w:rPr>
          <w:lang w:val="en-CA"/>
        </w:rPr>
      </w:pPr>
      <w:r>
        <w:rPr>
          <w:lang w:val="en-CA"/>
        </w:rPr>
        <w:t>The study had the participants perform a self evaluation using both the VAS (anchors labeled “definitely” and “definitely not”) and LS</w:t>
      </w:r>
    </w:p>
    <w:p w14:paraId="1E18299C" w14:textId="77777777" w:rsidR="00E176B0" w:rsidRDefault="00E176B0" w:rsidP="00E176B0">
      <w:pPr>
        <w:pStyle w:val="ListParagraph"/>
        <w:numPr>
          <w:ilvl w:val="0"/>
          <w:numId w:val="17"/>
        </w:numPr>
        <w:jc w:val="both"/>
        <w:rPr>
          <w:lang w:val="en-CA"/>
        </w:rPr>
      </w:pPr>
      <w:r>
        <w:rPr>
          <w:lang w:val="en-CA"/>
        </w:rPr>
        <w:t xml:space="preserve">Questionnaires administered three times throughout the course of the study </w:t>
      </w:r>
    </w:p>
    <w:p w14:paraId="200111F3" w14:textId="77777777" w:rsidR="00E176B0" w:rsidRDefault="00E176B0" w:rsidP="00E176B0">
      <w:pPr>
        <w:pStyle w:val="ListParagraph"/>
        <w:numPr>
          <w:ilvl w:val="0"/>
          <w:numId w:val="17"/>
        </w:numPr>
        <w:jc w:val="both"/>
        <w:rPr>
          <w:lang w:val="en-CA"/>
        </w:rPr>
      </w:pPr>
      <w:r>
        <w:rPr>
          <w:lang w:val="en-CA"/>
        </w:rPr>
        <w:t xml:space="preserve">Tested for test-retest stability using the intraclass correlation coefficient and internal consistency using cronbach’s alpha. All but one question in the questionnaire had statistically significant correlation </w:t>
      </w:r>
    </w:p>
    <w:p w14:paraId="641A6DAB" w14:textId="77777777" w:rsidR="00E176B0" w:rsidRDefault="00E176B0" w:rsidP="00E176B0">
      <w:pPr>
        <w:pStyle w:val="ListParagraph"/>
        <w:numPr>
          <w:ilvl w:val="0"/>
          <w:numId w:val="17"/>
        </w:numPr>
        <w:jc w:val="both"/>
        <w:rPr>
          <w:lang w:val="en-CA"/>
        </w:rPr>
      </w:pPr>
      <w:r>
        <w:rPr>
          <w:lang w:val="en-CA"/>
        </w:rPr>
        <w:t xml:space="preserve">Conclusion: the VAS are instruments that can capture subjective phenomena quantitatively, similar to the likert scale but the LS uses ordinal scale restricting the respondent to predetermined categories </w:t>
      </w:r>
    </w:p>
    <w:p w14:paraId="64EE2384" w14:textId="77777777" w:rsidR="00E176B0" w:rsidRDefault="00E176B0" w:rsidP="00E176B0">
      <w:pPr>
        <w:pStyle w:val="ListParagraph"/>
        <w:numPr>
          <w:ilvl w:val="0"/>
          <w:numId w:val="17"/>
        </w:numPr>
        <w:jc w:val="both"/>
        <w:rPr>
          <w:lang w:val="en-CA"/>
        </w:rPr>
      </w:pPr>
      <w:r>
        <w:rPr>
          <w:lang w:val="en-CA"/>
        </w:rPr>
        <w:t>The VAS can discriminate finer differences because of the greater range of possible scores, also this makes it more likely that the data is normally distributed</w:t>
      </w:r>
    </w:p>
    <w:p w14:paraId="1ED57C76" w14:textId="77777777" w:rsidR="00E176B0" w:rsidRDefault="00E176B0" w:rsidP="00E176B0">
      <w:pPr>
        <w:pStyle w:val="ListParagraph"/>
        <w:numPr>
          <w:ilvl w:val="1"/>
          <w:numId w:val="17"/>
        </w:numPr>
        <w:jc w:val="both"/>
        <w:rPr>
          <w:lang w:val="en-CA"/>
        </w:rPr>
      </w:pPr>
      <w:r>
        <w:rPr>
          <w:lang w:val="en-CA"/>
        </w:rPr>
        <w:t>Can use parametric statistical analysis with a smaller sample size</w:t>
      </w:r>
    </w:p>
    <w:p w14:paraId="7F1477DB" w14:textId="77777777" w:rsidR="00A2246A" w:rsidRDefault="00A2246A" w:rsidP="00E176B0">
      <w:pPr>
        <w:widowControl w:val="0"/>
        <w:autoSpaceDE w:val="0"/>
        <w:autoSpaceDN w:val="0"/>
        <w:adjustRightInd w:val="0"/>
        <w:spacing w:after="240"/>
        <w:ind w:firstLine="0"/>
        <w:jc w:val="both"/>
        <w:rPr>
          <w:rFonts w:cs="Arial"/>
        </w:rPr>
      </w:pPr>
    </w:p>
    <w:p w14:paraId="4F470737" w14:textId="77777777" w:rsidR="005B641B" w:rsidRPr="00661894" w:rsidRDefault="005B641B" w:rsidP="005B641B">
      <w:pPr>
        <w:widowControl w:val="0"/>
        <w:autoSpaceDE w:val="0"/>
        <w:autoSpaceDN w:val="0"/>
        <w:adjustRightInd w:val="0"/>
        <w:spacing w:after="240"/>
        <w:jc w:val="both"/>
        <w:rPr>
          <w:rFonts w:cs="Times"/>
          <w:i/>
        </w:rPr>
      </w:pPr>
      <w:r w:rsidRPr="00FD3A3E">
        <w:rPr>
          <w:rFonts w:cs="Arial"/>
        </w:rPr>
        <w:t>The survey will then be sent, via email, to many otologists around the world, including the 60 members of the International Working Group on Endoscopic Ear Surgery (IWGEES) (http://www.iwgees.org) plus delegates that have attended courses organized by the PI and consenting members of the IWGEES.  The answers will be analyzed to develop a third survey that will be sent out once again to the participants. This will attempt to develop a consensus of conclusions for the survey.</w:t>
      </w:r>
    </w:p>
    <w:p w14:paraId="72ECB027" w14:textId="77777777" w:rsidR="005B641B" w:rsidRPr="00765F73" w:rsidRDefault="005B641B" w:rsidP="005B641B">
      <w:pPr>
        <w:widowControl w:val="0"/>
        <w:autoSpaceDE w:val="0"/>
        <w:autoSpaceDN w:val="0"/>
        <w:adjustRightInd w:val="0"/>
        <w:spacing w:after="240"/>
        <w:jc w:val="both"/>
        <w:rPr>
          <w:rFonts w:cs="Times"/>
        </w:rPr>
      </w:pPr>
      <w:r w:rsidRPr="00FD3A3E">
        <w:rPr>
          <w:rFonts w:cs="Arial"/>
        </w:rPr>
        <w:lastRenderedPageBreak/>
        <w:t xml:space="preserve">The confidential survey will be provided electronically using </w:t>
      </w:r>
      <w:r w:rsidR="00491849">
        <w:rPr>
          <w:rFonts w:cs="Arial"/>
        </w:rPr>
        <w:t>RedCap SickKids software.</w:t>
      </w:r>
    </w:p>
    <w:p w14:paraId="7D2ECCF0" w14:textId="77777777" w:rsidR="005B641B" w:rsidRPr="00FD3A3E" w:rsidRDefault="005B641B" w:rsidP="005B641B">
      <w:pPr>
        <w:widowControl w:val="0"/>
        <w:autoSpaceDE w:val="0"/>
        <w:autoSpaceDN w:val="0"/>
        <w:adjustRightInd w:val="0"/>
        <w:spacing w:after="240"/>
        <w:jc w:val="both"/>
        <w:rPr>
          <w:rFonts w:cs="Times"/>
        </w:rPr>
      </w:pPr>
      <w:r w:rsidRPr="00FD3A3E">
        <w:rPr>
          <w:rFonts w:cs="Arial"/>
        </w:rPr>
        <w:t xml:space="preserve">Factors such as these will be combined with emphasis given to those reported most frequently by survey respondents to generate a list of requirements for improvements in endoscopic surgical instrumentation. The list of requirements from the survey will be combined with the summary of the time-flow data to determine areas of greatest need for instrument improvement. </w:t>
      </w:r>
    </w:p>
    <w:p w14:paraId="07790E4C" w14:textId="77777777" w:rsidR="005B641B" w:rsidRPr="00FD3A3E" w:rsidRDefault="005B641B" w:rsidP="005B641B">
      <w:pPr>
        <w:widowControl w:val="0"/>
        <w:autoSpaceDE w:val="0"/>
        <w:autoSpaceDN w:val="0"/>
        <w:adjustRightInd w:val="0"/>
        <w:spacing w:after="240"/>
        <w:jc w:val="both"/>
        <w:rPr>
          <w:rFonts w:cs="Times"/>
        </w:rPr>
      </w:pPr>
      <w:r w:rsidRPr="00FD3A3E">
        <w:rPr>
          <w:rFonts w:cs="Arial"/>
        </w:rPr>
        <w:t>Surgeons previously contacted for the survey will be sent copies of the findings and invited to offer suggestions for improvements in instrument design. It is anticipated that the response rate to this request may be low as surgeons may be protective of their own ideas, but may still help to generate some innovative solutions. Any solutions offered will be combined with concepts already developed by the research team to generate innovative designs for novel instrumentation. The strengths and weaknesses of current otologic instruments will be included in this review and attention paid to combi</w:t>
      </w:r>
      <w:r>
        <w:rPr>
          <w:rFonts w:cs="Arial"/>
        </w:rPr>
        <w:t>ni</w:t>
      </w:r>
      <w:r w:rsidRPr="00FD3A3E">
        <w:rPr>
          <w:rFonts w:cs="Arial"/>
        </w:rPr>
        <w:t xml:space="preserve">ng functions of current instruments into single tools that can be simply operated with one hand. </w:t>
      </w:r>
    </w:p>
    <w:p w14:paraId="4A263DDE" w14:textId="77777777" w:rsidR="005B641B" w:rsidRDefault="005B641B" w:rsidP="005B641B">
      <w:pPr>
        <w:widowControl w:val="0"/>
        <w:autoSpaceDE w:val="0"/>
        <w:autoSpaceDN w:val="0"/>
        <w:adjustRightInd w:val="0"/>
        <w:spacing w:after="240"/>
        <w:jc w:val="both"/>
        <w:rPr>
          <w:rFonts w:cs="Arial"/>
        </w:rPr>
      </w:pPr>
      <w:r>
        <w:rPr>
          <w:rFonts w:cs="Arial"/>
        </w:rPr>
        <w:t xml:space="preserve">This methodology will collect insight from a variety of surgeons, however, a potential limitation </w:t>
      </w:r>
      <w:r w:rsidRPr="00FD3A3E">
        <w:rPr>
          <w:rFonts w:cs="Arial"/>
        </w:rPr>
        <w:t xml:space="preserve">would be a lack of adequate or representative responsiveness from survey participants. However, the creation of practical and innovative solutions to the challenges of endoscopic surgery is not dependent upon a high survey response rate. Having taught at multiple surgical courses, participated in seminars, attended endoscopic conferences around the world, and by associating with other leaders in the field, the PI has considerable insight into the current status of activity and opinions within the field of endoscopic ear surgery. </w:t>
      </w:r>
    </w:p>
    <w:p w14:paraId="23340F69" w14:textId="77777777" w:rsidR="002731D2" w:rsidRDefault="002731D2" w:rsidP="005B641B">
      <w:pPr>
        <w:widowControl w:val="0"/>
        <w:autoSpaceDE w:val="0"/>
        <w:autoSpaceDN w:val="0"/>
        <w:adjustRightInd w:val="0"/>
        <w:spacing w:after="240"/>
        <w:jc w:val="both"/>
        <w:rPr>
          <w:rFonts w:cs="Arial"/>
        </w:rPr>
      </w:pPr>
    </w:p>
    <w:p w14:paraId="1F3FF08F" w14:textId="5816CE60" w:rsidR="002731D2" w:rsidRDefault="002731D2" w:rsidP="005B641B">
      <w:pPr>
        <w:widowControl w:val="0"/>
        <w:autoSpaceDE w:val="0"/>
        <w:autoSpaceDN w:val="0"/>
        <w:adjustRightInd w:val="0"/>
        <w:spacing w:after="240"/>
        <w:jc w:val="both"/>
        <w:rPr>
          <w:rFonts w:cs="Arial"/>
        </w:rPr>
      </w:pPr>
      <w:r>
        <w:rPr>
          <w:rFonts w:cs="Arial"/>
        </w:rPr>
        <w:t xml:space="preserve">Statistical Analysis of survey results: </w:t>
      </w:r>
    </w:p>
    <w:p w14:paraId="72FC6760" w14:textId="3CDC14B5" w:rsidR="002731D2" w:rsidRDefault="002731D2" w:rsidP="005B641B">
      <w:pPr>
        <w:widowControl w:val="0"/>
        <w:autoSpaceDE w:val="0"/>
        <w:autoSpaceDN w:val="0"/>
        <w:adjustRightInd w:val="0"/>
        <w:spacing w:after="240"/>
        <w:jc w:val="both"/>
        <w:rPr>
          <w:rFonts w:cs="Arial"/>
        </w:rPr>
      </w:pPr>
      <w:r>
        <w:rPr>
          <w:rFonts w:cs="Arial"/>
        </w:rPr>
        <w:t>Factor = groups varying by experience e.g. group 1 = &lt;5 years, group 2 = &gt;5 years, group 3 = &gt;15 years</w:t>
      </w:r>
    </w:p>
    <w:p w14:paraId="02320673" w14:textId="16C785A3" w:rsidR="002731D2" w:rsidRDefault="002731D2" w:rsidP="005B641B">
      <w:pPr>
        <w:widowControl w:val="0"/>
        <w:autoSpaceDE w:val="0"/>
        <w:autoSpaceDN w:val="0"/>
        <w:adjustRightInd w:val="0"/>
        <w:spacing w:after="240"/>
        <w:jc w:val="both"/>
        <w:rPr>
          <w:rFonts w:cs="Arial"/>
        </w:rPr>
      </w:pPr>
      <w:r>
        <w:rPr>
          <w:rFonts w:cs="Arial"/>
        </w:rPr>
        <w:t xml:space="preserve">Result = nonparametric, ordinal categorical data </w:t>
      </w:r>
    </w:p>
    <w:p w14:paraId="75DF68E1" w14:textId="255C7E56" w:rsidR="002731D2" w:rsidRDefault="002731D2" w:rsidP="005B641B">
      <w:pPr>
        <w:widowControl w:val="0"/>
        <w:autoSpaceDE w:val="0"/>
        <w:autoSpaceDN w:val="0"/>
        <w:adjustRightInd w:val="0"/>
        <w:spacing w:after="240"/>
        <w:jc w:val="both"/>
        <w:rPr>
          <w:rFonts w:cs="Arial"/>
        </w:rPr>
      </w:pPr>
      <w:r>
        <w:rPr>
          <w:rFonts w:cs="Arial"/>
        </w:rPr>
        <w:t>Use Kruskall-Wallis test (which is a nonparametric way of doing ANOVA – not as much power as ANOVA but data does not satisfy normality assumptions of ANOVA therefore do this test instead)</w:t>
      </w:r>
    </w:p>
    <w:p w14:paraId="06166CE7" w14:textId="77777777" w:rsidR="002731D2" w:rsidRDefault="002731D2" w:rsidP="005B641B">
      <w:pPr>
        <w:widowControl w:val="0"/>
        <w:autoSpaceDE w:val="0"/>
        <w:autoSpaceDN w:val="0"/>
        <w:adjustRightInd w:val="0"/>
        <w:spacing w:after="240"/>
        <w:jc w:val="both"/>
        <w:rPr>
          <w:rFonts w:cs="Arial"/>
        </w:rPr>
      </w:pPr>
    </w:p>
    <w:p w14:paraId="6867675B" w14:textId="52ED0810" w:rsidR="002731D2" w:rsidRDefault="002731D2" w:rsidP="005B641B">
      <w:pPr>
        <w:widowControl w:val="0"/>
        <w:autoSpaceDE w:val="0"/>
        <w:autoSpaceDN w:val="0"/>
        <w:adjustRightInd w:val="0"/>
        <w:spacing w:after="240"/>
        <w:jc w:val="both"/>
        <w:rPr>
          <w:rFonts w:cs="Arial"/>
        </w:rPr>
      </w:pPr>
      <w:r>
        <w:rPr>
          <w:rFonts w:cs="Arial"/>
        </w:rPr>
        <w:t xml:space="preserve">Organize data as follows: </w:t>
      </w:r>
    </w:p>
    <w:p w14:paraId="639F31D3" w14:textId="77777777" w:rsidR="002731D2" w:rsidRDefault="002731D2" w:rsidP="005B641B">
      <w:pPr>
        <w:widowControl w:val="0"/>
        <w:autoSpaceDE w:val="0"/>
        <w:autoSpaceDN w:val="0"/>
        <w:adjustRightInd w:val="0"/>
        <w:spacing w:after="240"/>
        <w:jc w:val="both"/>
        <w:rPr>
          <w:rFonts w:cs="Arial"/>
        </w:rPr>
      </w:pPr>
      <w:r>
        <w:rPr>
          <w:rFonts w:cs="Arial"/>
        </w:rPr>
        <w:t>Experience</w:t>
      </w:r>
      <w:r>
        <w:rPr>
          <w:rFonts w:cs="Arial"/>
        </w:rPr>
        <w:tab/>
        <w:t>question_1 question_2</w:t>
      </w:r>
      <w:r>
        <w:rPr>
          <w:rFonts w:cs="Arial"/>
        </w:rPr>
        <w:tab/>
        <w:t>question_3</w:t>
      </w:r>
    </w:p>
    <w:p w14:paraId="6224A9BA" w14:textId="373D49D2" w:rsidR="002731D2" w:rsidRDefault="002731D2" w:rsidP="005B641B">
      <w:pPr>
        <w:widowControl w:val="0"/>
        <w:autoSpaceDE w:val="0"/>
        <w:autoSpaceDN w:val="0"/>
        <w:adjustRightInd w:val="0"/>
        <w:spacing w:after="240"/>
        <w:jc w:val="both"/>
        <w:rPr>
          <w:rFonts w:cs="Arial"/>
        </w:rPr>
      </w:pPr>
      <w:r>
        <w:rPr>
          <w:rFonts w:cs="Arial"/>
        </w:rPr>
        <w:t>1</w:t>
      </w:r>
      <w:r>
        <w:rPr>
          <w:rFonts w:cs="Arial"/>
        </w:rPr>
        <w:tab/>
      </w:r>
      <w:r>
        <w:rPr>
          <w:rFonts w:cs="Arial"/>
        </w:rPr>
        <w:tab/>
        <w:t>50</w:t>
      </w:r>
      <w:r>
        <w:rPr>
          <w:rFonts w:cs="Arial"/>
        </w:rPr>
        <w:tab/>
      </w:r>
      <w:r>
        <w:rPr>
          <w:rFonts w:cs="Arial"/>
        </w:rPr>
        <w:tab/>
        <w:t>69</w:t>
      </w:r>
      <w:r>
        <w:rPr>
          <w:rFonts w:cs="Arial"/>
        </w:rPr>
        <w:tab/>
        <w:t>30</w:t>
      </w:r>
      <w:r>
        <w:rPr>
          <w:rFonts w:cs="Arial"/>
        </w:rPr>
        <w:tab/>
      </w:r>
    </w:p>
    <w:p w14:paraId="3AF6F34D" w14:textId="4545CAEA" w:rsidR="002731D2" w:rsidRDefault="002731D2" w:rsidP="005B641B">
      <w:pPr>
        <w:widowControl w:val="0"/>
        <w:autoSpaceDE w:val="0"/>
        <w:autoSpaceDN w:val="0"/>
        <w:adjustRightInd w:val="0"/>
        <w:spacing w:after="240"/>
        <w:jc w:val="both"/>
        <w:rPr>
          <w:rFonts w:cs="Arial"/>
        </w:rPr>
      </w:pPr>
      <w:r>
        <w:rPr>
          <w:rFonts w:cs="Arial"/>
        </w:rPr>
        <w:t>3</w:t>
      </w:r>
      <w:r>
        <w:rPr>
          <w:rFonts w:cs="Arial"/>
        </w:rPr>
        <w:tab/>
      </w:r>
      <w:r>
        <w:rPr>
          <w:rFonts w:cs="Arial"/>
        </w:rPr>
        <w:tab/>
        <w:t>60</w:t>
      </w:r>
      <w:r>
        <w:rPr>
          <w:rFonts w:cs="Arial"/>
        </w:rPr>
        <w:tab/>
      </w:r>
      <w:r>
        <w:rPr>
          <w:rFonts w:cs="Arial"/>
        </w:rPr>
        <w:tab/>
        <w:t>78</w:t>
      </w:r>
      <w:r>
        <w:rPr>
          <w:rFonts w:cs="Arial"/>
        </w:rPr>
        <w:tab/>
        <w:t>90</w:t>
      </w:r>
      <w:r>
        <w:rPr>
          <w:rFonts w:cs="Arial"/>
        </w:rPr>
        <w:tab/>
      </w:r>
    </w:p>
    <w:p w14:paraId="797C1C75" w14:textId="1C1E167F" w:rsidR="002731D2" w:rsidRDefault="002731D2" w:rsidP="005B641B">
      <w:pPr>
        <w:widowControl w:val="0"/>
        <w:autoSpaceDE w:val="0"/>
        <w:autoSpaceDN w:val="0"/>
        <w:adjustRightInd w:val="0"/>
        <w:spacing w:after="240"/>
        <w:jc w:val="both"/>
        <w:rPr>
          <w:rFonts w:cs="Arial"/>
        </w:rPr>
      </w:pPr>
      <w:r>
        <w:rPr>
          <w:rFonts w:cs="Arial"/>
        </w:rPr>
        <w:t>2… etc.</w:t>
      </w:r>
    </w:p>
    <w:p w14:paraId="661443E9" w14:textId="77777777" w:rsidR="002731D2" w:rsidRDefault="002731D2" w:rsidP="005B641B">
      <w:pPr>
        <w:widowControl w:val="0"/>
        <w:autoSpaceDE w:val="0"/>
        <w:autoSpaceDN w:val="0"/>
        <w:adjustRightInd w:val="0"/>
        <w:spacing w:after="240"/>
        <w:jc w:val="both"/>
        <w:rPr>
          <w:rFonts w:cs="Arial"/>
        </w:rPr>
      </w:pPr>
      <w:r>
        <w:rPr>
          <w:rFonts w:cs="Arial"/>
        </w:rPr>
        <w:t>1</w:t>
      </w:r>
    </w:p>
    <w:p w14:paraId="239763DB" w14:textId="77777777" w:rsidR="002731D2" w:rsidRDefault="002731D2" w:rsidP="005B641B">
      <w:pPr>
        <w:widowControl w:val="0"/>
        <w:autoSpaceDE w:val="0"/>
        <w:autoSpaceDN w:val="0"/>
        <w:adjustRightInd w:val="0"/>
        <w:spacing w:after="240"/>
        <w:jc w:val="both"/>
        <w:rPr>
          <w:rFonts w:cs="Arial"/>
        </w:rPr>
      </w:pPr>
      <w:r>
        <w:rPr>
          <w:rFonts w:cs="Arial"/>
        </w:rPr>
        <w:lastRenderedPageBreak/>
        <w:t>1</w:t>
      </w:r>
    </w:p>
    <w:p w14:paraId="522915D5" w14:textId="77777777" w:rsidR="002731D2" w:rsidRDefault="002731D2" w:rsidP="005B641B">
      <w:pPr>
        <w:widowControl w:val="0"/>
        <w:autoSpaceDE w:val="0"/>
        <w:autoSpaceDN w:val="0"/>
        <w:adjustRightInd w:val="0"/>
        <w:spacing w:after="240"/>
        <w:jc w:val="both"/>
        <w:rPr>
          <w:rFonts w:cs="Arial"/>
        </w:rPr>
      </w:pPr>
      <w:r>
        <w:rPr>
          <w:rFonts w:cs="Arial"/>
        </w:rPr>
        <w:t>1</w:t>
      </w:r>
    </w:p>
    <w:p w14:paraId="2427FAB0" w14:textId="77777777" w:rsidR="002731D2" w:rsidRDefault="002731D2" w:rsidP="005B641B">
      <w:pPr>
        <w:widowControl w:val="0"/>
        <w:autoSpaceDE w:val="0"/>
        <w:autoSpaceDN w:val="0"/>
        <w:adjustRightInd w:val="0"/>
        <w:spacing w:after="240"/>
        <w:jc w:val="both"/>
        <w:rPr>
          <w:rFonts w:cs="Arial"/>
        </w:rPr>
      </w:pPr>
      <w:r>
        <w:rPr>
          <w:rFonts w:cs="Arial"/>
        </w:rPr>
        <w:t>3</w:t>
      </w:r>
    </w:p>
    <w:p w14:paraId="6213350D" w14:textId="2CC907CF" w:rsidR="002731D2" w:rsidRDefault="002731D2" w:rsidP="005B641B">
      <w:pPr>
        <w:widowControl w:val="0"/>
        <w:autoSpaceDE w:val="0"/>
        <w:autoSpaceDN w:val="0"/>
        <w:adjustRightInd w:val="0"/>
        <w:spacing w:after="240"/>
        <w:jc w:val="both"/>
        <w:rPr>
          <w:rFonts w:cs="Arial"/>
        </w:rPr>
      </w:pPr>
      <w:r>
        <w:rPr>
          <w:rFonts w:cs="Arial"/>
        </w:rPr>
        <w:t xml:space="preserve"> </w:t>
      </w:r>
    </w:p>
    <w:p w14:paraId="4951C0CF" w14:textId="169CA205" w:rsidR="002731D2" w:rsidRDefault="002731D2" w:rsidP="005B641B">
      <w:pPr>
        <w:widowControl w:val="0"/>
        <w:autoSpaceDE w:val="0"/>
        <w:autoSpaceDN w:val="0"/>
        <w:adjustRightInd w:val="0"/>
        <w:spacing w:after="240"/>
        <w:jc w:val="both"/>
        <w:rPr>
          <w:rFonts w:cs="Arial"/>
        </w:rPr>
      </w:pPr>
      <w:r>
        <w:rPr>
          <w:rFonts w:cs="Arial"/>
        </w:rPr>
        <w:t>do the kruskall wallis test to see if there is a difference between the groups with experience</w:t>
      </w:r>
      <w:r w:rsidR="007F1CCA">
        <w:rPr>
          <w:rFonts w:cs="Arial"/>
        </w:rPr>
        <w:t xml:space="preserve"> on the tool functionality</w:t>
      </w:r>
      <w:r w:rsidR="00061546">
        <w:rPr>
          <w:rFonts w:cs="Arial"/>
        </w:rPr>
        <w:t xml:space="preserve"> ie. Does the factor of being in a different experience group have an effect on the preference of certain tools desired for TEES?</w:t>
      </w:r>
      <w:bookmarkStart w:id="1" w:name="_GoBack"/>
      <w:bookmarkEnd w:id="1"/>
    </w:p>
    <w:p w14:paraId="28055FF2" w14:textId="2F92F8E2" w:rsidR="002731D2" w:rsidRDefault="002731D2" w:rsidP="007F1CCA">
      <w:pPr>
        <w:widowControl w:val="0"/>
        <w:autoSpaceDE w:val="0"/>
        <w:autoSpaceDN w:val="0"/>
        <w:adjustRightInd w:val="0"/>
        <w:spacing w:after="240"/>
        <w:jc w:val="both"/>
        <w:rPr>
          <w:rFonts w:cs="Arial"/>
        </w:rPr>
      </w:pPr>
      <w:r>
        <w:rPr>
          <w:rFonts w:cs="Arial"/>
        </w:rPr>
        <w:t>if there is a difference between groups, can do a whitney mann test if there is a statistical difference between groups</w:t>
      </w:r>
      <w:r w:rsidR="00E0333C">
        <w:rPr>
          <w:rFonts w:cs="Arial"/>
        </w:rPr>
        <w:t xml:space="preserve"> </w:t>
      </w:r>
    </w:p>
    <w:p w14:paraId="713E9390" w14:textId="1591A531" w:rsidR="002731D2" w:rsidRDefault="002731D2" w:rsidP="005B641B">
      <w:pPr>
        <w:widowControl w:val="0"/>
        <w:autoSpaceDE w:val="0"/>
        <w:autoSpaceDN w:val="0"/>
        <w:adjustRightInd w:val="0"/>
        <w:spacing w:after="240"/>
        <w:jc w:val="both"/>
        <w:rPr>
          <w:rFonts w:cs="Arial"/>
        </w:rPr>
      </w:pPr>
      <w:r>
        <w:rPr>
          <w:rFonts w:cs="Arial"/>
        </w:rPr>
        <w:t xml:space="preserve">use a frequency table to see what the consensus </w:t>
      </w:r>
      <w:r w:rsidR="00D76BF8">
        <w:rPr>
          <w:rFonts w:cs="Arial"/>
        </w:rPr>
        <w:t>is</w:t>
      </w:r>
    </w:p>
    <w:p w14:paraId="4BD716C7" w14:textId="03D0BCCC" w:rsidR="00D76BF8" w:rsidRDefault="00D76BF8" w:rsidP="005B641B">
      <w:pPr>
        <w:widowControl w:val="0"/>
        <w:autoSpaceDE w:val="0"/>
        <w:autoSpaceDN w:val="0"/>
        <w:adjustRightInd w:val="0"/>
        <w:spacing w:after="240"/>
        <w:jc w:val="both"/>
        <w:rPr>
          <w:rFonts w:cs="Arial"/>
        </w:rPr>
      </w:pPr>
      <w:r>
        <w:rPr>
          <w:rFonts w:cs="Arial"/>
        </w:rPr>
        <w:t>stacked bar chart</w:t>
      </w:r>
      <w:r w:rsidR="00E0333C">
        <w:rPr>
          <w:rFonts w:cs="Arial"/>
        </w:rPr>
        <w:t xml:space="preserve"> to present all the data</w:t>
      </w:r>
    </w:p>
    <w:p w14:paraId="533C7F50" w14:textId="77777777" w:rsidR="002731D2" w:rsidRPr="00460061" w:rsidRDefault="002731D2" w:rsidP="005B641B">
      <w:pPr>
        <w:widowControl w:val="0"/>
        <w:autoSpaceDE w:val="0"/>
        <w:autoSpaceDN w:val="0"/>
        <w:adjustRightInd w:val="0"/>
        <w:spacing w:after="240"/>
        <w:jc w:val="both"/>
        <w:rPr>
          <w:rFonts w:cs="Times"/>
        </w:rPr>
      </w:pPr>
    </w:p>
    <w:p w14:paraId="382059B2" w14:textId="77777777" w:rsidR="005B641B" w:rsidRPr="00FD3A3E" w:rsidRDefault="005B641B" w:rsidP="005B641B">
      <w:pPr>
        <w:jc w:val="both"/>
        <w:rPr>
          <w:lang w:val="en-CA"/>
        </w:rPr>
      </w:pPr>
    </w:p>
    <w:p w14:paraId="4C1DD8A8" w14:textId="77777777" w:rsidR="005B641B" w:rsidRPr="00FD3A3E" w:rsidRDefault="005B641B" w:rsidP="00491849">
      <w:pPr>
        <w:ind w:firstLine="0"/>
        <w:jc w:val="both"/>
        <w:rPr>
          <w:lang w:val="en-CA"/>
        </w:rPr>
      </w:pPr>
    </w:p>
    <w:p w14:paraId="300D7A73" w14:textId="77777777" w:rsidR="005B641B" w:rsidRDefault="005B641B" w:rsidP="005B32D2">
      <w:pPr>
        <w:pStyle w:val="ListParagraph"/>
        <w:jc w:val="both"/>
        <w:rPr>
          <w:b/>
          <w:lang w:val="en-CA"/>
        </w:rPr>
      </w:pPr>
    </w:p>
    <w:p w14:paraId="101F6A51" w14:textId="77777777" w:rsidR="0000007E" w:rsidRPr="0000007E" w:rsidRDefault="0000007E" w:rsidP="0000007E">
      <w:pPr>
        <w:jc w:val="both"/>
        <w:rPr>
          <w:lang w:val="en-CA"/>
        </w:rPr>
      </w:pPr>
    </w:p>
    <w:p w14:paraId="203E656B" w14:textId="77777777" w:rsidR="00CF7CE0" w:rsidRDefault="00CF7CE0" w:rsidP="00BE09C8">
      <w:pPr>
        <w:jc w:val="both"/>
        <w:rPr>
          <w:lang w:val="en-CA"/>
        </w:rPr>
      </w:pPr>
    </w:p>
    <w:p w14:paraId="14C571FF" w14:textId="77777777" w:rsidR="00CF7CE0" w:rsidRDefault="00CF7CE0" w:rsidP="00BE09C8">
      <w:pPr>
        <w:jc w:val="both"/>
        <w:rPr>
          <w:b/>
          <w:lang w:val="en-CA"/>
        </w:rPr>
      </w:pPr>
    </w:p>
    <w:p w14:paraId="75B2F8FC" w14:textId="77777777" w:rsidR="00CF7CE0" w:rsidRDefault="00CF7CE0" w:rsidP="00BE09C8">
      <w:pPr>
        <w:jc w:val="both"/>
        <w:rPr>
          <w:b/>
          <w:lang w:val="en-CA"/>
        </w:rPr>
      </w:pPr>
    </w:p>
    <w:p w14:paraId="6E06C1F9" w14:textId="77777777" w:rsidR="006A6E6F" w:rsidRPr="006A6E6F" w:rsidRDefault="006A6E6F" w:rsidP="00BE09C8">
      <w:pPr>
        <w:widowControl w:val="0"/>
        <w:autoSpaceDE w:val="0"/>
        <w:autoSpaceDN w:val="0"/>
        <w:adjustRightInd w:val="0"/>
        <w:spacing w:after="240"/>
        <w:jc w:val="both"/>
        <w:rPr>
          <w:rFonts w:cs="Times New Roman"/>
          <w:i/>
          <w:lang w:val="en-CA"/>
        </w:rPr>
      </w:pPr>
      <w:r w:rsidRPr="006A6E6F">
        <w:rPr>
          <w:rFonts w:cs="Times New Roman"/>
          <w:i/>
          <w:lang w:val="en-CA"/>
        </w:rPr>
        <w:t xml:space="preserve">Existing Tools: </w:t>
      </w:r>
    </w:p>
    <w:p w14:paraId="144C52FD" w14:textId="77777777" w:rsidR="002C0818" w:rsidRDefault="006A6E6F" w:rsidP="00BE09C8">
      <w:pPr>
        <w:widowControl w:val="0"/>
        <w:autoSpaceDE w:val="0"/>
        <w:autoSpaceDN w:val="0"/>
        <w:adjustRightInd w:val="0"/>
        <w:spacing w:after="240"/>
        <w:jc w:val="both"/>
        <w:rPr>
          <w:rFonts w:ascii="Arial" w:hAnsi="Arial" w:cs="Arial"/>
        </w:rPr>
      </w:pPr>
      <w:r>
        <w:rPr>
          <w:rFonts w:ascii="Arial" w:hAnsi="Arial" w:cs="Arial"/>
        </w:rPr>
        <w:t xml:space="preserve">Currently, only a limited selection of instruments is available for endoscopic ear surgery. One set of instruments, known as the IWGEES set (Karl Storz GmbH &amp; Co. KG; Tuttlingen, Germany) was developed from the work of Thomassin (9). From discussions with the PI and his colleagues, the following are limitations of these instruments: narrow, occlusion-susceptible suction tubes, inability to reach requisite recesses within the ear, and suboptimal tip design to perform the necessary functions. An innovative set developed by Panetti (13) incorporates suction into dissection instruments with an ingenious rotating connector (Spiggle &amp; Theis Medizintechnik GmbH; Burghof, Germany). The ability to clear blood from the operating field is an advantage to the tools, however, the following limitations exist: inaccessibility of the thumb to suction control while manipulating the instrument, inappropriate tip design, </w:t>
      </w:r>
      <w:r w:rsidR="007A3912">
        <w:rPr>
          <w:rFonts w:ascii="Arial" w:hAnsi="Arial" w:cs="Arial"/>
        </w:rPr>
        <w:t xml:space="preserve">suction not reaching the tip of the instrument, longer curved dissectors lacking the delicacy required for small recesses. </w:t>
      </w:r>
    </w:p>
    <w:p w14:paraId="4F186C2E" w14:textId="77777777" w:rsidR="002C0818" w:rsidRDefault="00923D43" w:rsidP="00BE09C8">
      <w:pPr>
        <w:widowControl w:val="0"/>
        <w:autoSpaceDE w:val="0"/>
        <w:autoSpaceDN w:val="0"/>
        <w:adjustRightInd w:val="0"/>
        <w:spacing w:after="240"/>
        <w:jc w:val="both"/>
        <w:rPr>
          <w:rFonts w:ascii="Arial" w:hAnsi="Arial" w:cs="Arial"/>
        </w:rPr>
      </w:pPr>
      <w:r>
        <w:rPr>
          <w:rFonts w:ascii="Arial" w:hAnsi="Arial" w:cs="Arial"/>
        </w:rPr>
        <w:t>This project will aim</w:t>
      </w:r>
      <w:r w:rsidR="002C0818">
        <w:rPr>
          <w:rFonts w:ascii="Arial" w:hAnsi="Arial" w:cs="Arial"/>
        </w:rPr>
        <w:t xml:space="preserve"> to assess these limitations</w:t>
      </w:r>
      <w:r w:rsidR="00BB32B7">
        <w:rPr>
          <w:rFonts w:ascii="Arial" w:hAnsi="Arial" w:cs="Arial"/>
        </w:rPr>
        <w:t>, including input from a variety of surgeons,</w:t>
      </w:r>
      <w:r w:rsidR="002C0818">
        <w:rPr>
          <w:rFonts w:ascii="Arial" w:hAnsi="Arial" w:cs="Arial"/>
        </w:rPr>
        <w:t xml:space="preserve"> and develop </w:t>
      </w:r>
      <w:r w:rsidR="00BB32B7">
        <w:rPr>
          <w:rFonts w:ascii="Arial" w:hAnsi="Arial" w:cs="Arial"/>
        </w:rPr>
        <w:t xml:space="preserve">design criteria to improve the instrumentation. </w:t>
      </w:r>
    </w:p>
    <w:p w14:paraId="76FB0A5B" w14:textId="77777777" w:rsidR="006A6E6F" w:rsidRPr="006A6E6F" w:rsidRDefault="006A6E6F" w:rsidP="00BE09C8">
      <w:pPr>
        <w:widowControl w:val="0"/>
        <w:autoSpaceDE w:val="0"/>
        <w:autoSpaceDN w:val="0"/>
        <w:adjustRightInd w:val="0"/>
        <w:spacing w:after="240"/>
        <w:jc w:val="both"/>
        <w:rPr>
          <w:rFonts w:cs="Times New Roman"/>
          <w:lang w:val="en-CA"/>
        </w:rPr>
      </w:pPr>
    </w:p>
    <w:p w14:paraId="17C9499C" w14:textId="77777777" w:rsidR="007610C8" w:rsidRPr="00FD3A3E" w:rsidRDefault="007610C8" w:rsidP="00BE09C8">
      <w:pPr>
        <w:jc w:val="both"/>
        <w:rPr>
          <w:lang w:val="en-CA"/>
        </w:rPr>
      </w:pPr>
    </w:p>
    <w:p w14:paraId="2019A597" w14:textId="77777777" w:rsidR="007610C8" w:rsidRPr="00FD3A3E" w:rsidRDefault="007610C8" w:rsidP="00BE09C8">
      <w:pPr>
        <w:jc w:val="both"/>
        <w:rPr>
          <w:lang w:val="en-CA"/>
        </w:rPr>
      </w:pPr>
      <w:r w:rsidRPr="001D44F6">
        <w:rPr>
          <w:b/>
          <w:lang w:val="en-CA"/>
        </w:rPr>
        <w:lastRenderedPageBreak/>
        <w:t>Abstract</w:t>
      </w:r>
      <w:r w:rsidRPr="00FD3A3E">
        <w:rPr>
          <w:lang w:val="en-CA"/>
        </w:rPr>
        <w:t>: background, methods, results, conclusions, keywords: questionnaire, survey, endoscopic ear surgery</w:t>
      </w:r>
    </w:p>
    <w:p w14:paraId="12F24303" w14:textId="77777777" w:rsidR="00444211" w:rsidRPr="00FD3A3E" w:rsidRDefault="00444211" w:rsidP="00BE09C8">
      <w:pPr>
        <w:jc w:val="both"/>
        <w:rPr>
          <w:lang w:val="en-CA"/>
        </w:rPr>
      </w:pPr>
    </w:p>
    <w:p w14:paraId="7301838F" w14:textId="77777777" w:rsidR="00444211" w:rsidRPr="00FD3A3E" w:rsidRDefault="00444211" w:rsidP="00BE09C8">
      <w:pPr>
        <w:jc w:val="both"/>
        <w:rPr>
          <w:lang w:val="en-CA"/>
        </w:rPr>
      </w:pPr>
    </w:p>
    <w:p w14:paraId="1C20EB01" w14:textId="77777777" w:rsidR="008949B0" w:rsidRPr="008949B0" w:rsidRDefault="0030642C">
      <w:pPr>
        <w:widowControl w:val="0"/>
        <w:autoSpaceDE w:val="0"/>
        <w:autoSpaceDN w:val="0"/>
        <w:adjustRightInd w:val="0"/>
        <w:spacing w:after="140" w:line="288" w:lineRule="auto"/>
        <w:rPr>
          <w:rFonts w:ascii="Calibri" w:eastAsia="Times New Roman" w:hAnsi="Calibri" w:cs="Times New Roman"/>
          <w:noProof/>
        </w:rPr>
      </w:pPr>
      <w:r w:rsidRPr="00FD3A3E">
        <w:rPr>
          <w:lang w:val="en-CA"/>
        </w:rPr>
        <w:fldChar w:fldCharType="begin" w:fldLock="1"/>
      </w:r>
      <w:r w:rsidR="00444211" w:rsidRPr="00FD3A3E">
        <w:rPr>
          <w:lang w:val="en-CA"/>
        </w:rPr>
        <w:instrText xml:space="preserve">ADDIN Mendeley Bibliography CSL_BIBLIOGRAPHY </w:instrText>
      </w:r>
      <w:r w:rsidRPr="00FD3A3E">
        <w:rPr>
          <w:lang w:val="en-CA"/>
        </w:rPr>
        <w:fldChar w:fldCharType="separate"/>
      </w:r>
    </w:p>
    <w:p w14:paraId="35E44820"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[1]</w:t>
      </w:r>
      <w:r w:rsidRPr="008949B0">
        <w:rPr>
          <w:rFonts w:ascii="Calibri" w:eastAsia="Times New Roman" w:hAnsi="Calibri" w:cs="Times New Roman"/>
          <w:noProof/>
        </w:rPr>
        <w:tab/>
        <w:t xml:space="preserve">M. S. Cohen, L. D. Landegger, E. D. Kozin, and D. J. Lee, “Pediatric endoscopic ear surgery in clinical practice: Lessons learned and early outcomes,” </w:t>
      </w:r>
      <w:r w:rsidRPr="008949B0">
        <w:rPr>
          <w:rFonts w:ascii="Calibri" w:eastAsia="Times New Roman" w:hAnsi="Calibri" w:cs="Times New Roman"/>
          <w:i/>
          <w:iCs/>
          <w:noProof/>
        </w:rPr>
        <w:t>Laryngoscope</w:t>
      </w:r>
      <w:r w:rsidRPr="008949B0">
        <w:rPr>
          <w:rFonts w:ascii="Calibri" w:eastAsia="Times New Roman" w:hAnsi="Calibri" w:cs="Times New Roman"/>
          <w:noProof/>
        </w:rPr>
        <w:t>, p. n/a–n/a, 2015.</w:t>
      </w:r>
    </w:p>
    <w:p w14:paraId="11AFC766"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1F814A61"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[2]</w:t>
      </w:r>
      <w:r w:rsidRPr="008949B0">
        <w:rPr>
          <w:rFonts w:ascii="Calibri" w:eastAsia="Times New Roman" w:hAnsi="Calibri" w:cs="Times New Roman"/>
          <w:noProof/>
        </w:rPr>
        <w:tab/>
        <w:t xml:space="preserve">H. Kanona, J. S. Virk, and A. Owa, “Endoscopic ear surgery: A case series and first United Kingdom experience.,” </w:t>
      </w:r>
      <w:r w:rsidRPr="008949B0">
        <w:rPr>
          <w:rFonts w:ascii="Calibri" w:eastAsia="Times New Roman" w:hAnsi="Calibri" w:cs="Times New Roman"/>
          <w:i/>
          <w:iCs/>
          <w:noProof/>
        </w:rPr>
        <w:t>World J. Clin. cases</w:t>
      </w:r>
      <w:r w:rsidRPr="008949B0">
        <w:rPr>
          <w:rFonts w:ascii="Calibri" w:eastAsia="Times New Roman" w:hAnsi="Calibri" w:cs="Times New Roman"/>
          <w:noProof/>
        </w:rPr>
        <w:t>, vol. 3, no. 3, pp. 310–7, 2015.</w:t>
      </w:r>
    </w:p>
    <w:p w14:paraId="3E0F392A"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6910D680"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[3]</w:t>
      </w:r>
      <w:r w:rsidRPr="008949B0">
        <w:rPr>
          <w:rFonts w:ascii="Calibri" w:eastAsia="Times New Roman" w:hAnsi="Calibri" w:cs="Times New Roman"/>
          <w:noProof/>
        </w:rPr>
        <w:tab/>
        <w:t xml:space="preserve">M. Badr-el-dine, “I n s t r u m e n t a t i o n a n d Tec h n o l o g i e s in E ndos c o p i c Ear Su r ge ry,” </w:t>
      </w:r>
      <w:r w:rsidRPr="008949B0">
        <w:rPr>
          <w:rFonts w:ascii="Calibri" w:eastAsia="Times New Roman" w:hAnsi="Calibri" w:cs="Times New Roman"/>
          <w:i/>
          <w:iCs/>
          <w:noProof/>
        </w:rPr>
        <w:t>Otolaryngol. Clin. NA</w:t>
      </w:r>
      <w:r w:rsidRPr="008949B0">
        <w:rPr>
          <w:rFonts w:ascii="Calibri" w:eastAsia="Times New Roman" w:hAnsi="Calibri" w:cs="Times New Roman"/>
          <w:noProof/>
        </w:rPr>
        <w:t>, vol. 46, no. 2, pp. 211–225, 2013.</w:t>
      </w:r>
    </w:p>
    <w:p w14:paraId="4601C8F6"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4D8764C0"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[4]</w:t>
      </w:r>
      <w:r w:rsidRPr="008949B0">
        <w:rPr>
          <w:rFonts w:ascii="Calibri" w:eastAsia="Times New Roman" w:hAnsi="Calibri" w:cs="Times New Roman"/>
          <w:noProof/>
        </w:rPr>
        <w:tab/>
        <w:t xml:space="preserve">T. Furukawa, T. Watanabe, T. Ito, T. Kubota, and S. Kakehata, “Feasibility and advantages of transcanal endoscopic myringoplasty.,” </w:t>
      </w:r>
      <w:r w:rsidRPr="008949B0">
        <w:rPr>
          <w:rFonts w:ascii="Calibri" w:eastAsia="Times New Roman" w:hAnsi="Calibri" w:cs="Times New Roman"/>
          <w:i/>
          <w:iCs/>
          <w:noProof/>
        </w:rPr>
        <w:t>Otol. Neurotol.</w:t>
      </w:r>
      <w:r w:rsidRPr="008949B0">
        <w:rPr>
          <w:rFonts w:ascii="Calibri" w:eastAsia="Times New Roman" w:hAnsi="Calibri" w:cs="Times New Roman"/>
          <w:noProof/>
        </w:rPr>
        <w:t>, vol. 35, no. 4, pp. e140–5, 2014.</w:t>
      </w:r>
    </w:p>
    <w:p w14:paraId="5E30FC5B"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184E0A66"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[5]</w:t>
      </w:r>
      <w:r w:rsidRPr="008949B0">
        <w:rPr>
          <w:rFonts w:ascii="Calibri" w:eastAsia="Times New Roman" w:hAnsi="Calibri" w:cs="Times New Roman"/>
          <w:noProof/>
        </w:rPr>
        <w:tab/>
        <w:t xml:space="preserve">M. L. Bennett, D. Zhang, R. F. Labadie, and J. H. Noble, “Comparison of Middle Ear Visualization With Endoscopy and Microscopy,” </w:t>
      </w:r>
      <w:r w:rsidRPr="008949B0">
        <w:rPr>
          <w:rFonts w:ascii="Calibri" w:eastAsia="Times New Roman" w:hAnsi="Calibri" w:cs="Times New Roman"/>
          <w:i/>
          <w:iCs/>
          <w:noProof/>
        </w:rPr>
        <w:t>Otol. Neurotol.</w:t>
      </w:r>
      <w:r w:rsidRPr="008949B0">
        <w:rPr>
          <w:rFonts w:ascii="Calibri" w:eastAsia="Times New Roman" w:hAnsi="Calibri" w:cs="Times New Roman"/>
          <w:noProof/>
        </w:rPr>
        <w:t>, vol. 37, pp. 362–366, 2016.</w:t>
      </w:r>
    </w:p>
    <w:p w14:paraId="04F1AEA5"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46C59D46"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[6]</w:t>
      </w:r>
      <w:r w:rsidRPr="008949B0">
        <w:rPr>
          <w:rFonts w:ascii="Calibri" w:eastAsia="Times New Roman" w:hAnsi="Calibri" w:cs="Times New Roman"/>
          <w:noProof/>
        </w:rPr>
        <w:tab/>
        <w:t xml:space="preserve">T. Ito, T. Kubota, T. Watanabe, K. Futai, T. Furukawa, and S. Kakehata, “Transcanal endoscopic ear surgery for pediatric population with a narrow external auditory canal,” </w:t>
      </w:r>
      <w:r w:rsidRPr="008949B0">
        <w:rPr>
          <w:rFonts w:ascii="Calibri" w:eastAsia="Times New Roman" w:hAnsi="Calibri" w:cs="Times New Roman"/>
          <w:i/>
          <w:iCs/>
          <w:noProof/>
        </w:rPr>
        <w:t>Int. J. Pediatr. Otorhinolaryngol.</w:t>
      </w:r>
      <w:r w:rsidRPr="008949B0">
        <w:rPr>
          <w:rFonts w:ascii="Calibri" w:eastAsia="Times New Roman" w:hAnsi="Calibri" w:cs="Times New Roman"/>
          <w:noProof/>
        </w:rPr>
        <w:t>, vol. 79, no. 12, pp. 2265–2269, 2015.</w:t>
      </w:r>
    </w:p>
    <w:p w14:paraId="262F5C26"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01EEEFDB"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[7]</w:t>
      </w:r>
      <w:r w:rsidRPr="008949B0">
        <w:rPr>
          <w:rFonts w:ascii="Calibri" w:eastAsia="Times New Roman" w:hAnsi="Calibri" w:cs="Times New Roman"/>
          <w:noProof/>
        </w:rPr>
        <w:tab/>
        <w:t>M. A. Rube, F. Fernandez-gutierrez, B. F. Cox, B. Holbrook, J. G. Houston, R. D. White, H. Mcleod, M. Fatahi, and A. Melzer, “HHS Public Access,” vol. 10, no. 5, pp. 637–650, 2015.</w:t>
      </w:r>
    </w:p>
    <w:p w14:paraId="46745410"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77C9C9CB"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[8]</w:t>
      </w:r>
      <w:r w:rsidRPr="008949B0">
        <w:rPr>
          <w:rFonts w:ascii="Calibri" w:eastAsia="Times New Roman" w:hAnsi="Calibri" w:cs="Times New Roman"/>
          <w:noProof/>
        </w:rPr>
        <w:tab/>
        <w:t>K. C. Hsiao, Z. Machaidze, and J. G. Pattaras, “Time Management in the Operating Room : An Analysis of the Dedicated Minimally Invasive Surgery Suite,” pp. 300–303, 2004.</w:t>
      </w:r>
    </w:p>
    <w:p w14:paraId="134F7BBE"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6B4AD966"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[9]</w:t>
      </w:r>
      <w:r w:rsidRPr="008949B0">
        <w:rPr>
          <w:rFonts w:ascii="Calibri" w:eastAsia="Times New Roman" w:hAnsi="Calibri" w:cs="Times New Roman"/>
          <w:noProof/>
        </w:rPr>
        <w:tab/>
        <w:t xml:space="preserve"> a D. Racine and  a G. Davidson, “Use of a time-flow study to improve patient waiting times at an inner-city academic pediatric practice,” </w:t>
      </w:r>
      <w:r w:rsidRPr="008949B0">
        <w:rPr>
          <w:rFonts w:ascii="Calibri" w:eastAsia="Times New Roman" w:hAnsi="Calibri" w:cs="Times New Roman"/>
          <w:i/>
          <w:iCs/>
          <w:noProof/>
        </w:rPr>
        <w:t>Arch Pediatr Adolesc Med</w:t>
      </w:r>
      <w:r w:rsidRPr="008949B0">
        <w:rPr>
          <w:rFonts w:ascii="Calibri" w:eastAsia="Times New Roman" w:hAnsi="Calibri" w:cs="Times New Roman"/>
          <w:noProof/>
        </w:rPr>
        <w:t>, vol. 156, no. 12, pp. 1203–1209, 2002.</w:t>
      </w:r>
    </w:p>
    <w:p w14:paraId="318312CB"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0C74CF97"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[10]</w:t>
      </w:r>
      <w:r w:rsidRPr="008949B0">
        <w:rPr>
          <w:rFonts w:ascii="Calibri" w:eastAsia="Times New Roman" w:hAnsi="Calibri" w:cs="Times New Roman"/>
          <w:noProof/>
        </w:rPr>
        <w:tab/>
        <w:t>H. J. Marcus, T. P. Cundy, A. Hughes-hallett, Z. Yang, A. Darzi, D. Nandi, and D. Phil, “Europe PMC Funders Group Endoscopic and Keyhole Endoscope-assisted Neurosurgical Approaches : A Qualitative Survey on Technical Challenges and Technological Solutions,” vol. 28, no. 5, pp. 606–610, 2015.</w:t>
      </w:r>
    </w:p>
    <w:p w14:paraId="784C7F29"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29B747A6"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[11]</w:t>
      </w:r>
      <w:r w:rsidRPr="008949B0">
        <w:rPr>
          <w:rFonts w:ascii="Calibri" w:eastAsia="Times New Roman" w:hAnsi="Calibri" w:cs="Times New Roman"/>
          <w:noProof/>
        </w:rPr>
        <w:tab/>
        <w:t xml:space="preserve">M. Yong, T. Mijovic, and J. Lea, “Endoscopic ear surgery in Canada : a cross-sectional study,” </w:t>
      </w:r>
      <w:r w:rsidRPr="008949B0">
        <w:rPr>
          <w:rFonts w:ascii="Calibri" w:eastAsia="Times New Roman" w:hAnsi="Calibri" w:cs="Times New Roman"/>
          <w:i/>
          <w:iCs/>
          <w:noProof/>
        </w:rPr>
        <w:t xml:space="preserve">J. </w:t>
      </w:r>
      <w:r w:rsidRPr="008949B0">
        <w:rPr>
          <w:rFonts w:ascii="Calibri" w:eastAsia="Times New Roman" w:hAnsi="Calibri" w:cs="Times New Roman"/>
          <w:i/>
          <w:iCs/>
          <w:noProof/>
        </w:rPr>
        <w:lastRenderedPageBreak/>
        <w:t>Otolaryngol. - Head Neck Surg.</w:t>
      </w:r>
      <w:r w:rsidRPr="008949B0">
        <w:rPr>
          <w:rFonts w:ascii="Calibri" w:eastAsia="Times New Roman" w:hAnsi="Calibri" w:cs="Times New Roman"/>
          <w:noProof/>
        </w:rPr>
        <w:t>, pp. 1–8, 2016.</w:t>
      </w:r>
    </w:p>
    <w:p w14:paraId="7744799A"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18FA0208"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[12]</w:t>
      </w:r>
      <w:r w:rsidRPr="008949B0">
        <w:rPr>
          <w:rFonts w:ascii="Calibri" w:eastAsia="Times New Roman" w:hAnsi="Calibri" w:cs="Times New Roman"/>
          <w:noProof/>
        </w:rPr>
        <w:tab/>
        <w:t xml:space="preserve">A. Gerritsen, M. Jacobs, I. Henselmans, J. van Hattum, F. Efficace, G.-J. Creemers, I. H. de Hingh, M. Koopman, I. Q. Molenaar, H. W. Wilmink, O. R. Busch, M. G. Besselink, H. W. van Laarhoven, and Dutch Pancreatic Cancer Group, “Developing a core set of patient-reported outcomes in pancreatic cancer: A Delphi survey.,” </w:t>
      </w:r>
      <w:r w:rsidRPr="008949B0">
        <w:rPr>
          <w:rFonts w:ascii="Calibri" w:eastAsia="Times New Roman" w:hAnsi="Calibri" w:cs="Times New Roman"/>
          <w:i/>
          <w:iCs/>
          <w:noProof/>
        </w:rPr>
        <w:t>Eur. J. Cancer</w:t>
      </w:r>
      <w:r w:rsidRPr="008949B0">
        <w:rPr>
          <w:rFonts w:ascii="Calibri" w:eastAsia="Times New Roman" w:hAnsi="Calibri" w:cs="Times New Roman"/>
          <w:noProof/>
        </w:rPr>
        <w:t>, vol. 57, pp. 68–77, Apr. 2016.</w:t>
      </w:r>
    </w:p>
    <w:p w14:paraId="4A2CB4C3"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301F7E19"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[13]</w:t>
      </w:r>
      <w:r w:rsidRPr="008949B0">
        <w:rPr>
          <w:rFonts w:ascii="Calibri" w:eastAsia="Times New Roman" w:hAnsi="Calibri" w:cs="Times New Roman"/>
          <w:noProof/>
        </w:rPr>
        <w:tab/>
        <w:t xml:space="preserve">S. Y. Kosyakov, Y. V Minavnina, and E. V Pchelenok, “[The consensus view of the treatment of the retraction pockets of the tympanic membrane].,” </w:t>
      </w:r>
      <w:r w:rsidRPr="008949B0">
        <w:rPr>
          <w:rFonts w:ascii="Calibri" w:eastAsia="Times New Roman" w:hAnsi="Calibri" w:cs="Times New Roman"/>
          <w:i/>
          <w:iCs/>
          <w:noProof/>
        </w:rPr>
        <w:t>Vestn. Otorinolaringol.</w:t>
      </w:r>
      <w:r w:rsidRPr="008949B0">
        <w:rPr>
          <w:rFonts w:ascii="Calibri" w:eastAsia="Times New Roman" w:hAnsi="Calibri" w:cs="Times New Roman"/>
          <w:noProof/>
        </w:rPr>
        <w:t>, vol. 81, no. 1, pp. 78–83, 2016.</w:t>
      </w:r>
    </w:p>
    <w:p w14:paraId="43355614"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703424AA"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[14]</w:t>
      </w:r>
      <w:r w:rsidRPr="008949B0">
        <w:rPr>
          <w:rFonts w:ascii="Calibri" w:eastAsia="Times New Roman" w:hAnsi="Calibri" w:cs="Times New Roman"/>
          <w:noProof/>
        </w:rPr>
        <w:tab/>
        <w:t xml:space="preserve">M. Singer, C. S. Deutschman, C. W. Seymour, M. Shankar-Hari, D. Annane, M. Bauer, R. Bellomo, G. R. Bernard, J.-D. Chiche, C. M. Coopersmith, R. S. Hotchkiss, M. M. Levy, J. C. Marshall, G. S. Martin, S. M. Opal, G. D. Rubenfeld, T. van der Poll, J.-L. Vincent, and D. C. Angus, “The Third International Consensus Definitions for Sepsis and Septic Shock (Sepsis-3).,” </w:t>
      </w:r>
      <w:r w:rsidRPr="008949B0">
        <w:rPr>
          <w:rFonts w:ascii="Calibri" w:eastAsia="Times New Roman" w:hAnsi="Calibri" w:cs="Times New Roman"/>
          <w:i/>
          <w:iCs/>
          <w:noProof/>
        </w:rPr>
        <w:t>JAMA</w:t>
      </w:r>
      <w:r w:rsidRPr="008949B0">
        <w:rPr>
          <w:rFonts w:ascii="Calibri" w:eastAsia="Times New Roman" w:hAnsi="Calibri" w:cs="Times New Roman"/>
          <w:noProof/>
        </w:rPr>
        <w:t>, vol. 315, no. 8, pp. 801–10, Feb. 2016.</w:t>
      </w:r>
    </w:p>
    <w:p w14:paraId="1B6F8113"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1FB77E5C"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[15]</w:t>
      </w:r>
      <w:r w:rsidRPr="008949B0">
        <w:rPr>
          <w:rFonts w:ascii="Calibri" w:eastAsia="Times New Roman" w:hAnsi="Calibri" w:cs="Times New Roman"/>
          <w:noProof/>
        </w:rPr>
        <w:tab/>
        <w:t xml:space="preserve">A. Celenza and I. R. Rogers, “Comparison of visual analogue and Likert scales in evaluation of an emergency department bedside teaching programme,” </w:t>
      </w:r>
      <w:r w:rsidRPr="008949B0">
        <w:rPr>
          <w:rFonts w:ascii="Calibri" w:eastAsia="Times New Roman" w:hAnsi="Calibri" w:cs="Times New Roman"/>
          <w:i/>
          <w:iCs/>
          <w:noProof/>
        </w:rPr>
        <w:t>EMA - Emerg. Med. Australas.</w:t>
      </w:r>
      <w:r w:rsidRPr="008949B0">
        <w:rPr>
          <w:rFonts w:ascii="Calibri" w:eastAsia="Times New Roman" w:hAnsi="Calibri" w:cs="Times New Roman"/>
          <w:noProof/>
        </w:rPr>
        <w:t>, vol. 23, no. 1, pp. 68–75, 2011.</w:t>
      </w:r>
    </w:p>
    <w:p w14:paraId="5D775BB3"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4705B86B"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[16]</w:t>
      </w:r>
      <w:r w:rsidRPr="008949B0">
        <w:rPr>
          <w:rFonts w:ascii="Calibri" w:eastAsia="Times New Roman" w:hAnsi="Calibri" w:cs="Times New Roman"/>
          <w:noProof/>
        </w:rPr>
        <w:tab/>
        <w:t xml:space="preserve">D. M. Marsh-richard, E. S. Hatzis, C. W. Mathias, N. Venditti, D. M. Dougherty, and W. Forest, “Adaptive Visual Analog Scales (AVAS): A Modifiable Software Program for the Creation, Administration, and Scoring of Visual Analog Scales,” </w:t>
      </w:r>
      <w:r w:rsidRPr="008949B0">
        <w:rPr>
          <w:rFonts w:ascii="Calibri" w:eastAsia="Times New Roman" w:hAnsi="Calibri" w:cs="Times New Roman"/>
          <w:i/>
          <w:iCs/>
          <w:noProof/>
        </w:rPr>
        <w:t>Heal. (San Fr.</w:t>
      </w:r>
      <w:r w:rsidRPr="008949B0">
        <w:rPr>
          <w:rFonts w:ascii="Calibri" w:eastAsia="Times New Roman" w:hAnsi="Calibri" w:cs="Times New Roman"/>
          <w:noProof/>
        </w:rPr>
        <w:t>, vol. 41, no. 1, pp. 99–106, 2009.</w:t>
      </w:r>
    </w:p>
    <w:p w14:paraId="4180CB45"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0502ED36" w14:textId="77777777"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[17]</w:t>
      </w:r>
      <w:r w:rsidRPr="008949B0">
        <w:rPr>
          <w:rFonts w:ascii="Calibri" w:eastAsia="Times New Roman" w:hAnsi="Calibri" w:cs="Times New Roman"/>
          <w:noProof/>
        </w:rPr>
        <w:tab/>
        <w:t xml:space="preserve">A. L. James, “E n d o s c o p i c Mi d d l e E a r S u r g e r y in C h i l d ren,” </w:t>
      </w:r>
      <w:r w:rsidRPr="008949B0">
        <w:rPr>
          <w:rFonts w:ascii="Calibri" w:eastAsia="Times New Roman" w:hAnsi="Calibri" w:cs="Times New Roman"/>
          <w:i/>
          <w:iCs/>
          <w:noProof/>
        </w:rPr>
        <w:t>Otolaryngol. Clin. NA</w:t>
      </w:r>
      <w:r w:rsidRPr="008949B0">
        <w:rPr>
          <w:rFonts w:ascii="Calibri" w:eastAsia="Times New Roman" w:hAnsi="Calibri" w:cs="Times New Roman"/>
          <w:noProof/>
        </w:rPr>
        <w:t>, no. November, 2012.</w:t>
      </w:r>
    </w:p>
    <w:p w14:paraId="5C52ED9B" w14:textId="77777777"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14:paraId="74724DF7" w14:textId="77777777" w:rsidR="008949B0" w:rsidRPr="008949B0" w:rsidRDefault="008949B0">
      <w:pPr>
        <w:widowControl w:val="0"/>
        <w:autoSpaceDE w:val="0"/>
        <w:autoSpaceDN w:val="0"/>
        <w:adjustRightInd w:val="0"/>
        <w:ind w:left="640" w:hanging="640"/>
        <w:rPr>
          <w:rFonts w:ascii="Calibri" w:hAnsi="Calibri"/>
          <w:noProof/>
        </w:rPr>
      </w:pPr>
      <w:r w:rsidRPr="008949B0">
        <w:rPr>
          <w:rFonts w:ascii="Calibri" w:eastAsia="Times New Roman" w:hAnsi="Calibri" w:cs="Times New Roman"/>
          <w:noProof/>
        </w:rPr>
        <w:t>[18]</w:t>
      </w:r>
      <w:r w:rsidRPr="008949B0">
        <w:rPr>
          <w:rFonts w:ascii="Calibri" w:eastAsia="Times New Roman" w:hAnsi="Calibri" w:cs="Times New Roman"/>
          <w:noProof/>
        </w:rPr>
        <w:tab/>
        <w:t>A. L. James, B. C. Papsin, and B. C. Papsin, “-- Head and Neck Surgery,” no. September, 2012.</w:t>
      </w:r>
    </w:p>
    <w:p w14:paraId="6025E3D5" w14:textId="77777777" w:rsidR="00765F73" w:rsidRDefault="0030642C" w:rsidP="008949B0">
      <w:pPr>
        <w:widowControl w:val="0"/>
        <w:autoSpaceDE w:val="0"/>
        <w:autoSpaceDN w:val="0"/>
        <w:adjustRightInd w:val="0"/>
        <w:spacing w:after="140"/>
        <w:ind w:left="640" w:hanging="640"/>
        <w:rPr>
          <w:lang w:val="en-CA"/>
        </w:rPr>
      </w:pPr>
      <w:r w:rsidRPr="00FD3A3E">
        <w:rPr>
          <w:lang w:val="en-CA"/>
        </w:rPr>
        <w:fldChar w:fldCharType="end"/>
      </w:r>
    </w:p>
    <w:p w14:paraId="28A239D2" w14:textId="77777777" w:rsidR="00765F73" w:rsidRPr="00FD3A3E" w:rsidRDefault="00765F73" w:rsidP="00BE09C8">
      <w:pPr>
        <w:widowControl w:val="0"/>
        <w:autoSpaceDE w:val="0"/>
        <w:autoSpaceDN w:val="0"/>
        <w:adjustRightInd w:val="0"/>
        <w:spacing w:after="240"/>
        <w:jc w:val="both"/>
        <w:rPr>
          <w:rFonts w:cs="Times New Roman"/>
          <w:lang w:val="en-CA"/>
        </w:rPr>
      </w:pPr>
      <w:r w:rsidRPr="00FD3A3E">
        <w:rPr>
          <w:rFonts w:cs="Times New Roman"/>
          <w:lang w:val="en-CA"/>
        </w:rPr>
        <w:t xml:space="preserve">A good background information article is: </w:t>
      </w:r>
      <w:r w:rsidR="0030642C" w:rsidRPr="00FD3A3E">
        <w:rPr>
          <w:rFonts w:cs="Times New Roman"/>
          <w:lang w:val="en-CA"/>
        </w:rPr>
        <w:fldChar w:fldCharType="begin" w:fldLock="1"/>
      </w:r>
      <w:r w:rsidR="008949B0">
        <w:rPr>
          <w:rFonts w:cs="Times New Roman"/>
          <w:lang w:val="en-CA"/>
        </w:rPr>
        <w:instrText>ADDIN CSL_CITATION { "citationItems" : [ { "id" : "ITEM-1", "itemData" : { "DOI" : "10.1016/j.otc.2012.10.007", "ISSN" : "0030-6665", "author" : [ { "dropping-particle" : "", "family" : "James", "given" : "Adrian L", "non-dropping-particle" : "", "parse-names" : false, "suffix" : "" } ], "container-title" : "Otolaryngologic Clinics of NA", "id" : "ITEM-1", "issue" : "November", "issued" : { "date-parts" : [ [ "2012" ] ] }, "publisher" : "Elsevier Inc", "title" : "E n d o s c o p i c Mi d d l e E a r S u r g e r y in C h i l d ren", "type" : "article-journal" }, "uris" : [ "http://www.mendeley.com/documents/?uuid=55d0d695-1e70-4447-a522-4f10cd6389a7" ] } ], "mendeley" : { "formattedCitation" : "[17]", "plainTextFormattedCitation" : "[17]", "previouslyFormattedCitation" : "[16]" }, "properties" : { "noteIndex" : 0 }, "schema" : "https://github.com/citation-style-language/schema/raw/master/csl-citation.json" }</w:instrText>
      </w:r>
      <w:r w:rsidR="0030642C" w:rsidRPr="00FD3A3E">
        <w:rPr>
          <w:rFonts w:cs="Times New Roman"/>
          <w:lang w:val="en-CA"/>
        </w:rPr>
        <w:fldChar w:fldCharType="separate"/>
      </w:r>
      <w:r w:rsidR="008949B0" w:rsidRPr="008949B0">
        <w:rPr>
          <w:rFonts w:cs="Times New Roman"/>
          <w:noProof/>
          <w:lang w:val="en-CA"/>
        </w:rPr>
        <w:t>[17]</w:t>
      </w:r>
      <w:r w:rsidR="0030642C" w:rsidRPr="00FD3A3E">
        <w:rPr>
          <w:rFonts w:cs="Times New Roman"/>
          <w:lang w:val="en-CA"/>
        </w:rPr>
        <w:fldChar w:fldCharType="end"/>
      </w:r>
    </w:p>
    <w:p w14:paraId="72910627" w14:textId="77777777"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Endoscope allows assessment of ear drum in clinic and minimally invasive access to the middle ear for surgical procedures, and is a great teaching tool as you can record endoscopic images and there is a large screen so people can see </w:t>
      </w:r>
    </w:p>
    <w:p w14:paraId="40A5F057" w14:textId="77777777"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Endoscope allows effective cholesteatoma while preserving the hearing bones (ossicles) and tympanic membrane and reduces residual cholesteatoma </w:t>
      </w:r>
    </w:p>
    <w:p w14:paraId="39022248" w14:textId="77777777"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An external incision is avoided which provides relief for parents, same day discharge and </w:t>
      </w:r>
      <w:r w:rsidRPr="00FD3A3E">
        <w:rPr>
          <w:rFonts w:cs="Times New Roman"/>
          <w:highlight w:val="magenta"/>
          <w:lang w:val="en-CA"/>
        </w:rPr>
        <w:t>lower morbidity (find an article stating lower morbidity)</w:t>
      </w:r>
    </w:p>
    <w:p w14:paraId="21E9F47B" w14:textId="77777777"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Allows panoramic view of middle ear cleft </w:t>
      </w:r>
    </w:p>
    <w:p w14:paraId="2754E1BC" w14:textId="77777777"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Requires training and resources </w:t>
      </w:r>
    </w:p>
    <w:p w14:paraId="7E64B4F9" w14:textId="77777777"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lastRenderedPageBreak/>
        <w:t>Adult size and size of middle ear and tympanic membrane are approximately similar, so tools of the same size can be used for both types of surgery</w:t>
      </w:r>
    </w:p>
    <w:p w14:paraId="787F9FD3" w14:textId="77777777"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Most common procedures done endoscopically: tympanic membrane perforation reconstruction and cholesteatoma, but in children cholesteatoma reaches deep into the mastoid which is beyond the limits of totally endoscopic permeatal approach </w:t>
      </w:r>
    </w:p>
    <w:p w14:paraId="53236D18" w14:textId="77777777" w:rsidR="00765F73" w:rsidRPr="00FD3A3E" w:rsidRDefault="00765F73" w:rsidP="00BE09C8">
      <w:pPr>
        <w:widowControl w:val="0"/>
        <w:autoSpaceDE w:val="0"/>
        <w:autoSpaceDN w:val="0"/>
        <w:adjustRightInd w:val="0"/>
        <w:spacing w:after="240"/>
        <w:jc w:val="both"/>
        <w:rPr>
          <w:rFonts w:cs="Times New Roman"/>
          <w:lang w:val="en-CA"/>
        </w:rPr>
      </w:pPr>
      <w:r w:rsidRPr="00FD3A3E">
        <w:rPr>
          <w:rFonts w:cs="Times New Roman"/>
          <w:lang w:val="en-CA"/>
        </w:rPr>
        <w:t xml:space="preserve">Use this article when talking about tympanoplasty and considerations for time flow study </w:t>
      </w:r>
      <w:r w:rsidR="0030642C" w:rsidRPr="00FD3A3E">
        <w:rPr>
          <w:rFonts w:cs="Times New Roman"/>
          <w:lang w:val="en-CA"/>
        </w:rPr>
        <w:fldChar w:fldCharType="begin" w:fldLock="1"/>
      </w:r>
      <w:r w:rsidR="008949B0">
        <w:rPr>
          <w:rFonts w:cs="Times New Roman"/>
          <w:lang w:val="en-CA"/>
        </w:rPr>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"dropping-particle" : "", "family" : "Papsin", "given" : "Blake C", "non-dropping-particle" : "", "parse-names" : false, "suffix" : "" } ], "id" : "ITEM-1", "issue" : "September", "issued" : { "date-parts" : [ [ "2012" ] ] }, "title" : "-- Head and Neck Surgery", "type" : "article-journal" }, "uris" : [ "http://www.mendeley.com/documents/?uuid=09e17a5c-14e9-4108-a269-3c4a9d318877" ] } ], "mendeley" : { "formattedCitation" : "[18]", "plainTextFormattedCitation" : "[18]", "previouslyFormattedCitation" : "[17]" }, "properties" : { "noteIndex" : 0 }, "schema" : "https://github.com/citation-style-language/schema/raw/master/csl-citation.json" }</w:instrText>
      </w:r>
      <w:r w:rsidR="0030642C" w:rsidRPr="00FD3A3E">
        <w:rPr>
          <w:rFonts w:cs="Times New Roman"/>
          <w:lang w:val="en-CA"/>
        </w:rPr>
        <w:fldChar w:fldCharType="separate"/>
      </w:r>
      <w:r w:rsidR="008949B0" w:rsidRPr="008949B0">
        <w:rPr>
          <w:rFonts w:cs="Times New Roman"/>
          <w:noProof/>
          <w:lang w:val="en-CA"/>
        </w:rPr>
        <w:t>[18]</w:t>
      </w:r>
      <w:r w:rsidR="0030642C" w:rsidRPr="00FD3A3E">
        <w:rPr>
          <w:rFonts w:cs="Times New Roman"/>
          <w:lang w:val="en-CA"/>
        </w:rPr>
        <w:fldChar w:fldCharType="end"/>
      </w:r>
    </w:p>
    <w:p w14:paraId="111D0CE9" w14:textId="77777777" w:rsidR="00444211" w:rsidRPr="00FD3A3E" w:rsidRDefault="00444211" w:rsidP="00BE09C8">
      <w:pPr>
        <w:jc w:val="both"/>
        <w:rPr>
          <w:lang w:val="en-CA"/>
        </w:rPr>
      </w:pPr>
    </w:p>
    <w:sectPr w:rsidR="00444211" w:rsidRPr="00FD3A3E" w:rsidSect="008D470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rushri Swarup" w:date="2017-01-11T16:05:00Z" w:initials="AS">
    <w:p w14:paraId="06AA0A0F" w14:textId="77777777" w:rsidR="00A2246A" w:rsidRDefault="00A2246A">
      <w:pPr>
        <w:pStyle w:val="CommentText"/>
      </w:pPr>
      <w:r>
        <w:rPr>
          <w:rStyle w:val="CommentReference"/>
        </w:rPr>
        <w:annotationRef/>
      </w:r>
      <w:r>
        <w:t>This can be taken from the paper that will be written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AA0A0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D40360" w14:textId="77777777" w:rsidR="00BF5837" w:rsidRDefault="00BF5837" w:rsidP="00E71D6E">
      <w:r>
        <w:separator/>
      </w:r>
    </w:p>
  </w:endnote>
  <w:endnote w:type="continuationSeparator" w:id="0">
    <w:p w14:paraId="28003BFA" w14:textId="77777777" w:rsidR="00BF5837" w:rsidRDefault="00BF5837" w:rsidP="00E71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0000000000000000000"/>
    <w:charset w:val="4D"/>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20315E" w14:textId="77777777" w:rsidR="00BF5837" w:rsidRDefault="00BF5837" w:rsidP="00E71D6E">
      <w:r>
        <w:separator/>
      </w:r>
    </w:p>
  </w:footnote>
  <w:footnote w:type="continuationSeparator" w:id="0">
    <w:p w14:paraId="0EC1F9F7" w14:textId="77777777" w:rsidR="00BF5837" w:rsidRDefault="00BF5837" w:rsidP="00E71D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81794"/>
    <w:multiLevelType w:val="hybridMultilevel"/>
    <w:tmpl w:val="69B4864E"/>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D6930C0"/>
    <w:multiLevelType w:val="hybridMultilevel"/>
    <w:tmpl w:val="CB48140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101C2DBE"/>
    <w:multiLevelType w:val="hybridMultilevel"/>
    <w:tmpl w:val="3430A02A"/>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0440725"/>
    <w:multiLevelType w:val="hybridMultilevel"/>
    <w:tmpl w:val="214238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1FC6CF2"/>
    <w:multiLevelType w:val="hybridMultilevel"/>
    <w:tmpl w:val="7B8C4B7A"/>
    <w:lvl w:ilvl="0" w:tplc="54886F9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25976D6"/>
    <w:multiLevelType w:val="hybridMultilevel"/>
    <w:tmpl w:val="0B948AE2"/>
    <w:lvl w:ilvl="0" w:tplc="54886F9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D4D2B1A"/>
    <w:multiLevelType w:val="hybridMultilevel"/>
    <w:tmpl w:val="7CAA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777171"/>
    <w:multiLevelType w:val="hybridMultilevel"/>
    <w:tmpl w:val="42669676"/>
    <w:lvl w:ilvl="0" w:tplc="E236C00C">
      <w:start w:val="2"/>
      <w:numFmt w:val="bullet"/>
      <w:lvlText w:val="-"/>
      <w:lvlJc w:val="left"/>
      <w:pPr>
        <w:ind w:left="720" w:hanging="360"/>
      </w:pPr>
      <w:rPr>
        <w:rFonts w:ascii="Calibri" w:eastAsiaTheme="minorHAnsi" w:hAnsi="Calibri"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44197C"/>
    <w:multiLevelType w:val="hybridMultilevel"/>
    <w:tmpl w:val="6388E7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46B00704"/>
    <w:multiLevelType w:val="hybridMultilevel"/>
    <w:tmpl w:val="07663F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0643E8"/>
    <w:multiLevelType w:val="hybridMultilevel"/>
    <w:tmpl w:val="A5AEA3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54C7A9F"/>
    <w:multiLevelType w:val="hybridMultilevel"/>
    <w:tmpl w:val="D18467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66539E7"/>
    <w:multiLevelType w:val="hybridMultilevel"/>
    <w:tmpl w:val="CC3484A2"/>
    <w:lvl w:ilvl="0" w:tplc="49B86E16">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E6035B"/>
    <w:multiLevelType w:val="hybridMultilevel"/>
    <w:tmpl w:val="214238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C85333E"/>
    <w:multiLevelType w:val="hybridMultilevel"/>
    <w:tmpl w:val="D8D024C2"/>
    <w:lvl w:ilvl="0" w:tplc="54886F9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606E1B8A"/>
    <w:multiLevelType w:val="hybridMultilevel"/>
    <w:tmpl w:val="1D384D74"/>
    <w:lvl w:ilvl="0" w:tplc="E006DF68">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F77D45"/>
    <w:multiLevelType w:val="hybridMultilevel"/>
    <w:tmpl w:val="98BE2A02"/>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nsid w:val="64BB271E"/>
    <w:multiLevelType w:val="hybridMultilevel"/>
    <w:tmpl w:val="214238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6D7039B"/>
    <w:multiLevelType w:val="multilevel"/>
    <w:tmpl w:val="695C55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679F7EFA"/>
    <w:multiLevelType w:val="hybridMultilevel"/>
    <w:tmpl w:val="214238D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4273D8F"/>
    <w:multiLevelType w:val="hybridMultilevel"/>
    <w:tmpl w:val="C676498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EE60D5B"/>
    <w:multiLevelType w:val="hybridMultilevel"/>
    <w:tmpl w:val="8382AB26"/>
    <w:lvl w:ilvl="0" w:tplc="E3C6C9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20"/>
  </w:num>
  <w:num w:numId="4">
    <w:abstractNumId w:val="7"/>
  </w:num>
  <w:num w:numId="5">
    <w:abstractNumId w:val="12"/>
  </w:num>
  <w:num w:numId="6">
    <w:abstractNumId w:val="21"/>
  </w:num>
  <w:num w:numId="7">
    <w:abstractNumId w:val="5"/>
  </w:num>
  <w:num w:numId="8">
    <w:abstractNumId w:val="18"/>
  </w:num>
  <w:num w:numId="9">
    <w:abstractNumId w:val="4"/>
  </w:num>
  <w:num w:numId="10">
    <w:abstractNumId w:val="9"/>
  </w:num>
  <w:num w:numId="11">
    <w:abstractNumId w:val="19"/>
  </w:num>
  <w:num w:numId="12">
    <w:abstractNumId w:val="17"/>
  </w:num>
  <w:num w:numId="13">
    <w:abstractNumId w:val="13"/>
  </w:num>
  <w:num w:numId="14">
    <w:abstractNumId w:val="3"/>
  </w:num>
  <w:num w:numId="15">
    <w:abstractNumId w:val="0"/>
  </w:num>
  <w:num w:numId="16">
    <w:abstractNumId w:val="14"/>
  </w:num>
  <w:num w:numId="17">
    <w:abstractNumId w:val="2"/>
  </w:num>
  <w:num w:numId="18">
    <w:abstractNumId w:val="8"/>
  </w:num>
  <w:num w:numId="19">
    <w:abstractNumId w:val="10"/>
  </w:num>
  <w:num w:numId="20">
    <w:abstractNumId w:val="16"/>
  </w:num>
  <w:num w:numId="21">
    <w:abstractNumId w:val="1"/>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F280D"/>
    <w:rsid w:val="0000007E"/>
    <w:rsid w:val="00005C86"/>
    <w:rsid w:val="00007381"/>
    <w:rsid w:val="00013531"/>
    <w:rsid w:val="00061546"/>
    <w:rsid w:val="00085EAC"/>
    <w:rsid w:val="0008705A"/>
    <w:rsid w:val="0009512C"/>
    <w:rsid w:val="00096F9A"/>
    <w:rsid w:val="000A0030"/>
    <w:rsid w:val="000B7DC0"/>
    <w:rsid w:val="000E46CA"/>
    <w:rsid w:val="000F23B9"/>
    <w:rsid w:val="000F280D"/>
    <w:rsid w:val="00123CB4"/>
    <w:rsid w:val="0015289A"/>
    <w:rsid w:val="00176F0B"/>
    <w:rsid w:val="001870F4"/>
    <w:rsid w:val="00191A8F"/>
    <w:rsid w:val="0019796B"/>
    <w:rsid w:val="001A0154"/>
    <w:rsid w:val="001A4AE4"/>
    <w:rsid w:val="001C1934"/>
    <w:rsid w:val="001D44F6"/>
    <w:rsid w:val="002056F0"/>
    <w:rsid w:val="00212971"/>
    <w:rsid w:val="002229FF"/>
    <w:rsid w:val="00223CD5"/>
    <w:rsid w:val="002316D3"/>
    <w:rsid w:val="002731D2"/>
    <w:rsid w:val="00273C85"/>
    <w:rsid w:val="0029170C"/>
    <w:rsid w:val="00294249"/>
    <w:rsid w:val="002A1389"/>
    <w:rsid w:val="002C0818"/>
    <w:rsid w:val="002C5D33"/>
    <w:rsid w:val="002C6C6F"/>
    <w:rsid w:val="002C7C4F"/>
    <w:rsid w:val="002D3FCA"/>
    <w:rsid w:val="002D56AE"/>
    <w:rsid w:val="002E780B"/>
    <w:rsid w:val="0030642C"/>
    <w:rsid w:val="00340D02"/>
    <w:rsid w:val="00363E11"/>
    <w:rsid w:val="003839A3"/>
    <w:rsid w:val="00392904"/>
    <w:rsid w:val="003C52DF"/>
    <w:rsid w:val="003C572A"/>
    <w:rsid w:val="003C7EBC"/>
    <w:rsid w:val="003D34E2"/>
    <w:rsid w:val="003D79EE"/>
    <w:rsid w:val="003E4DF5"/>
    <w:rsid w:val="00400B77"/>
    <w:rsid w:val="00432116"/>
    <w:rsid w:val="00444211"/>
    <w:rsid w:val="00460061"/>
    <w:rsid w:val="00475EC0"/>
    <w:rsid w:val="00491849"/>
    <w:rsid w:val="0049747D"/>
    <w:rsid w:val="004F5B1B"/>
    <w:rsid w:val="005171CF"/>
    <w:rsid w:val="00550CA8"/>
    <w:rsid w:val="005736ED"/>
    <w:rsid w:val="00585B07"/>
    <w:rsid w:val="00596912"/>
    <w:rsid w:val="005A5BDC"/>
    <w:rsid w:val="005A6E5C"/>
    <w:rsid w:val="005B32D2"/>
    <w:rsid w:val="005B641B"/>
    <w:rsid w:val="005D14A9"/>
    <w:rsid w:val="005F3DDB"/>
    <w:rsid w:val="00633A29"/>
    <w:rsid w:val="00647D7C"/>
    <w:rsid w:val="00661894"/>
    <w:rsid w:val="006822CE"/>
    <w:rsid w:val="006A4781"/>
    <w:rsid w:val="006A6E6F"/>
    <w:rsid w:val="006C13CC"/>
    <w:rsid w:val="006C5C68"/>
    <w:rsid w:val="00740A2D"/>
    <w:rsid w:val="00751E52"/>
    <w:rsid w:val="007610C8"/>
    <w:rsid w:val="00765F73"/>
    <w:rsid w:val="00793E37"/>
    <w:rsid w:val="007A3912"/>
    <w:rsid w:val="007A7B39"/>
    <w:rsid w:val="007C53AB"/>
    <w:rsid w:val="007C58EF"/>
    <w:rsid w:val="007F1CCA"/>
    <w:rsid w:val="0080004F"/>
    <w:rsid w:val="0082571A"/>
    <w:rsid w:val="008500B0"/>
    <w:rsid w:val="008570B3"/>
    <w:rsid w:val="0088725F"/>
    <w:rsid w:val="008949B0"/>
    <w:rsid w:val="008A29BA"/>
    <w:rsid w:val="008D4245"/>
    <w:rsid w:val="008D470F"/>
    <w:rsid w:val="009053ED"/>
    <w:rsid w:val="00923946"/>
    <w:rsid w:val="00923D43"/>
    <w:rsid w:val="009407D0"/>
    <w:rsid w:val="00971F6E"/>
    <w:rsid w:val="0097282E"/>
    <w:rsid w:val="009A412E"/>
    <w:rsid w:val="009B47F9"/>
    <w:rsid w:val="009D1441"/>
    <w:rsid w:val="009F18E8"/>
    <w:rsid w:val="00A2246A"/>
    <w:rsid w:val="00A563B8"/>
    <w:rsid w:val="00A86E74"/>
    <w:rsid w:val="00AA3475"/>
    <w:rsid w:val="00AB5D37"/>
    <w:rsid w:val="00AB674B"/>
    <w:rsid w:val="00AE6BFC"/>
    <w:rsid w:val="00B135DE"/>
    <w:rsid w:val="00B437E2"/>
    <w:rsid w:val="00B65BDE"/>
    <w:rsid w:val="00B67405"/>
    <w:rsid w:val="00BB32B7"/>
    <w:rsid w:val="00BE09C8"/>
    <w:rsid w:val="00BF4EA9"/>
    <w:rsid w:val="00BF5837"/>
    <w:rsid w:val="00C054B9"/>
    <w:rsid w:val="00C07E73"/>
    <w:rsid w:val="00C61AFB"/>
    <w:rsid w:val="00CA6971"/>
    <w:rsid w:val="00CB1821"/>
    <w:rsid w:val="00CB6EF7"/>
    <w:rsid w:val="00CF7CE0"/>
    <w:rsid w:val="00D016B6"/>
    <w:rsid w:val="00D25401"/>
    <w:rsid w:val="00D328A1"/>
    <w:rsid w:val="00D52B15"/>
    <w:rsid w:val="00D76BF8"/>
    <w:rsid w:val="00DA345D"/>
    <w:rsid w:val="00DA6183"/>
    <w:rsid w:val="00DA788E"/>
    <w:rsid w:val="00DD3675"/>
    <w:rsid w:val="00E0333C"/>
    <w:rsid w:val="00E13A27"/>
    <w:rsid w:val="00E176B0"/>
    <w:rsid w:val="00E24AA2"/>
    <w:rsid w:val="00E417C3"/>
    <w:rsid w:val="00E556C7"/>
    <w:rsid w:val="00E717B8"/>
    <w:rsid w:val="00E71D6E"/>
    <w:rsid w:val="00E73B82"/>
    <w:rsid w:val="00EE1BBE"/>
    <w:rsid w:val="00F43E32"/>
    <w:rsid w:val="00F61828"/>
    <w:rsid w:val="00FD3A3E"/>
    <w:rsid w:val="00FE5388"/>
    <w:rsid w:val="00FF45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F82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E73"/>
  </w:style>
  <w:style w:type="paragraph" w:styleId="Heading1">
    <w:name w:val="heading 1"/>
    <w:basedOn w:val="Normal"/>
    <w:next w:val="Normal"/>
    <w:link w:val="Heading1Char"/>
    <w:uiPriority w:val="9"/>
    <w:qFormat/>
    <w:rsid w:val="00C07E73"/>
    <w:pPr>
      <w:pBdr>
        <w:bottom w:val="single" w:sz="12" w:space="1" w:color="2E74B5" w:themeColor="accent1" w:themeShade="BF"/>
      </w:pBdr>
      <w:spacing w:before="600" w:after="80"/>
      <w:ind w:firstLine="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Normal"/>
    <w:next w:val="Normal"/>
    <w:link w:val="Heading2Char"/>
    <w:uiPriority w:val="9"/>
    <w:unhideWhenUsed/>
    <w:qFormat/>
    <w:rsid w:val="00C07E73"/>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unhideWhenUsed/>
    <w:qFormat/>
    <w:rsid w:val="00C07E73"/>
    <w:pPr>
      <w:pBdr>
        <w:bottom w:val="single" w:sz="4" w:space="1" w:color="9CC2E5" w:themeColor="accent1" w:themeTint="99"/>
      </w:pBdr>
      <w:spacing w:before="200" w:after="80"/>
      <w:ind w:firstLine="0"/>
      <w:outlineLvl w:val="2"/>
    </w:pPr>
    <w:rPr>
      <w:rFonts w:asciiTheme="majorHAnsi" w:eastAsiaTheme="majorEastAsia" w:hAnsiTheme="majorHAnsi" w:cstheme="majorBidi"/>
      <w:color w:val="5B9BD5" w:themeColor="accent1"/>
      <w:sz w:val="24"/>
      <w:szCs w:val="24"/>
    </w:rPr>
  </w:style>
  <w:style w:type="paragraph" w:styleId="Heading4">
    <w:name w:val="heading 4"/>
    <w:basedOn w:val="Normal"/>
    <w:next w:val="Normal"/>
    <w:link w:val="Heading4Char"/>
    <w:uiPriority w:val="9"/>
    <w:semiHidden/>
    <w:unhideWhenUsed/>
    <w:qFormat/>
    <w:rsid w:val="00C07E73"/>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Heading5">
    <w:name w:val="heading 5"/>
    <w:basedOn w:val="Normal"/>
    <w:next w:val="Normal"/>
    <w:link w:val="Heading5Char"/>
    <w:uiPriority w:val="9"/>
    <w:semiHidden/>
    <w:unhideWhenUsed/>
    <w:qFormat/>
    <w:rsid w:val="00C07E73"/>
    <w:pPr>
      <w:spacing w:before="200" w:after="80"/>
      <w:ind w:firstLine="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C07E73"/>
    <w:pPr>
      <w:spacing w:before="280" w:after="100"/>
      <w:ind w:firstLine="0"/>
      <w:outlineLvl w:val="5"/>
    </w:pPr>
    <w:rPr>
      <w:rFonts w:asciiTheme="majorHAnsi" w:eastAsiaTheme="majorEastAsia" w:hAnsiTheme="majorHAnsi" w:cstheme="majorBidi"/>
      <w:i/>
      <w:iCs/>
      <w:color w:val="5B9BD5" w:themeColor="accent1"/>
    </w:rPr>
  </w:style>
  <w:style w:type="paragraph" w:styleId="Heading7">
    <w:name w:val="heading 7"/>
    <w:basedOn w:val="Normal"/>
    <w:next w:val="Normal"/>
    <w:link w:val="Heading7Char"/>
    <w:uiPriority w:val="9"/>
    <w:semiHidden/>
    <w:unhideWhenUsed/>
    <w:qFormat/>
    <w:rsid w:val="00C07E73"/>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C07E73"/>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C07E73"/>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D6E"/>
    <w:pPr>
      <w:tabs>
        <w:tab w:val="center" w:pos="4680"/>
        <w:tab w:val="right" w:pos="9360"/>
      </w:tabs>
    </w:pPr>
  </w:style>
  <w:style w:type="character" w:customStyle="1" w:styleId="HeaderChar">
    <w:name w:val="Header Char"/>
    <w:basedOn w:val="DefaultParagraphFont"/>
    <w:link w:val="Header"/>
    <w:uiPriority w:val="99"/>
    <w:rsid w:val="00E71D6E"/>
  </w:style>
  <w:style w:type="paragraph" w:styleId="Footer">
    <w:name w:val="footer"/>
    <w:basedOn w:val="Normal"/>
    <w:link w:val="FooterChar"/>
    <w:uiPriority w:val="99"/>
    <w:unhideWhenUsed/>
    <w:rsid w:val="00E71D6E"/>
    <w:pPr>
      <w:tabs>
        <w:tab w:val="center" w:pos="4680"/>
        <w:tab w:val="right" w:pos="9360"/>
      </w:tabs>
    </w:pPr>
  </w:style>
  <w:style w:type="character" w:customStyle="1" w:styleId="FooterChar">
    <w:name w:val="Footer Char"/>
    <w:basedOn w:val="DefaultParagraphFont"/>
    <w:link w:val="Footer"/>
    <w:uiPriority w:val="99"/>
    <w:rsid w:val="00E71D6E"/>
  </w:style>
  <w:style w:type="paragraph" w:styleId="ListParagraph">
    <w:name w:val="List Paragraph"/>
    <w:basedOn w:val="Normal"/>
    <w:uiPriority w:val="34"/>
    <w:qFormat/>
    <w:rsid w:val="00C07E73"/>
    <w:pPr>
      <w:ind w:left="720"/>
      <w:contextualSpacing/>
    </w:pPr>
  </w:style>
  <w:style w:type="character" w:styleId="CommentReference">
    <w:name w:val="annotation reference"/>
    <w:basedOn w:val="DefaultParagraphFont"/>
    <w:uiPriority w:val="99"/>
    <w:semiHidden/>
    <w:unhideWhenUsed/>
    <w:rsid w:val="00AE6BFC"/>
    <w:rPr>
      <w:sz w:val="18"/>
      <w:szCs w:val="18"/>
    </w:rPr>
  </w:style>
  <w:style w:type="paragraph" w:styleId="CommentText">
    <w:name w:val="annotation text"/>
    <w:basedOn w:val="Normal"/>
    <w:link w:val="CommentTextChar"/>
    <w:uiPriority w:val="99"/>
    <w:semiHidden/>
    <w:unhideWhenUsed/>
    <w:rsid w:val="00AE6BFC"/>
  </w:style>
  <w:style w:type="character" w:customStyle="1" w:styleId="CommentTextChar">
    <w:name w:val="Comment Text Char"/>
    <w:basedOn w:val="DefaultParagraphFont"/>
    <w:link w:val="CommentText"/>
    <w:uiPriority w:val="99"/>
    <w:semiHidden/>
    <w:rsid w:val="00AE6BFC"/>
  </w:style>
  <w:style w:type="paragraph" w:styleId="CommentSubject">
    <w:name w:val="annotation subject"/>
    <w:basedOn w:val="CommentText"/>
    <w:next w:val="CommentText"/>
    <w:link w:val="CommentSubjectChar"/>
    <w:uiPriority w:val="99"/>
    <w:semiHidden/>
    <w:unhideWhenUsed/>
    <w:rsid w:val="00AE6BFC"/>
    <w:rPr>
      <w:b/>
      <w:bCs/>
      <w:sz w:val="20"/>
      <w:szCs w:val="20"/>
    </w:rPr>
  </w:style>
  <w:style w:type="character" w:customStyle="1" w:styleId="CommentSubjectChar">
    <w:name w:val="Comment Subject Char"/>
    <w:basedOn w:val="CommentTextChar"/>
    <w:link w:val="CommentSubject"/>
    <w:uiPriority w:val="99"/>
    <w:semiHidden/>
    <w:rsid w:val="00AE6BFC"/>
    <w:rPr>
      <w:b/>
      <w:bCs/>
      <w:sz w:val="20"/>
      <w:szCs w:val="20"/>
    </w:rPr>
  </w:style>
  <w:style w:type="paragraph" w:styleId="BalloonText">
    <w:name w:val="Balloon Text"/>
    <w:basedOn w:val="Normal"/>
    <w:link w:val="BalloonTextChar"/>
    <w:uiPriority w:val="99"/>
    <w:semiHidden/>
    <w:unhideWhenUsed/>
    <w:rsid w:val="00AE6BF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6BFC"/>
    <w:rPr>
      <w:rFonts w:ascii="Times New Roman" w:hAnsi="Times New Roman" w:cs="Times New Roman"/>
      <w:sz w:val="18"/>
      <w:szCs w:val="18"/>
    </w:rPr>
  </w:style>
  <w:style w:type="paragraph" w:customStyle="1" w:styleId="Normal1">
    <w:name w:val="Normal1"/>
    <w:rsid w:val="00CF7CE0"/>
    <w:pPr>
      <w:spacing w:line="276" w:lineRule="auto"/>
    </w:pPr>
    <w:rPr>
      <w:rFonts w:ascii="Arial" w:eastAsia="Arial" w:hAnsi="Arial" w:cs="Arial"/>
      <w:color w:val="000000"/>
      <w:lang w:val="en-CA" w:eastAsia="en-CA"/>
    </w:rPr>
  </w:style>
  <w:style w:type="paragraph" w:customStyle="1" w:styleId="m5457844605781567817p1">
    <w:name w:val="m_5457844605781567817p1"/>
    <w:basedOn w:val="Normal"/>
    <w:rsid w:val="00CB1821"/>
    <w:pPr>
      <w:spacing w:before="100" w:beforeAutospacing="1" w:after="100" w:afterAutospacing="1"/>
    </w:pPr>
    <w:rPr>
      <w:rFonts w:ascii="Times New Roman" w:eastAsia="Times New Roman" w:hAnsi="Times New Roman" w:cs="Times New Roman"/>
      <w:lang w:val="en-CA" w:eastAsia="en-CA"/>
    </w:rPr>
  </w:style>
  <w:style w:type="character" w:customStyle="1" w:styleId="m5457844605781567817s1">
    <w:name w:val="m_5457844605781567817s1"/>
    <w:basedOn w:val="DefaultParagraphFont"/>
    <w:rsid w:val="00CB1821"/>
  </w:style>
  <w:style w:type="character" w:styleId="Hyperlink">
    <w:name w:val="Hyperlink"/>
    <w:basedOn w:val="DefaultParagraphFont"/>
    <w:uiPriority w:val="99"/>
    <w:unhideWhenUsed/>
    <w:rsid w:val="002D3FCA"/>
    <w:rPr>
      <w:color w:val="0563C1" w:themeColor="hyperlink"/>
      <w:u w:val="single"/>
    </w:rPr>
  </w:style>
  <w:style w:type="character" w:customStyle="1" w:styleId="Heading1Char">
    <w:name w:val="Heading 1 Char"/>
    <w:basedOn w:val="DefaultParagraphFont"/>
    <w:link w:val="Heading1"/>
    <w:uiPriority w:val="9"/>
    <w:rsid w:val="00C07E73"/>
    <w:rPr>
      <w:rFonts w:asciiTheme="majorHAnsi" w:eastAsiaTheme="majorEastAsia" w:hAnsiTheme="majorHAnsi" w:cstheme="majorBidi"/>
      <w:b/>
      <w:bCs/>
      <w:color w:val="2E74B5" w:themeColor="accent1" w:themeShade="BF"/>
      <w:sz w:val="24"/>
      <w:szCs w:val="24"/>
    </w:rPr>
  </w:style>
  <w:style w:type="character" w:customStyle="1" w:styleId="Heading2Char">
    <w:name w:val="Heading 2 Char"/>
    <w:basedOn w:val="DefaultParagraphFont"/>
    <w:link w:val="Heading2"/>
    <w:uiPriority w:val="9"/>
    <w:rsid w:val="00C07E73"/>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rsid w:val="00C07E73"/>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semiHidden/>
    <w:rsid w:val="00C07E73"/>
    <w:rPr>
      <w:rFonts w:asciiTheme="majorHAnsi" w:eastAsiaTheme="majorEastAsia" w:hAnsiTheme="majorHAnsi" w:cstheme="majorBidi"/>
      <w:i/>
      <w:iCs/>
      <w:color w:val="5B9BD5" w:themeColor="accent1"/>
      <w:sz w:val="24"/>
      <w:szCs w:val="24"/>
    </w:rPr>
  </w:style>
  <w:style w:type="character" w:customStyle="1" w:styleId="Heading5Char">
    <w:name w:val="Heading 5 Char"/>
    <w:basedOn w:val="DefaultParagraphFont"/>
    <w:link w:val="Heading5"/>
    <w:uiPriority w:val="9"/>
    <w:semiHidden/>
    <w:rsid w:val="00C07E73"/>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C07E73"/>
    <w:rPr>
      <w:rFonts w:asciiTheme="majorHAnsi" w:eastAsiaTheme="majorEastAsia" w:hAnsiTheme="majorHAnsi" w:cstheme="majorBidi"/>
      <w:i/>
      <w:iCs/>
      <w:color w:val="5B9BD5" w:themeColor="accent1"/>
    </w:rPr>
  </w:style>
  <w:style w:type="character" w:customStyle="1" w:styleId="Heading7Char">
    <w:name w:val="Heading 7 Char"/>
    <w:basedOn w:val="DefaultParagraphFont"/>
    <w:link w:val="Heading7"/>
    <w:uiPriority w:val="9"/>
    <w:semiHidden/>
    <w:rsid w:val="00C07E73"/>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C07E73"/>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C07E73"/>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C07E73"/>
    <w:rPr>
      <w:b/>
      <w:bCs/>
      <w:sz w:val="18"/>
      <w:szCs w:val="18"/>
    </w:rPr>
  </w:style>
  <w:style w:type="paragraph" w:styleId="Title">
    <w:name w:val="Title"/>
    <w:basedOn w:val="Normal"/>
    <w:next w:val="Normal"/>
    <w:link w:val="TitleChar"/>
    <w:uiPriority w:val="10"/>
    <w:qFormat/>
    <w:rsid w:val="00C07E73"/>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C07E73"/>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C07E73"/>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C07E73"/>
    <w:rPr>
      <w:rFonts w:asciiTheme="minorHAnsi"/>
      <w:i/>
      <w:iCs/>
      <w:sz w:val="24"/>
      <w:szCs w:val="24"/>
    </w:rPr>
  </w:style>
  <w:style w:type="character" w:styleId="Strong">
    <w:name w:val="Strong"/>
    <w:basedOn w:val="DefaultParagraphFont"/>
    <w:uiPriority w:val="22"/>
    <w:qFormat/>
    <w:rsid w:val="00C07E73"/>
    <w:rPr>
      <w:b/>
      <w:bCs/>
      <w:spacing w:val="0"/>
    </w:rPr>
  </w:style>
  <w:style w:type="character" w:styleId="Emphasis">
    <w:name w:val="Emphasis"/>
    <w:uiPriority w:val="20"/>
    <w:qFormat/>
    <w:rsid w:val="00C07E73"/>
    <w:rPr>
      <w:b/>
      <w:bCs/>
      <w:i/>
      <w:iCs/>
      <w:color w:val="5A5A5A" w:themeColor="text1" w:themeTint="A5"/>
    </w:rPr>
  </w:style>
  <w:style w:type="paragraph" w:styleId="NoSpacing">
    <w:name w:val="No Spacing"/>
    <w:basedOn w:val="Normal"/>
    <w:link w:val="NoSpacingChar"/>
    <w:uiPriority w:val="1"/>
    <w:qFormat/>
    <w:rsid w:val="00C07E73"/>
    <w:pPr>
      <w:ind w:firstLine="0"/>
    </w:pPr>
  </w:style>
  <w:style w:type="character" w:customStyle="1" w:styleId="NoSpacingChar">
    <w:name w:val="No Spacing Char"/>
    <w:basedOn w:val="DefaultParagraphFont"/>
    <w:link w:val="NoSpacing"/>
    <w:uiPriority w:val="1"/>
    <w:rsid w:val="00C07E73"/>
  </w:style>
  <w:style w:type="paragraph" w:styleId="Quote">
    <w:name w:val="Quote"/>
    <w:basedOn w:val="Normal"/>
    <w:next w:val="Normal"/>
    <w:link w:val="QuoteChar"/>
    <w:uiPriority w:val="29"/>
    <w:qFormat/>
    <w:rsid w:val="00C07E73"/>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C07E73"/>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C07E73"/>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C07E73"/>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C07E73"/>
    <w:rPr>
      <w:i/>
      <w:iCs/>
      <w:color w:val="5A5A5A" w:themeColor="text1" w:themeTint="A5"/>
    </w:rPr>
  </w:style>
  <w:style w:type="character" w:styleId="IntenseEmphasis">
    <w:name w:val="Intense Emphasis"/>
    <w:uiPriority w:val="21"/>
    <w:qFormat/>
    <w:rsid w:val="00C07E73"/>
    <w:rPr>
      <w:b/>
      <w:bCs/>
      <w:i/>
      <w:iCs/>
      <w:color w:val="5B9BD5" w:themeColor="accent1"/>
      <w:sz w:val="22"/>
      <w:szCs w:val="22"/>
    </w:rPr>
  </w:style>
  <w:style w:type="character" w:styleId="SubtleReference">
    <w:name w:val="Subtle Reference"/>
    <w:uiPriority w:val="31"/>
    <w:qFormat/>
    <w:rsid w:val="00C07E73"/>
    <w:rPr>
      <w:color w:val="auto"/>
      <w:u w:val="single" w:color="A5A5A5" w:themeColor="accent3"/>
    </w:rPr>
  </w:style>
  <w:style w:type="character" w:styleId="IntenseReference">
    <w:name w:val="Intense Reference"/>
    <w:basedOn w:val="DefaultParagraphFont"/>
    <w:uiPriority w:val="32"/>
    <w:qFormat/>
    <w:rsid w:val="00C07E73"/>
    <w:rPr>
      <w:b/>
      <w:bCs/>
      <w:color w:val="7B7B7B" w:themeColor="accent3" w:themeShade="BF"/>
      <w:u w:val="single" w:color="A5A5A5" w:themeColor="accent3"/>
    </w:rPr>
  </w:style>
  <w:style w:type="character" w:styleId="BookTitle">
    <w:name w:val="Book Title"/>
    <w:basedOn w:val="DefaultParagraphFont"/>
    <w:uiPriority w:val="33"/>
    <w:qFormat/>
    <w:rsid w:val="00C07E73"/>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C07E7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sr.iq.harvard.edu/files/psr/files/PSRQuestionnaireTipSheet_0.pdf" TargetMode="External"/><Relationship Id="rId12" Type="http://schemas.openxmlformats.org/officeDocument/2006/relationships/hyperlink" Target="http://www.uwex.edu/ces/4h/evaluation/documents/Wordingforratingscales.pdf"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www.statistik.tuwien.ac.at/forschung/SM/SM-2009-4comple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480C11-527A-C341-AF45-97B3B1DCB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1169</TotalTime>
  <Pages>12</Pages>
  <Words>12173</Words>
  <Characters>69392</Characters>
  <Application>Microsoft Macintosh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81403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49</cp:revision>
  <dcterms:created xsi:type="dcterms:W3CDTF">2016-09-26T15:13:00Z</dcterms:created>
  <dcterms:modified xsi:type="dcterms:W3CDTF">2017-02-16T03:41:00Z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User Name_1">
    <vt:lpwstr>arushri.swarup@mail.utoronto.ca@www.mendeley.com</vt:lpwstr>
  </property>
</Properties>
</file>