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BE00E" w14:textId="77777777"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14:paraId="4F9F5386" w14:textId="77777777" w:rsidR="005412B3" w:rsidRDefault="005412B3" w:rsidP="00D87CF2">
      <w:pPr>
        <w:jc w:val="center"/>
        <w:rPr>
          <w:rFonts w:ascii="Times New Roman" w:hAnsi="Times New Roman" w:cs="Times New Roman"/>
          <w:b/>
          <w:lang w:val="en-CA"/>
        </w:rPr>
      </w:pPr>
      <w:bookmarkStart w:id="0" w:name="_GoBack"/>
      <w:bookmarkEnd w:id="0"/>
    </w:p>
    <w:p w14:paraId="2E541EBC" w14:textId="77777777" w:rsidR="005412B3" w:rsidRDefault="005412B3" w:rsidP="00D87CF2">
      <w:pPr>
        <w:jc w:val="center"/>
        <w:rPr>
          <w:rFonts w:ascii="Times New Roman" w:hAnsi="Times New Roman" w:cs="Times New Roman"/>
          <w:b/>
          <w:lang w:val="en-CA"/>
        </w:rPr>
      </w:pPr>
      <w:r>
        <w:rPr>
          <w:rStyle w:val="Strong"/>
          <w:rFonts w:ascii="Verdana" w:hAnsi="Verdana"/>
          <w:color w:val="000000"/>
          <w:sz w:val="12"/>
          <w:szCs w:val="12"/>
          <w:shd w:val="clear" w:color="auto" w:fill="FFFFFF"/>
        </w:rPr>
        <w:t>Part A:</w:t>
      </w:r>
      <w:r>
        <w:rPr>
          <w:rStyle w:val="apple-converted-space"/>
          <w:rFonts w:ascii="Verdana" w:hAnsi="Verdana"/>
          <w:color w:val="000000"/>
          <w:sz w:val="12"/>
          <w:szCs w:val="12"/>
          <w:shd w:val="clear" w:color="auto" w:fill="FFFFFF"/>
        </w:rPr>
        <w:t> </w:t>
      </w:r>
      <w:r>
        <w:rPr>
          <w:rFonts w:ascii="Verdana" w:hAnsi="Verdana"/>
          <w:color w:val="000000"/>
          <w:sz w:val="12"/>
          <w:szCs w:val="12"/>
          <w:shd w:val="clear" w:color="auto" w:fill="FFFFFF"/>
        </w:rPr>
        <w:t xml:space="preserve">In easily understandable terms, provide a 1 page (maximum) research description or statement of intent, including hypothesis, methods, and expected outcomes. Include your research title on top of the page. </w:t>
      </w:r>
      <w:r w:rsidR="00BD7B7A">
        <w:rPr>
          <w:rFonts w:ascii="Verdana" w:hAnsi="Verdana"/>
          <w:color w:val="000000"/>
          <w:sz w:val="12"/>
          <w:szCs w:val="12"/>
          <w:shd w:val="clear" w:color="auto" w:fill="FFFFFF"/>
        </w:rPr>
        <w:t xml:space="preserve">  </w:t>
      </w:r>
    </w:p>
    <w:p w14:paraId="6C2BF114" w14:textId="77777777" w:rsidR="000475E7" w:rsidRDefault="00FC0708" w:rsidP="000475E7">
      <w:pPr>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14:paraId="6CCC83D9" w14:textId="77777777" w:rsidR="00D87CF2" w:rsidRPr="000475E7" w:rsidRDefault="00FC0708" w:rsidP="000475E7">
      <w:pPr>
        <w:rPr>
          <w:rFonts w:ascii="Times New Roman" w:hAnsi="Times New Roman" w:cs="Times New Roman"/>
          <w:lang w:val="en-CA"/>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 xml:space="preserve">ge greater use of the technique,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21241E" w:rsidRPr="00893888">
        <w:rPr>
          <w:rFonts w:ascii="Times New Roman" w:hAnsi="Times New Roman" w:cs="Times New Roman"/>
        </w:rPr>
        <w:t xml:space="preserve">. </w:t>
      </w:r>
    </w:p>
    <w:p w14:paraId="7CEB1822" w14:textId="77777777"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14:paraId="6209DDBD" w14:textId="77777777"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w:t>
      </w:r>
      <w:r w:rsidR="00247668">
        <w:rPr>
          <w:rFonts w:ascii="Times New Roman" w:hAnsi="Times New Roman" w:cs="Times New Roman"/>
        </w:rPr>
        <w:t xml:space="preserve">questionnaire’s </w:t>
      </w:r>
      <w:r w:rsidR="002D4E7A">
        <w:rPr>
          <w:rFonts w:ascii="Times New Roman" w:hAnsi="Times New Roman" w:cs="Times New Roman"/>
        </w:rPr>
        <w:t>resulting qualitative scores</w:t>
      </w:r>
      <w:r w:rsidR="002F2977">
        <w:rPr>
          <w:rFonts w:ascii="Times New Roman" w:hAnsi="Times New Roman" w:cs="Times New Roman"/>
        </w:rPr>
        <w:t xml:space="preserve"> will be analyzed </w:t>
      </w:r>
      <w:r w:rsidR="002316F5">
        <w:rPr>
          <w:rFonts w:ascii="Times New Roman" w:hAnsi="Times New Roman" w:cs="Times New Roman"/>
        </w:rPr>
        <w:t>using non-parametric tests and ANOVA</w:t>
      </w:r>
      <w:r w:rsidR="002F2977">
        <w:rPr>
          <w:rFonts w:ascii="Times New Roman" w:hAnsi="Times New Roman" w:cs="Times New Roman"/>
        </w:rPr>
        <w:t xml:space="preserve"> 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w:t>
      </w:r>
      <w:r w:rsidR="00247668">
        <w:rPr>
          <w:rFonts w:ascii="Times New Roman" w:hAnsi="Times New Roman" w:cs="Times New Roman"/>
        </w:rPr>
        <w:t>using</w:t>
      </w:r>
      <w:r w:rsidR="00FF3150" w:rsidRPr="00717A69">
        <w:rPr>
          <w:rFonts w:ascii="Times New Roman" w:hAnsi="Times New Roman" w:cs="Times New Roman"/>
        </w:rPr>
        <w:t xml:space="preserve"> </w:t>
      </w:r>
      <w:r w:rsidR="002F2977">
        <w:rPr>
          <w:rFonts w:ascii="Times New Roman" w:hAnsi="Times New Roman" w:cs="Times New Roman"/>
        </w:rPr>
        <w:t xml:space="preserve">TEES. </w:t>
      </w:r>
    </w:p>
    <w:p w14:paraId="2F8C9293" w14:textId="77777777"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14:paraId="3EDFCEFE" w14:textId="77777777" w:rsidR="00853EB9" w:rsidRDefault="00853EB9" w:rsidP="00D87CF2">
      <w:pPr>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14:paraId="2B14CBF4" w14:textId="77777777" w:rsidR="00446E45"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 xml:space="preserve">The new instruments will aim to </w:t>
      </w:r>
      <w:r w:rsidR="001452CC">
        <w:rPr>
          <w:rFonts w:ascii="Times New Roman" w:hAnsi="Times New Roman" w:cs="Times New Roman"/>
          <w:lang w:val="en-CA"/>
        </w:rPr>
        <w:lastRenderedPageBreak/>
        <w:t>facilitate minimally invasive TEES which would thereby reduce surgical morbidity, length of hospital stay and associated costs to ensure patients can return to their normal lives safely.</w:t>
      </w:r>
    </w:p>
    <w:p w14:paraId="57E115C6" w14:textId="77777777" w:rsidR="00E97502" w:rsidRDefault="00E97502" w:rsidP="00AA7BB1">
      <w:pPr>
        <w:rPr>
          <w:rFonts w:ascii="Times New Roman" w:hAnsi="Times New Roman" w:cs="Times New Roman"/>
          <w:lang w:val="en-CA"/>
        </w:rPr>
      </w:pPr>
    </w:p>
    <w:p w14:paraId="710D275E" w14:textId="77777777" w:rsidR="005412B3" w:rsidRDefault="005412B3">
      <w:pPr>
        <w:spacing w:after="200" w:line="276" w:lineRule="auto"/>
        <w:rPr>
          <w:rFonts w:ascii="Times New Roman" w:hAnsi="Times New Roman" w:cs="Times New Roman"/>
          <w:lang w:val="en-CA"/>
        </w:rPr>
      </w:pPr>
      <w:r>
        <w:rPr>
          <w:rFonts w:ascii="Times New Roman" w:hAnsi="Times New Roman" w:cs="Times New Roman"/>
          <w:lang w:val="en-CA"/>
        </w:rPr>
        <w:br w:type="page"/>
      </w:r>
    </w:p>
    <w:p w14:paraId="20AC2435" w14:textId="77777777" w:rsidR="00BD445D" w:rsidRPr="003958D6" w:rsidRDefault="00BD445D" w:rsidP="00AA7BB1">
      <w:pPr>
        <w:rPr>
          <w:rFonts w:ascii="Times New Roman" w:hAnsi="Times New Roman" w:cs="Times New Roman"/>
          <w:sz w:val="36"/>
          <w:lang w:val="en-CA"/>
        </w:rPr>
      </w:pPr>
    </w:p>
    <w:p w14:paraId="06F5BDD4" w14:textId="77777777" w:rsidR="00BD445D" w:rsidRPr="003958D6" w:rsidRDefault="005412B3" w:rsidP="005412B3">
      <w:pPr>
        <w:rPr>
          <w:rStyle w:val="apple-converted-space"/>
          <w:rFonts w:ascii="Verdana" w:hAnsi="Verdana"/>
          <w:color w:val="000000"/>
          <w:sz w:val="16"/>
          <w:szCs w:val="12"/>
          <w:shd w:val="clear" w:color="auto" w:fill="FFFFFF"/>
        </w:rPr>
      </w:pPr>
      <w:r w:rsidRPr="003958D6">
        <w:rPr>
          <w:rStyle w:val="Strong"/>
          <w:rFonts w:ascii="Verdana" w:hAnsi="Verdana"/>
          <w:color w:val="000000"/>
          <w:sz w:val="16"/>
          <w:szCs w:val="12"/>
          <w:shd w:val="clear" w:color="auto" w:fill="FFFFFF"/>
        </w:rPr>
        <w:t>Part B:</w:t>
      </w:r>
      <w:r w:rsidRPr="003958D6">
        <w:rPr>
          <w:rStyle w:val="apple-converted-space"/>
          <w:rFonts w:ascii="Verdana" w:hAnsi="Verdana"/>
          <w:color w:val="000000"/>
          <w:sz w:val="16"/>
          <w:szCs w:val="12"/>
          <w:shd w:val="clear" w:color="auto" w:fill="FFFFFF"/>
        </w:rPr>
        <w:t> </w:t>
      </w:r>
      <w:r w:rsidRPr="003958D6">
        <w:rPr>
          <w:rFonts w:ascii="Verdana" w:hAnsi="Verdana"/>
          <w:color w:val="000000"/>
          <w:sz w:val="16"/>
          <w:szCs w:val="12"/>
          <w:shd w:val="clear" w:color="auto" w:fill="FFFFFF"/>
        </w:rPr>
        <w:t>For each award that you are applying for, include a</w:t>
      </w:r>
      <w:r w:rsidRPr="003958D6">
        <w:rPr>
          <w:rStyle w:val="apple-converted-space"/>
          <w:rFonts w:ascii="Verdana" w:hAnsi="Verdana"/>
          <w:color w:val="000000"/>
          <w:sz w:val="16"/>
          <w:szCs w:val="12"/>
          <w:shd w:val="clear" w:color="auto" w:fill="FFFFFF"/>
        </w:rPr>
        <w:t> </w:t>
      </w:r>
      <w:r w:rsidRPr="003958D6">
        <w:rPr>
          <w:rFonts w:ascii="Verdana" w:hAnsi="Verdana"/>
          <w:b/>
          <w:bCs/>
          <w:color w:val="000000"/>
          <w:sz w:val="16"/>
          <w:szCs w:val="12"/>
          <w:u w:val="single"/>
          <w:shd w:val="clear" w:color="auto" w:fill="FFFFFF"/>
        </w:rPr>
        <w:t>clear statement</w:t>
      </w:r>
      <w:r w:rsidRPr="003958D6">
        <w:rPr>
          <w:rStyle w:val="apple-converted-space"/>
          <w:rFonts w:ascii="Verdana" w:hAnsi="Verdana"/>
          <w:color w:val="000000"/>
          <w:sz w:val="16"/>
          <w:szCs w:val="12"/>
          <w:shd w:val="clear" w:color="auto" w:fill="FFFFFF"/>
        </w:rPr>
        <w:t> </w:t>
      </w:r>
      <w:r w:rsidRPr="003958D6">
        <w:rPr>
          <w:rFonts w:ascii="Verdana" w:hAnsi="Verdana"/>
          <w:color w:val="000000"/>
          <w:sz w:val="16"/>
          <w:szCs w:val="12"/>
          <w:shd w:val="clear" w:color="auto" w:fill="FFFFFF"/>
        </w:rPr>
        <w:t>of how your research conforms to the conditions of the award. To review the conditions and eligibility for each award, click on the</w:t>
      </w:r>
      <w:r w:rsidRPr="003958D6">
        <w:rPr>
          <w:rStyle w:val="apple-converted-space"/>
          <w:rFonts w:ascii="Verdana" w:hAnsi="Verdana"/>
          <w:color w:val="000000"/>
          <w:sz w:val="16"/>
          <w:szCs w:val="12"/>
          <w:shd w:val="clear" w:color="auto" w:fill="FFFFFF"/>
        </w:rPr>
        <w:t> </w:t>
      </w:r>
      <w:r w:rsidRPr="003958D6">
        <w:rPr>
          <w:rStyle w:val="Strong"/>
          <w:rFonts w:ascii="Verdana" w:hAnsi="Verdana"/>
          <w:color w:val="000000"/>
          <w:sz w:val="16"/>
          <w:szCs w:val="12"/>
          <w:shd w:val="clear" w:color="auto" w:fill="FFFFFF"/>
        </w:rPr>
        <w:t>Awards</w:t>
      </w:r>
      <w:r w:rsidRPr="003958D6">
        <w:rPr>
          <w:rStyle w:val="apple-converted-space"/>
          <w:rFonts w:ascii="Verdana" w:hAnsi="Verdana"/>
          <w:color w:val="000000"/>
          <w:sz w:val="16"/>
          <w:szCs w:val="12"/>
          <w:shd w:val="clear" w:color="auto" w:fill="FFFFFF"/>
        </w:rPr>
        <w:t> </w:t>
      </w:r>
      <w:r w:rsidRPr="003958D6">
        <w:rPr>
          <w:rFonts w:ascii="Verdana" w:hAnsi="Verdana"/>
          <w:color w:val="000000"/>
          <w:sz w:val="16"/>
          <w:szCs w:val="12"/>
          <w:shd w:val="clear" w:color="auto" w:fill="FFFFFF"/>
        </w:rPr>
        <w:t>tab at the top of this page. Include the name of the award and have</w:t>
      </w:r>
      <w:r w:rsidRPr="003958D6">
        <w:rPr>
          <w:rStyle w:val="apple-converted-space"/>
          <w:rFonts w:ascii="Verdana" w:hAnsi="Verdana"/>
          <w:color w:val="000000"/>
          <w:sz w:val="16"/>
          <w:szCs w:val="12"/>
          <w:shd w:val="clear" w:color="auto" w:fill="FFFFFF"/>
        </w:rPr>
        <w:t> </w:t>
      </w:r>
      <w:r w:rsidRPr="003958D6">
        <w:rPr>
          <w:rFonts w:ascii="Verdana" w:hAnsi="Verdana"/>
          <w:b/>
          <w:bCs/>
          <w:color w:val="000000"/>
          <w:sz w:val="16"/>
          <w:szCs w:val="12"/>
          <w:u w:val="single"/>
          <w:shd w:val="clear" w:color="auto" w:fill="FFFFFF"/>
        </w:rPr>
        <w:t>no more</w:t>
      </w:r>
      <w:r w:rsidRPr="003958D6">
        <w:rPr>
          <w:rStyle w:val="apple-converted-space"/>
          <w:rFonts w:ascii="Verdana" w:hAnsi="Verdana"/>
          <w:color w:val="000000"/>
          <w:sz w:val="16"/>
          <w:szCs w:val="12"/>
          <w:shd w:val="clear" w:color="auto" w:fill="FFFFFF"/>
        </w:rPr>
        <w:t> </w:t>
      </w:r>
      <w:r w:rsidRPr="003958D6">
        <w:rPr>
          <w:rFonts w:ascii="Verdana" w:hAnsi="Verdana"/>
          <w:color w:val="000000"/>
          <w:sz w:val="16"/>
          <w:szCs w:val="12"/>
          <w:shd w:val="clear" w:color="auto" w:fill="FFFFFF"/>
        </w:rPr>
        <w:t>than 1 paragraph per award.</w:t>
      </w:r>
      <w:r w:rsidRPr="003958D6">
        <w:rPr>
          <w:rStyle w:val="apple-converted-space"/>
          <w:rFonts w:ascii="Verdana" w:hAnsi="Verdana"/>
          <w:color w:val="000000"/>
          <w:sz w:val="16"/>
          <w:szCs w:val="12"/>
          <w:shd w:val="clear" w:color="auto" w:fill="FFFFFF"/>
        </w:rPr>
        <w:t> </w:t>
      </w:r>
    </w:p>
    <w:p w14:paraId="1C8026D0" w14:textId="77777777" w:rsidR="005412B3" w:rsidRPr="003958D6" w:rsidRDefault="005412B3" w:rsidP="005412B3">
      <w:pPr>
        <w:rPr>
          <w:rStyle w:val="apple-converted-space"/>
          <w:rFonts w:ascii="Verdana" w:hAnsi="Verdana"/>
          <w:color w:val="000000"/>
          <w:sz w:val="16"/>
          <w:szCs w:val="12"/>
          <w:shd w:val="clear" w:color="auto" w:fill="FFFFFF"/>
        </w:rPr>
      </w:pPr>
    </w:p>
    <w:tbl>
      <w:tblPr>
        <w:tblW w:w="7742" w:type="dxa"/>
        <w:tblInd w:w="19" w:type="dxa"/>
        <w:shd w:val="clear" w:color="auto" w:fill="FFFFFF"/>
        <w:tblCellMar>
          <w:left w:w="0" w:type="dxa"/>
          <w:right w:w="0" w:type="dxa"/>
        </w:tblCellMar>
        <w:tblLook w:val="04A0" w:firstRow="1" w:lastRow="0" w:firstColumn="1" w:lastColumn="0" w:noHBand="0" w:noVBand="1"/>
      </w:tblPr>
      <w:tblGrid>
        <w:gridCol w:w="2405"/>
        <w:gridCol w:w="5337"/>
      </w:tblGrid>
      <w:tr w:rsidR="005412B3" w:rsidRPr="003958D6" w14:paraId="6BDC9175" w14:textId="77777777" w:rsidTr="003A4664">
        <w:trPr>
          <w:trHeight w:val="480"/>
        </w:trPr>
        <w:tc>
          <w:tcPr>
            <w:tcW w:w="0" w:type="auto"/>
            <w:tcBorders>
              <w:top w:val="single" w:sz="4" w:space="0" w:color="FFFFFF"/>
              <w:left w:val="single" w:sz="4" w:space="0" w:color="FFFFFF"/>
              <w:bottom w:val="single" w:sz="4" w:space="0" w:color="FFFFFF"/>
              <w:right w:val="single" w:sz="4" w:space="0" w:color="FFFFFF"/>
            </w:tcBorders>
            <w:shd w:val="clear" w:color="auto" w:fill="FFFFFF"/>
            <w:tcMar>
              <w:top w:w="19" w:type="dxa"/>
              <w:left w:w="19" w:type="dxa"/>
              <w:bottom w:w="19" w:type="dxa"/>
              <w:right w:w="19" w:type="dxa"/>
            </w:tcMar>
            <w:vAlign w:val="center"/>
            <w:hideMark/>
          </w:tcPr>
          <w:p w14:paraId="7B5DC743" w14:textId="77777777" w:rsidR="005412B3" w:rsidRPr="003958D6" w:rsidRDefault="005412B3" w:rsidP="003A4664">
            <w:pPr>
              <w:rPr>
                <w:rFonts w:ascii="Verdana" w:eastAsia="Times New Roman" w:hAnsi="Verdana" w:cs="Times New Roman"/>
                <w:color w:val="505050"/>
                <w:sz w:val="13"/>
                <w:szCs w:val="9"/>
                <w:lang w:eastAsia="en-CA"/>
              </w:rPr>
            </w:pPr>
            <w:r w:rsidRPr="003958D6">
              <w:rPr>
                <w:rFonts w:ascii="Verdana" w:eastAsia="Times New Roman" w:hAnsi="Verdana" w:cs="Times New Roman"/>
                <w:color w:val="505050"/>
                <w:sz w:val="13"/>
                <w:szCs w:val="9"/>
                <w:lang w:eastAsia="en-CA"/>
              </w:rPr>
              <w:t xml:space="preserve">Hilda and William Courtney CLAYTON </w:t>
            </w:r>
            <w:proofErr w:type="spellStart"/>
            <w:r w:rsidRPr="003958D6">
              <w:rPr>
                <w:rFonts w:ascii="Verdana" w:eastAsia="Times New Roman" w:hAnsi="Verdana" w:cs="Times New Roman"/>
                <w:color w:val="505050"/>
                <w:sz w:val="13"/>
                <w:szCs w:val="9"/>
                <w:lang w:eastAsia="en-CA"/>
              </w:rPr>
              <w:t>Paediatric</w:t>
            </w:r>
            <w:proofErr w:type="spellEnd"/>
            <w:r w:rsidRPr="003958D6">
              <w:rPr>
                <w:rFonts w:ascii="Verdana" w:eastAsia="Times New Roman" w:hAnsi="Verdana" w:cs="Times New Roman"/>
                <w:color w:val="505050"/>
                <w:sz w:val="13"/>
                <w:szCs w:val="9"/>
                <w:lang w:eastAsia="en-CA"/>
              </w:rPr>
              <w:t xml:space="preserve"> Research Fund</w:t>
            </w:r>
            <w:r w:rsidRPr="003958D6">
              <w:rPr>
                <w:rFonts w:ascii="Verdana" w:eastAsia="Times New Roman" w:hAnsi="Verdana" w:cs="Times New Roman"/>
                <w:color w:val="505050"/>
                <w:sz w:val="13"/>
                <w:szCs w:val="9"/>
                <w:lang w:eastAsia="en-CA"/>
              </w:rPr>
              <w:br/>
            </w:r>
            <w:r w:rsidRPr="003958D6">
              <w:rPr>
                <w:rFonts w:ascii="Verdana" w:eastAsia="Times New Roman" w:hAnsi="Verdana" w:cs="Times New Roman"/>
                <w:color w:val="505050"/>
                <w:sz w:val="13"/>
                <w:szCs w:val="9"/>
                <w:lang w:eastAsia="en-CA"/>
              </w:rPr>
              <w:br/>
              <w:t>TYPE: Other Endowed Awards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9" w:type="dxa"/>
              <w:left w:w="19" w:type="dxa"/>
              <w:bottom w:w="19" w:type="dxa"/>
              <w:right w:w="19" w:type="dxa"/>
            </w:tcMar>
            <w:vAlign w:val="center"/>
            <w:hideMark/>
          </w:tcPr>
          <w:p w14:paraId="57B23D0A" w14:textId="77777777" w:rsidR="005412B3" w:rsidRPr="003958D6" w:rsidRDefault="005412B3" w:rsidP="003A4664">
            <w:pPr>
              <w:rPr>
                <w:rFonts w:ascii="Verdana" w:eastAsia="Times New Roman" w:hAnsi="Verdana" w:cs="Times New Roman"/>
                <w:color w:val="505050"/>
                <w:sz w:val="13"/>
                <w:szCs w:val="9"/>
                <w:lang w:eastAsia="en-CA"/>
              </w:rPr>
            </w:pPr>
            <w:r w:rsidRPr="003958D6">
              <w:rPr>
                <w:rFonts w:ascii="Verdana" w:eastAsia="Times New Roman" w:hAnsi="Verdana" w:cs="Times New Roman"/>
                <w:color w:val="505050"/>
                <w:sz w:val="13"/>
                <w:szCs w:val="9"/>
                <w:lang w:eastAsia="en-CA"/>
              </w:rPr>
              <w:t>Specific Eligibility of this Award: </w:t>
            </w:r>
            <w:r w:rsidRPr="003958D6">
              <w:rPr>
                <w:rFonts w:ascii="Verdana" w:eastAsia="Times New Roman" w:hAnsi="Verdana" w:cs="Times New Roman"/>
                <w:color w:val="505050"/>
                <w:sz w:val="13"/>
                <w:szCs w:val="9"/>
                <w:lang w:eastAsia="en-CA"/>
              </w:rPr>
              <w:br/>
              <w:t>To be awarded to domestic or international doctoral-stream graduate students (MSc/PhD) in the Faculty of Medicine doing children’s health research. </w:t>
            </w:r>
            <w:r w:rsidRPr="003958D6">
              <w:rPr>
                <w:rFonts w:ascii="Verdana" w:eastAsia="Times New Roman" w:hAnsi="Verdana" w:cs="Times New Roman"/>
                <w:color w:val="505050"/>
                <w:sz w:val="13"/>
                <w:szCs w:val="9"/>
                <w:lang w:eastAsia="en-CA"/>
              </w:rPr>
              <w:br/>
            </w:r>
            <w:r w:rsidRPr="003958D6">
              <w:rPr>
                <w:rFonts w:ascii="Verdana" w:eastAsia="Times New Roman" w:hAnsi="Verdana" w:cs="Times New Roman"/>
                <w:color w:val="505050"/>
                <w:sz w:val="13"/>
                <w:szCs w:val="9"/>
                <w:lang w:eastAsia="en-CA"/>
              </w:rPr>
              <w:br/>
              <w:t>Amount Available: An estimated total amount of $29,000 is available for scholarships.</w:t>
            </w:r>
          </w:p>
        </w:tc>
      </w:tr>
    </w:tbl>
    <w:p w14:paraId="07C513C4" w14:textId="77777777" w:rsidR="005412B3" w:rsidRPr="003958D6" w:rsidRDefault="005412B3" w:rsidP="005412B3">
      <w:pPr>
        <w:rPr>
          <w:rFonts w:ascii="Calibri" w:eastAsia="Times New Roman" w:hAnsi="Calibri" w:cs="Times New Roman"/>
          <w:color w:val="000000"/>
          <w:sz w:val="20"/>
          <w:szCs w:val="15"/>
          <w:lang w:eastAsia="en-CA"/>
        </w:rPr>
      </w:pPr>
    </w:p>
    <w:p w14:paraId="2E940D29" w14:textId="77777777" w:rsidR="003958D6" w:rsidRDefault="003958D6" w:rsidP="005412B3">
      <w:pPr>
        <w:rPr>
          <w:rFonts w:ascii="Calibri" w:eastAsia="Times New Roman" w:hAnsi="Calibri" w:cs="Times New Roman"/>
          <w:color w:val="000000"/>
          <w:sz w:val="20"/>
          <w:szCs w:val="15"/>
          <w:lang w:eastAsia="en-CA"/>
        </w:rPr>
      </w:pPr>
      <w:r>
        <w:rPr>
          <w:rFonts w:ascii="Calibri" w:eastAsia="Times New Roman" w:hAnsi="Calibri" w:cs="Times New Roman"/>
          <w:color w:val="000000"/>
          <w:sz w:val="20"/>
          <w:szCs w:val="15"/>
          <w:lang w:eastAsia="en-CA"/>
        </w:rPr>
        <w:t xml:space="preserve">Hilda and William Courtney Award: </w:t>
      </w:r>
    </w:p>
    <w:p w14:paraId="00C9B843" w14:textId="77777777" w:rsidR="003958D6" w:rsidRDefault="003958D6" w:rsidP="005412B3">
      <w:pPr>
        <w:rPr>
          <w:rFonts w:ascii="Calibri" w:eastAsia="Times New Roman" w:hAnsi="Calibri" w:cs="Times New Roman"/>
          <w:color w:val="000000"/>
          <w:sz w:val="20"/>
          <w:szCs w:val="15"/>
          <w:lang w:eastAsia="en-CA"/>
        </w:rPr>
      </w:pPr>
    </w:p>
    <w:p w14:paraId="55AE9810" w14:textId="77777777" w:rsidR="005412B3" w:rsidRPr="003958D6" w:rsidRDefault="003958D6" w:rsidP="005412B3">
      <w:pPr>
        <w:rPr>
          <w:rFonts w:ascii="Times New Roman" w:eastAsia="Times New Roman" w:hAnsi="Times New Roman" w:cs="Times New Roman"/>
          <w:sz w:val="36"/>
          <w:lang w:eastAsia="en-CA"/>
        </w:rPr>
      </w:pPr>
      <w:r>
        <w:rPr>
          <w:rFonts w:ascii="Calibri" w:eastAsia="Times New Roman" w:hAnsi="Calibri" w:cs="Times New Roman"/>
          <w:color w:val="000000"/>
          <w:sz w:val="20"/>
          <w:szCs w:val="15"/>
          <w:lang w:eastAsia="en-CA"/>
        </w:rPr>
        <w:t xml:space="preserve">I am a domestic graduate student. My research </w:t>
      </w:r>
      <w:r w:rsidR="005412B3" w:rsidRPr="003958D6">
        <w:rPr>
          <w:rFonts w:ascii="Calibri" w:eastAsia="Times New Roman" w:hAnsi="Calibri" w:cs="Times New Roman"/>
          <w:color w:val="000000"/>
          <w:sz w:val="20"/>
          <w:szCs w:val="15"/>
          <w:lang w:eastAsia="en-CA"/>
        </w:rPr>
        <w:t xml:space="preserve">project is taking place at the Hospital for Sick Children, the primary investigator is a </w:t>
      </w:r>
      <w:r w:rsidRPr="003958D6">
        <w:rPr>
          <w:rFonts w:ascii="Calibri" w:eastAsia="Times New Roman" w:hAnsi="Calibri" w:cs="Times New Roman"/>
          <w:color w:val="000000"/>
          <w:sz w:val="20"/>
          <w:szCs w:val="15"/>
          <w:lang w:eastAsia="en-CA"/>
        </w:rPr>
        <w:t>pediatric</w:t>
      </w:r>
      <w:r w:rsidR="005412B3" w:rsidRPr="003958D6">
        <w:rPr>
          <w:rFonts w:ascii="Calibri" w:eastAsia="Times New Roman" w:hAnsi="Calibri" w:cs="Times New Roman"/>
          <w:color w:val="000000"/>
          <w:sz w:val="20"/>
          <w:szCs w:val="15"/>
          <w:lang w:eastAsia="en-CA"/>
        </w:rPr>
        <w:t xml:space="preserve"> otolaryngologist and performs endoscopic ear surgery on </w:t>
      </w:r>
      <w:r w:rsidRPr="003958D6">
        <w:rPr>
          <w:rFonts w:ascii="Calibri" w:eastAsia="Times New Roman" w:hAnsi="Calibri" w:cs="Times New Roman"/>
          <w:color w:val="000000"/>
          <w:sz w:val="20"/>
          <w:szCs w:val="15"/>
          <w:lang w:eastAsia="en-CA"/>
        </w:rPr>
        <w:t>pediatric</w:t>
      </w:r>
      <w:r w:rsidR="005412B3" w:rsidRPr="003958D6">
        <w:rPr>
          <w:rFonts w:ascii="Calibri" w:eastAsia="Times New Roman" w:hAnsi="Calibri" w:cs="Times New Roman"/>
          <w:color w:val="000000"/>
          <w:sz w:val="20"/>
          <w:szCs w:val="15"/>
          <w:lang w:eastAsia="en-CA"/>
        </w:rPr>
        <w:t xml:space="preserve"> patients. </w:t>
      </w:r>
      <w:r>
        <w:rPr>
          <w:rFonts w:ascii="Calibri" w:eastAsia="Times New Roman" w:hAnsi="Calibri" w:cs="Times New Roman"/>
          <w:color w:val="000000"/>
          <w:sz w:val="20"/>
          <w:szCs w:val="15"/>
          <w:lang w:eastAsia="en-CA"/>
        </w:rPr>
        <w:t>Endoscopic ear surgery is a minimally invasive ear surgical technique that employs an endoscope that travels along the ear canal to visualize the operating field, which eliminates the need of an external skin incision. Thus, this surgery allows</w:t>
      </w:r>
      <w:r w:rsidR="005412B3" w:rsidRPr="003958D6">
        <w:rPr>
          <w:rFonts w:ascii="Calibri" w:eastAsia="Times New Roman" w:hAnsi="Calibri" w:cs="Times New Roman"/>
          <w:color w:val="000000"/>
          <w:sz w:val="20"/>
          <w:szCs w:val="15"/>
          <w:lang w:eastAsia="en-CA"/>
        </w:rPr>
        <w:t xml:space="preserve"> a more comfortable recovery for patients. Facilitating this type of surgery, by developing new tools to ease the procedure, would aim to increase the number of cases done </w:t>
      </w:r>
      <w:proofErr w:type="spellStart"/>
      <w:r w:rsidR="005412B3" w:rsidRPr="003958D6">
        <w:rPr>
          <w:rFonts w:ascii="Calibri" w:eastAsia="Times New Roman" w:hAnsi="Calibri" w:cs="Times New Roman"/>
          <w:color w:val="000000"/>
          <w:sz w:val="20"/>
          <w:szCs w:val="15"/>
          <w:lang w:eastAsia="en-CA"/>
        </w:rPr>
        <w:t>endoscopically</w:t>
      </w:r>
      <w:proofErr w:type="spellEnd"/>
      <w:r w:rsidR="005412B3" w:rsidRPr="003958D6">
        <w:rPr>
          <w:rFonts w:ascii="Calibri" w:eastAsia="Times New Roman" w:hAnsi="Calibri" w:cs="Times New Roman"/>
          <w:color w:val="000000"/>
          <w:sz w:val="20"/>
          <w:szCs w:val="15"/>
          <w:lang w:eastAsia="en-CA"/>
        </w:rPr>
        <w:t xml:space="preserve">.  </w:t>
      </w:r>
    </w:p>
    <w:p w14:paraId="260C80B9" w14:textId="77777777" w:rsidR="005412B3" w:rsidRPr="00E97502" w:rsidRDefault="005412B3" w:rsidP="005412B3">
      <w:pPr>
        <w:rPr>
          <w:rFonts w:ascii="Times New Roman" w:hAnsi="Times New Roman" w:cs="Times New Roman"/>
          <w:b/>
          <w:lang w:val="en-CA"/>
        </w:rPr>
      </w:pPr>
    </w:p>
    <w:sectPr w:rsidR="005412B3" w:rsidRPr="00E97502" w:rsidSect="006175CC">
      <w:headerReference w:type="default" r:id="rId8"/>
      <w:pgSz w:w="12240" w:h="15840"/>
      <w:pgMar w:top="1080" w:right="1080" w:bottom="1080" w:left="1080" w:header="709" w:footer="27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C6AD7" w14:textId="77777777" w:rsidR="00A51B60" w:rsidRDefault="00A51B60" w:rsidP="000A183C">
      <w:r>
        <w:separator/>
      </w:r>
    </w:p>
  </w:endnote>
  <w:endnote w:type="continuationSeparator" w:id="0">
    <w:p w14:paraId="0AF32BD5" w14:textId="77777777" w:rsidR="00A51B60" w:rsidRDefault="00A51B60" w:rsidP="000A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37A13" w14:textId="77777777" w:rsidR="00A51B60" w:rsidRDefault="00A51B60" w:rsidP="000A183C">
      <w:r>
        <w:separator/>
      </w:r>
    </w:p>
  </w:footnote>
  <w:footnote w:type="continuationSeparator" w:id="0">
    <w:p w14:paraId="2F9F9775" w14:textId="77777777" w:rsidR="00A51B60" w:rsidRDefault="00A51B60" w:rsidP="000A18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24599" w14:textId="77777777" w:rsidR="005A4F97" w:rsidRPr="005A4F97" w:rsidRDefault="005A4F97">
    <w:pPr>
      <w:pStyle w:val="Header"/>
      <w:jc w:val="right"/>
      <w:rPr>
        <w:rFonts w:ascii="Times New Roman" w:hAnsi="Times New Roman" w:cs="Times New Roman"/>
        <w:sz w:val="20"/>
      </w:rPr>
    </w:pPr>
    <w:proofErr w:type="spellStart"/>
    <w:r w:rsidRPr="005A4F97">
      <w:rPr>
        <w:rFonts w:ascii="Times New Roman" w:hAnsi="Times New Roman" w:cs="Times New Roman"/>
        <w:sz w:val="20"/>
      </w:rPr>
      <w:t>Arushri</w:t>
    </w:r>
    <w:proofErr w:type="spellEnd"/>
    <w:r w:rsidRPr="005A4F97">
      <w:rPr>
        <w:rFonts w:ascii="Times New Roman" w:hAnsi="Times New Roman" w:cs="Times New Roman"/>
        <w:sz w:val="20"/>
      </w:rPr>
      <w:t xml:space="preserve"> </w:t>
    </w:r>
    <w:proofErr w:type="spellStart"/>
    <w:r w:rsidRPr="005A4F97">
      <w:rPr>
        <w:rFonts w:ascii="Times New Roman" w:hAnsi="Times New Roman" w:cs="Times New Roman"/>
        <w:sz w:val="20"/>
      </w:rPr>
      <w:t>Swarup</w:t>
    </w:r>
    <w:proofErr w:type="spellEnd"/>
    <w:r w:rsidRPr="005A4F97">
      <w:rPr>
        <w:rFonts w:ascii="Times New Roman" w:hAnsi="Times New Roman" w:cs="Times New Roman"/>
        <w:sz w:val="20"/>
      </w:rPr>
      <w:tab/>
      <w:t>Outline of Proposed Research</w:t>
    </w:r>
    <w:r w:rsidRPr="005A4F97">
      <w:rPr>
        <w:rFonts w:ascii="Times New Roman" w:hAnsi="Times New Roman" w:cs="Times New Roman"/>
        <w:sz w:val="20"/>
      </w:rPr>
      <w:tab/>
      <w:t xml:space="preserve"> </w:t>
    </w:r>
    <w:sdt>
      <w:sdtPr>
        <w:rPr>
          <w:rFonts w:ascii="Times New Roman" w:hAnsi="Times New Roman" w:cs="Times New Roman"/>
          <w:sz w:val="20"/>
        </w:rPr>
        <w:id w:val="957410201"/>
        <w:docPartObj>
          <w:docPartGallery w:val="Page Numbers (Top of Page)"/>
          <w:docPartUnique/>
        </w:docPartObj>
      </w:sdtPr>
      <w:sdtEndPr/>
      <w:sdtContent>
        <w:r w:rsidR="00597AFD" w:rsidRPr="005A4F97">
          <w:rPr>
            <w:rFonts w:ascii="Times New Roman" w:hAnsi="Times New Roman" w:cs="Times New Roman"/>
            <w:sz w:val="20"/>
          </w:rPr>
          <w:fldChar w:fldCharType="begin"/>
        </w:r>
        <w:r w:rsidRPr="005A4F97">
          <w:rPr>
            <w:rFonts w:ascii="Times New Roman" w:hAnsi="Times New Roman" w:cs="Times New Roman"/>
            <w:sz w:val="20"/>
          </w:rPr>
          <w:instrText xml:space="preserve"> PAGE   \* MERGEFORMAT </w:instrText>
        </w:r>
        <w:r w:rsidR="00597AFD" w:rsidRPr="005A4F97">
          <w:rPr>
            <w:rFonts w:ascii="Times New Roman" w:hAnsi="Times New Roman" w:cs="Times New Roman"/>
            <w:sz w:val="20"/>
          </w:rPr>
          <w:fldChar w:fldCharType="separate"/>
        </w:r>
        <w:r w:rsidR="0007499C">
          <w:rPr>
            <w:rFonts w:ascii="Times New Roman" w:hAnsi="Times New Roman" w:cs="Times New Roman"/>
            <w:noProof/>
            <w:sz w:val="20"/>
          </w:rPr>
          <w:t>2</w:t>
        </w:r>
        <w:r w:rsidR="00597AFD" w:rsidRPr="005A4F97">
          <w:rPr>
            <w:rFonts w:ascii="Times New Roman" w:hAnsi="Times New Roman" w:cs="Times New Roman"/>
            <w:sz w:val="20"/>
          </w:rPr>
          <w:fldChar w:fldCharType="end"/>
        </w:r>
      </w:sdtContent>
    </w:sdt>
  </w:p>
  <w:p w14:paraId="6854D652" w14:textId="77777777" w:rsidR="00F91AB8" w:rsidRPr="00F91AB8" w:rsidRDefault="00F91AB8">
    <w:pPr>
      <w:pStyle w:val="Header"/>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3BB"/>
    <w:rsid w:val="00007A7E"/>
    <w:rsid w:val="000430EB"/>
    <w:rsid w:val="000475E7"/>
    <w:rsid w:val="000544EA"/>
    <w:rsid w:val="0007499C"/>
    <w:rsid w:val="00077191"/>
    <w:rsid w:val="000A183C"/>
    <w:rsid w:val="000B6C8C"/>
    <w:rsid w:val="00100D55"/>
    <w:rsid w:val="00140D00"/>
    <w:rsid w:val="001452CC"/>
    <w:rsid w:val="00167FDA"/>
    <w:rsid w:val="00192137"/>
    <w:rsid w:val="001A5090"/>
    <w:rsid w:val="001B0E9A"/>
    <w:rsid w:val="001E4F9C"/>
    <w:rsid w:val="00211CFE"/>
    <w:rsid w:val="0021241E"/>
    <w:rsid w:val="00227E65"/>
    <w:rsid w:val="002316F5"/>
    <w:rsid w:val="002471A4"/>
    <w:rsid w:val="00247668"/>
    <w:rsid w:val="00247B77"/>
    <w:rsid w:val="00250DED"/>
    <w:rsid w:val="00265DB4"/>
    <w:rsid w:val="00296C2F"/>
    <w:rsid w:val="002A3664"/>
    <w:rsid w:val="002A477C"/>
    <w:rsid w:val="002B4709"/>
    <w:rsid w:val="002D4E7A"/>
    <w:rsid w:val="002F2977"/>
    <w:rsid w:val="00313E41"/>
    <w:rsid w:val="0032710B"/>
    <w:rsid w:val="00332664"/>
    <w:rsid w:val="00341BE1"/>
    <w:rsid w:val="0034437F"/>
    <w:rsid w:val="00345568"/>
    <w:rsid w:val="0036344E"/>
    <w:rsid w:val="00364263"/>
    <w:rsid w:val="00380027"/>
    <w:rsid w:val="003950EA"/>
    <w:rsid w:val="003958D6"/>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412B3"/>
    <w:rsid w:val="00563FF6"/>
    <w:rsid w:val="005771BE"/>
    <w:rsid w:val="00594032"/>
    <w:rsid w:val="00597AFD"/>
    <w:rsid w:val="005A4F97"/>
    <w:rsid w:val="005E2C71"/>
    <w:rsid w:val="005F3958"/>
    <w:rsid w:val="00612A13"/>
    <w:rsid w:val="00613042"/>
    <w:rsid w:val="006175CC"/>
    <w:rsid w:val="00632AE9"/>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1852"/>
    <w:rsid w:val="00914694"/>
    <w:rsid w:val="00925ADD"/>
    <w:rsid w:val="00941CB9"/>
    <w:rsid w:val="00964966"/>
    <w:rsid w:val="00986E81"/>
    <w:rsid w:val="00987FE4"/>
    <w:rsid w:val="00992FC5"/>
    <w:rsid w:val="009949B8"/>
    <w:rsid w:val="009A6BA6"/>
    <w:rsid w:val="009C4204"/>
    <w:rsid w:val="009D125D"/>
    <w:rsid w:val="009F0744"/>
    <w:rsid w:val="00A07D69"/>
    <w:rsid w:val="00A24BFE"/>
    <w:rsid w:val="00A32CD5"/>
    <w:rsid w:val="00A35FCC"/>
    <w:rsid w:val="00A36EF1"/>
    <w:rsid w:val="00A51B60"/>
    <w:rsid w:val="00A53A1B"/>
    <w:rsid w:val="00A609FA"/>
    <w:rsid w:val="00A60B69"/>
    <w:rsid w:val="00A875E3"/>
    <w:rsid w:val="00A975AC"/>
    <w:rsid w:val="00AA7BB1"/>
    <w:rsid w:val="00AC7185"/>
    <w:rsid w:val="00AD6AF9"/>
    <w:rsid w:val="00B02FC7"/>
    <w:rsid w:val="00B07B9F"/>
    <w:rsid w:val="00B25E79"/>
    <w:rsid w:val="00B361BC"/>
    <w:rsid w:val="00BA029F"/>
    <w:rsid w:val="00BA47AF"/>
    <w:rsid w:val="00BC1B8E"/>
    <w:rsid w:val="00BD445D"/>
    <w:rsid w:val="00BD7B7A"/>
    <w:rsid w:val="00BE1294"/>
    <w:rsid w:val="00C0451E"/>
    <w:rsid w:val="00C05DB5"/>
    <w:rsid w:val="00C455DF"/>
    <w:rsid w:val="00C77F38"/>
    <w:rsid w:val="00C90368"/>
    <w:rsid w:val="00CA2FBF"/>
    <w:rsid w:val="00CA4A49"/>
    <w:rsid w:val="00CB435B"/>
    <w:rsid w:val="00CB7C48"/>
    <w:rsid w:val="00CE2B0F"/>
    <w:rsid w:val="00D0770C"/>
    <w:rsid w:val="00D37860"/>
    <w:rsid w:val="00D44B23"/>
    <w:rsid w:val="00D45441"/>
    <w:rsid w:val="00D46A1B"/>
    <w:rsid w:val="00D87CF2"/>
    <w:rsid w:val="00DA2C23"/>
    <w:rsid w:val="00DA67B4"/>
    <w:rsid w:val="00DA7AE2"/>
    <w:rsid w:val="00DD7EE3"/>
    <w:rsid w:val="00E06D51"/>
    <w:rsid w:val="00E174A1"/>
    <w:rsid w:val="00E72B8F"/>
    <w:rsid w:val="00E96B4A"/>
    <w:rsid w:val="00E97502"/>
    <w:rsid w:val="00EB7073"/>
    <w:rsid w:val="00EB7D0E"/>
    <w:rsid w:val="00EC20CA"/>
    <w:rsid w:val="00ED6C35"/>
    <w:rsid w:val="00EF7D72"/>
    <w:rsid w:val="00F05C09"/>
    <w:rsid w:val="00F1065C"/>
    <w:rsid w:val="00F11D86"/>
    <w:rsid w:val="00F266E4"/>
    <w:rsid w:val="00F334B1"/>
    <w:rsid w:val="00F42611"/>
    <w:rsid w:val="00F47A17"/>
    <w:rsid w:val="00F844AA"/>
    <w:rsid w:val="00F91AB8"/>
    <w:rsid w:val="00F92E3E"/>
    <w:rsid w:val="00F94C75"/>
    <w:rsid w:val="00F95DCB"/>
    <w:rsid w:val="00FA6C56"/>
    <w:rsid w:val="00FC0708"/>
    <w:rsid w:val="00FE138F"/>
    <w:rsid w:val="00FF3150"/>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4E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 w:type="character" w:styleId="Strong">
    <w:name w:val="Strong"/>
    <w:basedOn w:val="DefaultParagraphFont"/>
    <w:uiPriority w:val="22"/>
    <w:qFormat/>
    <w:rsid w:val="005412B3"/>
    <w:rPr>
      <w:b/>
      <w:bCs/>
    </w:rPr>
  </w:style>
  <w:style w:type="character" w:customStyle="1" w:styleId="apple-converted-space">
    <w:name w:val="apple-converted-space"/>
    <w:basedOn w:val="DefaultParagraphFont"/>
    <w:rsid w:val="0054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1BF4E-3781-C540-982C-9997EDEA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915</Words>
  <Characters>5220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cp:lastPrinted>2016-11-15T20:21:00Z</cp:lastPrinted>
  <dcterms:created xsi:type="dcterms:W3CDTF">2017-03-03T22:44:00Z</dcterms:created>
  <dcterms:modified xsi:type="dcterms:W3CDTF">2017-04-14T22:41:00Z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