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56C7" w:rsidRPr="00E556C7" w:rsidRDefault="00E556C7" w:rsidP="00BE09C8">
      <w:pPr>
        <w:jc w:val="both"/>
        <w:rPr>
          <w:sz w:val="32"/>
          <w:lang w:val="en-CA"/>
        </w:rPr>
      </w:pPr>
      <w:r w:rsidRPr="00E556C7">
        <w:rPr>
          <w:sz w:val="32"/>
          <w:lang w:val="en-CA"/>
        </w:rPr>
        <w:t>Needs Analysis and Time Flow Study to Assess Endoscopic Ear Surgery</w:t>
      </w:r>
    </w:p>
    <w:p w:rsidR="00E556C7" w:rsidRDefault="00E556C7" w:rsidP="00BE09C8">
      <w:pPr>
        <w:jc w:val="both"/>
        <w:rPr>
          <w:b/>
          <w:lang w:val="en-CA"/>
        </w:rPr>
      </w:pPr>
    </w:p>
    <w:p w:rsidR="00D328A1" w:rsidRPr="00765F73" w:rsidRDefault="000F280D" w:rsidP="00BE09C8">
      <w:pPr>
        <w:jc w:val="both"/>
        <w:rPr>
          <w:b/>
          <w:lang w:val="en-CA"/>
        </w:rPr>
      </w:pPr>
      <w:r w:rsidRPr="00FD3A3E">
        <w:rPr>
          <w:b/>
          <w:lang w:val="en-CA"/>
        </w:rPr>
        <w:t xml:space="preserve">Introduction: </w:t>
      </w:r>
    </w:p>
    <w:p w:rsidR="00C61AFB" w:rsidRPr="00BE09C8" w:rsidRDefault="0008705A" w:rsidP="00BE09C8">
      <w:pPr>
        <w:widowControl w:val="0"/>
        <w:autoSpaceDE w:val="0"/>
        <w:autoSpaceDN w:val="0"/>
        <w:adjustRightInd w:val="0"/>
        <w:spacing w:after="240"/>
        <w:jc w:val="both"/>
        <w:rPr>
          <w:rFonts w:cs="Times New Roman"/>
          <w:lang w:val="en-CA"/>
        </w:rPr>
      </w:pPr>
      <w:r w:rsidRPr="00FD3A3E">
        <w:rPr>
          <w:rFonts w:cs="Times New Roman"/>
          <w:lang w:val="en-CA"/>
        </w:rPr>
        <w:t xml:space="preserve">Middle ear surgery is traditionally performed through an external incision with visualisation of delicate anatomical structures using a microscope.  More recently, </w:t>
      </w:r>
      <w:r w:rsidR="008500B0" w:rsidRPr="00FD3A3E">
        <w:rPr>
          <w:rFonts w:cs="Times New Roman"/>
          <w:lang w:val="en-CA"/>
        </w:rPr>
        <w:t>minimally invasive</w:t>
      </w:r>
      <w:r w:rsidR="002C7C4F">
        <w:rPr>
          <w:rFonts w:cs="Times New Roman"/>
          <w:lang w:val="en-CA"/>
        </w:rPr>
        <w:t xml:space="preserve"> </w:t>
      </w:r>
      <w:r w:rsidR="008500B0" w:rsidRPr="00FD3A3E">
        <w:rPr>
          <w:rFonts w:cs="Times New Roman"/>
          <w:lang w:val="en-CA"/>
        </w:rPr>
        <w:t xml:space="preserve">ear </w:t>
      </w:r>
      <w:r w:rsidRPr="00FD3A3E">
        <w:rPr>
          <w:rFonts w:cs="Times New Roman"/>
          <w:lang w:val="en-CA"/>
        </w:rPr>
        <w:t xml:space="preserve">surgical techniques have been developed using endoscopes to access the middle ear through the ear canal without an external incision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[2]</w:t>
      </w:r>
      <w:r w:rsidR="00740A2D" w:rsidRPr="00FD3A3E">
        <w:rPr>
          <w:rFonts w:cs="Times New Roman"/>
          <w:lang w:val="en-CA"/>
        </w:rPr>
        <w:fldChar w:fldCharType="end"/>
      </w:r>
      <w:r w:rsidRPr="00FD3A3E">
        <w:rPr>
          <w:rFonts w:cs="Times New Roman"/>
          <w:lang w:val="en-CA"/>
        </w:rPr>
        <w:t xml:space="preserve">,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[3]</w:t>
      </w:r>
      <w:r w:rsidR="00740A2D" w:rsidRPr="00FD3A3E">
        <w:rPr>
          <w:rFonts w:cs="Times New Roman"/>
          <w:lang w:val="en-CA"/>
        </w:rPr>
        <w:fldChar w:fldCharType="end"/>
      </w:r>
      <w:r w:rsidRPr="00FD3A3E">
        <w:rPr>
          <w:rFonts w:cs="Times New Roman"/>
          <w:lang w:val="en-CA"/>
        </w:rPr>
        <w:t xml:space="preserve">. </w:t>
      </w:r>
      <w:r w:rsidR="00C61AFB" w:rsidRPr="00FD3A3E">
        <w:rPr>
          <w:rFonts w:cs="Times New Roman"/>
          <w:lang w:val="en-CA"/>
        </w:rPr>
        <w:t xml:space="preserve">As with open microscope-guided surgery, this </w:t>
      </w:r>
      <w:proofErr w:type="spellStart"/>
      <w:r w:rsidR="00C61AFB" w:rsidRPr="00FD3A3E">
        <w:rPr>
          <w:rFonts w:cs="Times New Roman"/>
          <w:lang w:val="en-CA"/>
        </w:rPr>
        <w:t>transcanal</w:t>
      </w:r>
      <w:proofErr w:type="spellEnd"/>
      <w:r w:rsidR="00C61AFB" w:rsidRPr="00FD3A3E">
        <w:rPr>
          <w:rFonts w:cs="Times New Roman"/>
          <w:lang w:val="en-CA"/>
        </w:rPr>
        <w:t xml:space="preserve"> endoscopic ear surgery (TEES) technique, allows the surgeon to perform procedures such as ear drum reconstruction, skin growth removal and hearing bone repair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"[2]", "plainTextFormattedCitation" : "[2]", "previouslyFormattedCitation" : "[2]"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[2]</w:t>
      </w:r>
      <w:r w:rsidR="00740A2D" w:rsidRPr="00FD3A3E">
        <w:rPr>
          <w:rFonts w:cs="Times New Roman"/>
          <w:lang w:val="en-CA"/>
        </w:rPr>
        <w:fldChar w:fldCharType="end"/>
      </w:r>
      <w:r w:rsidR="00C61AFB" w:rsidRPr="00FD3A3E">
        <w:rPr>
          <w:rFonts w:cs="Times New Roman"/>
          <w:lang w:val="en-CA"/>
        </w:rPr>
        <w:t>.</w:t>
      </w:r>
      <w:r w:rsidR="00BE09C8">
        <w:rPr>
          <w:rFonts w:cs="Times New Roman"/>
          <w:lang w:val="en-CA"/>
        </w:rPr>
        <w:t xml:space="preserve"> </w:t>
      </w:r>
      <w:r w:rsidR="008500B0" w:rsidRPr="00FD3A3E">
        <w:rPr>
          <w:rFonts w:cs="Times New Roman"/>
          <w:lang w:val="en-CA"/>
        </w:rPr>
        <w:t xml:space="preserve">The advantages of endoscopic ear surgery are as follows: </w:t>
      </w:r>
      <w:r w:rsidR="00C61AFB" w:rsidRPr="00FD3A3E">
        <w:rPr>
          <w:rFonts w:cs="Times New Roman"/>
          <w:lang w:val="en-CA"/>
        </w:rPr>
        <w:t xml:space="preserve">removing the need for an external incision and reducing post-operative morbidity (10), </w:t>
      </w:r>
      <w:r w:rsidR="008500B0" w:rsidRPr="00FD3A3E">
        <w:rPr>
          <w:rFonts w:cs="Times New Roman"/>
          <w:lang w:val="en-CA"/>
        </w:rPr>
        <w:t xml:space="preserve">improved </w:t>
      </w:r>
      <w:r w:rsidR="00C61AFB" w:rsidRPr="00FD3A3E">
        <w:rPr>
          <w:rFonts w:cs="Times New Roman"/>
          <w:lang w:val="en-CA"/>
        </w:rPr>
        <w:t xml:space="preserve">outcomes </w:t>
      </w:r>
      <w:r w:rsidRPr="00FD3A3E">
        <w:rPr>
          <w:rFonts w:cs="Arial"/>
        </w:rPr>
        <w:t>by enhancing minimally invasive access for disease eradication (2-4)</w:t>
      </w:r>
      <w:r w:rsidR="00C61AFB" w:rsidRPr="00FD3A3E">
        <w:rPr>
          <w:rFonts w:cs="Arial"/>
        </w:rPr>
        <w:t>,</w:t>
      </w:r>
      <w:r w:rsidRPr="00FD3A3E">
        <w:rPr>
          <w:rFonts w:cs="Arial"/>
        </w:rPr>
        <w:t xml:space="preserve"> </w:t>
      </w:r>
      <w:r w:rsidR="008500B0" w:rsidRPr="00FD3A3E">
        <w:rPr>
          <w:rFonts w:cs="Arial"/>
        </w:rPr>
        <w:t>more effective disease control</w:t>
      </w:r>
      <w:r w:rsidR="00392904" w:rsidRPr="00FD3A3E">
        <w:rPr>
          <w:rFonts w:cs="Arial"/>
        </w:rPr>
        <w:t xml:space="preserve"> </w:t>
      </w:r>
      <w:r w:rsidR="00C61AFB" w:rsidRPr="00FD3A3E">
        <w:rPr>
          <w:rFonts w:cs="Arial"/>
        </w:rPr>
        <w:t>as shown by the reduction of the rate</w:t>
      </w:r>
      <w:r w:rsidR="008500B0" w:rsidRPr="00FD3A3E">
        <w:rPr>
          <w:rFonts w:cs="Arial"/>
        </w:rPr>
        <w:t xml:space="preserve"> of </w:t>
      </w:r>
      <w:r w:rsidR="00C61AFB" w:rsidRPr="00FD3A3E">
        <w:rPr>
          <w:rFonts w:cs="Arial"/>
        </w:rPr>
        <w:t>reoccurring</w:t>
      </w:r>
      <w:r w:rsidR="008500B0" w:rsidRPr="00FD3A3E">
        <w:rPr>
          <w:rFonts w:cs="Arial"/>
        </w:rPr>
        <w:t xml:space="preserve"> skin growth</w:t>
      </w:r>
      <w:r w:rsidR="00392904" w:rsidRPr="00FD3A3E">
        <w:rPr>
          <w:rFonts w:cs="Arial"/>
        </w:rPr>
        <w:t xml:space="preserve"> (2, 3)</w:t>
      </w:r>
      <w:r w:rsidR="00C61AFB" w:rsidRPr="00FD3A3E">
        <w:rPr>
          <w:rFonts w:cs="Arial"/>
        </w:rPr>
        <w:t>,</w:t>
      </w:r>
      <w:r w:rsidR="00392904" w:rsidRPr="00FD3A3E">
        <w:rPr>
          <w:rFonts w:cs="Arial"/>
        </w:rPr>
        <w:t xml:space="preserve"> and better hearing </w:t>
      </w:r>
      <w:r w:rsidR="00C61AFB" w:rsidRPr="00FD3A3E">
        <w:rPr>
          <w:rFonts w:cs="Arial"/>
        </w:rPr>
        <w:t>due to hearing bone</w:t>
      </w:r>
      <w:r w:rsidR="00392904" w:rsidRPr="00FD3A3E">
        <w:rPr>
          <w:rFonts w:cs="Arial"/>
        </w:rPr>
        <w:t xml:space="preserve"> preservation (10, 11). </w:t>
      </w:r>
    </w:p>
    <w:p w:rsidR="00BE09C8" w:rsidRPr="00096F9A" w:rsidRDefault="00633A29" w:rsidP="00BE09C8">
      <w:pPr>
        <w:widowControl w:val="0"/>
        <w:autoSpaceDE w:val="0"/>
        <w:autoSpaceDN w:val="0"/>
        <w:adjustRightInd w:val="0"/>
        <w:spacing w:after="240"/>
        <w:jc w:val="both"/>
        <w:rPr>
          <w:rFonts w:cs="Arial"/>
        </w:rPr>
      </w:pPr>
      <w:r w:rsidRPr="00FD3A3E">
        <w:rPr>
          <w:rFonts w:cs="Arial"/>
        </w:rPr>
        <w:t xml:space="preserve">Despite the enthusiasm of some </w:t>
      </w:r>
      <w:r w:rsidR="002C7C4F">
        <w:rPr>
          <w:rFonts w:cs="Arial"/>
        </w:rPr>
        <w:t>ear surgeons (</w:t>
      </w:r>
      <w:proofErr w:type="spellStart"/>
      <w:r w:rsidRPr="00FD3A3E">
        <w:rPr>
          <w:rFonts w:cs="Arial"/>
        </w:rPr>
        <w:t>otologists</w:t>
      </w:r>
      <w:proofErr w:type="spellEnd"/>
      <w:r w:rsidR="002C7C4F">
        <w:rPr>
          <w:rFonts w:cs="Arial"/>
        </w:rPr>
        <w:t>)</w:t>
      </w:r>
      <w:r w:rsidRPr="00FD3A3E">
        <w:rPr>
          <w:rFonts w:cs="Arial"/>
        </w:rPr>
        <w:t xml:space="preserve">, endoscopic ear surgery has not as yet been accepted by all practicing </w:t>
      </w:r>
      <w:proofErr w:type="spellStart"/>
      <w:r w:rsidRPr="00FD3A3E">
        <w:rPr>
          <w:rFonts w:cs="Arial"/>
        </w:rPr>
        <w:t>otologists</w:t>
      </w:r>
      <w:proofErr w:type="spellEnd"/>
      <w:r w:rsidRPr="00FD3A3E">
        <w:rPr>
          <w:rFonts w:cs="Arial"/>
        </w:rPr>
        <w:t xml:space="preserve"> (5).</w:t>
      </w:r>
      <w:r w:rsidR="00F43E32" w:rsidRPr="00FD3A3E">
        <w:rPr>
          <w:rFonts w:cs="Arial"/>
        </w:rPr>
        <w:t xml:space="preserve"> </w:t>
      </w:r>
      <w:r w:rsidRPr="00FD3A3E">
        <w:rPr>
          <w:rFonts w:cs="Arial"/>
        </w:rPr>
        <w:t xml:space="preserve"> </w:t>
      </w:r>
      <w:r w:rsidR="0008705A" w:rsidRPr="00FD3A3E">
        <w:rPr>
          <w:rFonts w:cs="Times New Roman"/>
          <w:lang w:val="en-CA"/>
        </w:rPr>
        <w:t xml:space="preserve">The principle challenge with TEES is that a one-handed surgical technique is required as the endoscope is held in the other hand.  </w:t>
      </w:r>
      <w:proofErr w:type="spellStart"/>
      <w:r w:rsidR="0008705A" w:rsidRPr="00FD3A3E">
        <w:rPr>
          <w:rFonts w:cs="Times New Roman"/>
          <w:lang w:val="en-CA"/>
        </w:rPr>
        <w:t>Otologic</w:t>
      </w:r>
      <w:proofErr w:type="spellEnd"/>
      <w:r w:rsidR="0008705A" w:rsidRPr="00FD3A3E">
        <w:rPr>
          <w:rFonts w:cs="Times New Roman"/>
          <w:lang w:val="en-CA"/>
        </w:rPr>
        <w:t xml:space="preserve"> instruments were developed for two-handed microscope-guided surgery so they are not </w:t>
      </w:r>
      <w:r w:rsidR="00BE09C8">
        <w:rPr>
          <w:rFonts w:cs="Times New Roman"/>
          <w:lang w:val="en-CA"/>
        </w:rPr>
        <w:t>optimized for</w:t>
      </w:r>
      <w:r w:rsidR="002C7C4F">
        <w:rPr>
          <w:rFonts w:cs="Times New Roman"/>
          <w:lang w:val="en-CA"/>
        </w:rPr>
        <w:t xml:space="preserve"> the</w:t>
      </w:r>
      <w:r w:rsidR="0008705A" w:rsidRPr="00FD3A3E">
        <w:rPr>
          <w:rFonts w:cs="Times New Roman"/>
          <w:lang w:val="en-CA"/>
        </w:rPr>
        <w:t xml:space="preserve"> TEES </w:t>
      </w:r>
      <w:r w:rsidR="002C7C4F">
        <w:rPr>
          <w:rFonts w:cs="Times New Roman"/>
          <w:lang w:val="en-CA"/>
        </w:rPr>
        <w:t>environment</w:t>
      </w:r>
      <w:r w:rsidR="0008705A" w:rsidRPr="00FD3A3E">
        <w:rPr>
          <w:rFonts w:cs="Times New Roman"/>
          <w:lang w:val="en-CA"/>
        </w:rPr>
        <w:t xml:space="preserve"> </w:t>
      </w:r>
      <w:r w:rsidR="00740A2D" w:rsidRPr="00FD3A3E">
        <w:rPr>
          <w:rFonts w:cs="Times New Roman"/>
          <w:lang w:val="en-CA"/>
        </w:rPr>
        <w:fldChar w:fldCharType="begin" w:fldLock="1"/>
      </w:r>
      <w:r w:rsidR="0080004F">
        <w:rPr>
          <w:rFonts w:cs="Times New Roman"/>
          <w:lang w:val="en-CA"/>
        </w:rPr>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"[3]", "plainTextFormattedCitation" : "[3]", "previouslyFormattedCitation" : "[3]" }, "properties" : { "noteIndex" : 0 }, "schema" : "https://github.com/citation-style-language/schema/raw/master/csl-citation.json" }</w:instrText>
      </w:r>
      <w:r w:rsidR="00740A2D" w:rsidRPr="00FD3A3E">
        <w:rPr>
          <w:rFonts w:cs="Times New Roman"/>
          <w:lang w:val="en-CA"/>
        </w:rPr>
        <w:fldChar w:fldCharType="separate"/>
      </w:r>
      <w:r w:rsidR="0080004F" w:rsidRPr="0080004F">
        <w:rPr>
          <w:rFonts w:cs="Times New Roman"/>
          <w:noProof/>
          <w:lang w:val="en-CA"/>
        </w:rPr>
        <w:t>[3]</w:t>
      </w:r>
      <w:r w:rsidR="00740A2D" w:rsidRPr="00FD3A3E">
        <w:rPr>
          <w:rFonts w:cs="Times New Roman"/>
          <w:lang w:val="en-CA"/>
        </w:rPr>
        <w:fldChar w:fldCharType="end"/>
      </w:r>
      <w:r w:rsidR="0008705A" w:rsidRPr="00FD3A3E">
        <w:rPr>
          <w:rFonts w:cs="Times New Roman"/>
          <w:lang w:val="en-CA"/>
        </w:rPr>
        <w:t xml:space="preserve">. </w:t>
      </w:r>
      <w:r w:rsidR="00340D02">
        <w:rPr>
          <w:rFonts w:cs="Arial"/>
        </w:rPr>
        <w:t>As</w:t>
      </w:r>
      <w:r w:rsidRPr="00FD3A3E">
        <w:rPr>
          <w:rFonts w:cs="Arial"/>
        </w:rPr>
        <w:t xml:space="preserve"> </w:t>
      </w:r>
      <w:proofErr w:type="spellStart"/>
      <w:r w:rsidRPr="00FD3A3E">
        <w:rPr>
          <w:rFonts w:cs="Arial"/>
        </w:rPr>
        <w:t>otologists</w:t>
      </w:r>
      <w:proofErr w:type="spellEnd"/>
      <w:r w:rsidRPr="00FD3A3E">
        <w:rPr>
          <w:rFonts w:cs="Arial"/>
        </w:rPr>
        <w:t xml:space="preserve"> have been trained </w:t>
      </w:r>
      <w:r w:rsidR="00340D02">
        <w:rPr>
          <w:rFonts w:cs="Arial"/>
        </w:rPr>
        <w:t xml:space="preserve">and </w:t>
      </w:r>
      <w:r w:rsidRPr="00FD3A3E">
        <w:rPr>
          <w:rFonts w:cs="Arial"/>
        </w:rPr>
        <w:t xml:space="preserve">gained experience in </w:t>
      </w:r>
      <w:r w:rsidR="002C7C4F">
        <w:rPr>
          <w:rFonts w:cs="Arial"/>
        </w:rPr>
        <w:t>microscope-guided ear surgery, they have developed</w:t>
      </w:r>
      <w:r w:rsidRPr="00FD3A3E">
        <w:rPr>
          <w:rFonts w:cs="Arial"/>
        </w:rPr>
        <w:t xml:space="preserve"> techniques with </w:t>
      </w:r>
      <w:r w:rsidR="002C7C4F">
        <w:rPr>
          <w:rFonts w:cs="Arial"/>
        </w:rPr>
        <w:t>the according instruments and</w:t>
      </w:r>
      <w:r w:rsidRPr="00FD3A3E">
        <w:rPr>
          <w:rFonts w:cs="Arial"/>
        </w:rPr>
        <w:t xml:space="preserve"> have become accustomed to a two-handed surgical approach. </w:t>
      </w:r>
      <w:r w:rsidR="00F43E32" w:rsidRPr="00FD3A3E">
        <w:rPr>
          <w:rFonts w:cs="Arial"/>
        </w:rPr>
        <w:t xml:space="preserve">By learning different surgical techniques and gaining experience with the endoscope, most </w:t>
      </w:r>
      <w:proofErr w:type="gramStart"/>
      <w:r w:rsidR="00F43E32" w:rsidRPr="00FD3A3E">
        <w:rPr>
          <w:rFonts w:cs="Arial"/>
        </w:rPr>
        <w:t>surgeons</w:t>
      </w:r>
      <w:proofErr w:type="gramEnd"/>
      <w:r w:rsidR="00F43E32" w:rsidRPr="00FD3A3E">
        <w:rPr>
          <w:rFonts w:cs="Arial"/>
        </w:rPr>
        <w:t xml:space="preserve"> find that they can complete </w:t>
      </w:r>
      <w:r w:rsidR="00432116" w:rsidRPr="00FD3A3E">
        <w:rPr>
          <w:rFonts w:cs="Arial"/>
        </w:rPr>
        <w:t xml:space="preserve">more cases </w:t>
      </w:r>
      <w:proofErr w:type="spellStart"/>
      <w:r w:rsidR="00F43E32" w:rsidRPr="00FD3A3E">
        <w:rPr>
          <w:rFonts w:cs="Arial"/>
        </w:rPr>
        <w:t>endoscopically</w:t>
      </w:r>
      <w:proofErr w:type="spellEnd"/>
      <w:r w:rsidR="00F43E32" w:rsidRPr="00FD3A3E">
        <w:rPr>
          <w:rFonts w:cs="Arial"/>
        </w:rPr>
        <w:t xml:space="preserve"> (1, 7, 12). Nevertheless, the learning curve</w:t>
      </w:r>
      <w:r w:rsidR="00CA6971">
        <w:rPr>
          <w:rFonts w:cs="Arial"/>
        </w:rPr>
        <w:t xml:space="preserve"> can be slow and frustrating. In</w:t>
      </w:r>
      <w:r w:rsidR="00F43E32" w:rsidRPr="00FD3A3E">
        <w:rPr>
          <w:rFonts w:cs="Arial"/>
        </w:rPr>
        <w:t xml:space="preserve"> the experience of the primary investigator (PI), technological advances</w:t>
      </w:r>
      <w:r w:rsidR="00D328A1" w:rsidRPr="00FD3A3E">
        <w:rPr>
          <w:rFonts w:cs="Arial"/>
        </w:rPr>
        <w:t xml:space="preserve"> in </w:t>
      </w:r>
      <w:r w:rsidR="00CA6971">
        <w:rPr>
          <w:rFonts w:cs="Arial"/>
        </w:rPr>
        <w:t xml:space="preserve">the design of the </w:t>
      </w:r>
      <w:r w:rsidR="00D328A1" w:rsidRPr="00FD3A3E">
        <w:rPr>
          <w:rFonts w:cs="Arial"/>
        </w:rPr>
        <w:t>endoscope, camera and suction dissection instruments</w:t>
      </w:r>
      <w:r w:rsidR="00F43E32" w:rsidRPr="00FD3A3E">
        <w:rPr>
          <w:rFonts w:cs="Arial"/>
        </w:rPr>
        <w:t xml:space="preserve"> have lead to incremental stepwis</w:t>
      </w:r>
      <w:r w:rsidR="007A7B39" w:rsidRPr="00FD3A3E">
        <w:rPr>
          <w:rFonts w:cs="Arial"/>
        </w:rPr>
        <w:t>e jumps in this learning curve</w:t>
      </w:r>
      <w:r w:rsidR="00D328A1" w:rsidRPr="00FD3A3E">
        <w:rPr>
          <w:rFonts w:cs="Arial"/>
        </w:rPr>
        <w:t xml:space="preserve"> </w:t>
      </w:r>
      <w:r w:rsidR="00F43E32" w:rsidRPr="00FD3A3E">
        <w:rPr>
          <w:rFonts w:cs="Arial"/>
        </w:rPr>
        <w:t xml:space="preserve">(13). </w:t>
      </w:r>
      <w:r w:rsidR="007A7B39" w:rsidRPr="00FD3A3E">
        <w:rPr>
          <w:rFonts w:cs="Arial"/>
        </w:rPr>
        <w:t>Therefore, the potential for improving</w:t>
      </w:r>
      <w:r w:rsidR="00BE09C8">
        <w:rPr>
          <w:rFonts w:cs="Arial"/>
        </w:rPr>
        <w:t xml:space="preserve"> the</w:t>
      </w:r>
      <w:r w:rsidR="007A7B39" w:rsidRPr="00FD3A3E">
        <w:rPr>
          <w:rFonts w:cs="Arial"/>
        </w:rPr>
        <w:t xml:space="preserve"> TEES experience lies in instrumentation and training of surgeons.</w:t>
      </w:r>
    </w:p>
    <w:p w:rsidR="00B46C52" w:rsidRDefault="00B46C52" w:rsidP="00BE09C8">
      <w:pPr>
        <w:widowControl w:val="0"/>
        <w:autoSpaceDE w:val="0"/>
        <w:autoSpaceDN w:val="0"/>
        <w:adjustRightInd w:val="0"/>
        <w:spacing w:after="240"/>
        <w:jc w:val="both"/>
        <w:rPr>
          <w:rFonts w:cs="Arial"/>
          <w:b/>
        </w:rPr>
      </w:pPr>
      <w:r>
        <w:rPr>
          <w:rFonts w:cs="Arial"/>
          <w:b/>
        </w:rPr>
        <w:t xml:space="preserve">Purpose: </w:t>
      </w:r>
    </w:p>
    <w:p w:rsidR="007A7B39" w:rsidRPr="00712A28" w:rsidRDefault="00B46C52" w:rsidP="00BE09C8">
      <w:pPr>
        <w:widowControl w:val="0"/>
        <w:autoSpaceDE w:val="0"/>
        <w:autoSpaceDN w:val="0"/>
        <w:adjustRightInd w:val="0"/>
        <w:spacing w:after="240"/>
        <w:jc w:val="both"/>
        <w:rPr>
          <w:rFonts w:cs="Arial"/>
        </w:rPr>
      </w:pPr>
      <w:r>
        <w:rPr>
          <w:rFonts w:cs="Arial"/>
        </w:rPr>
        <w:t>This study aims to understand why</w:t>
      </w:r>
      <w:r w:rsidR="00CA6971">
        <w:rPr>
          <w:rFonts w:cs="Arial"/>
        </w:rPr>
        <w:t xml:space="preserve"> TEES</w:t>
      </w:r>
      <w:r>
        <w:rPr>
          <w:rFonts w:cs="Arial"/>
        </w:rPr>
        <w:t xml:space="preserve"> is</w:t>
      </w:r>
      <w:r w:rsidR="00CA6971">
        <w:rPr>
          <w:rFonts w:cs="Arial"/>
        </w:rPr>
        <w:t xml:space="preserve"> not </w:t>
      </w:r>
      <w:r w:rsidR="000E46CA">
        <w:rPr>
          <w:rFonts w:cs="Arial"/>
        </w:rPr>
        <w:t xml:space="preserve">widely </w:t>
      </w:r>
      <w:r w:rsidR="00CA6971">
        <w:rPr>
          <w:rFonts w:cs="Arial"/>
        </w:rPr>
        <w:t>adopted by</w:t>
      </w:r>
      <w:r w:rsidR="000E46CA">
        <w:rPr>
          <w:rFonts w:cs="Arial"/>
        </w:rPr>
        <w:t xml:space="preserve"> </w:t>
      </w:r>
      <w:proofErr w:type="spellStart"/>
      <w:r w:rsidR="00CA6971">
        <w:rPr>
          <w:rFonts w:cs="Arial"/>
        </w:rPr>
        <w:t>otologists</w:t>
      </w:r>
      <w:proofErr w:type="spellEnd"/>
      <w:r w:rsidR="000E46CA">
        <w:rPr>
          <w:rFonts w:cs="Arial"/>
        </w:rPr>
        <w:t xml:space="preserve"> and what technological advances would encourage </w:t>
      </w:r>
      <w:r w:rsidR="00CA6971">
        <w:rPr>
          <w:rFonts w:cs="Arial"/>
        </w:rPr>
        <w:t>more frequent and broader</w:t>
      </w:r>
      <w:r w:rsidR="000E46CA">
        <w:rPr>
          <w:rFonts w:cs="Arial"/>
        </w:rPr>
        <w:t xml:space="preserve"> use of TEES. We hypothesize that a needs analysis study will provide an answer to this question and help develop criteria against which new endoscopic ear surgery tools can be developed. </w:t>
      </w:r>
      <w:r w:rsidR="00712A28">
        <w:rPr>
          <w:rFonts w:cs="Arial"/>
        </w:rPr>
        <w:t>A needs assessment survey will be conducted,</w:t>
      </w:r>
      <w:r w:rsidR="00712A28" w:rsidRPr="00712A28">
        <w:rPr>
          <w:rFonts w:cs="Arial"/>
        </w:rPr>
        <w:t xml:space="preserve"> using the two-round Delphi method, that examines the current limitations of TEES and how to encourage its adoption. A questionnaire will be formulated from a literature review and interviews with local otolaryngologists and sent to otolaryngologists globally. The results </w:t>
      </w:r>
      <w:r w:rsidR="00712A28">
        <w:rPr>
          <w:rFonts w:cs="Arial"/>
        </w:rPr>
        <w:t>aim to be</w:t>
      </w:r>
      <w:r w:rsidR="00712A28" w:rsidRPr="00712A28">
        <w:rPr>
          <w:rFonts w:cs="Arial"/>
        </w:rPr>
        <w:t xml:space="preserve"> published to establish the requirements for training and instrument development to facilitate TEES. A time flow analysis, recording the duration of surgical steps, will also be conducted to quantify the limitations of the current instruments used in TEES, by assessing their efficiency.</w:t>
      </w:r>
      <w:r w:rsidR="007A7B39" w:rsidRPr="00712A28">
        <w:rPr>
          <w:rFonts w:cs="Arial"/>
        </w:rPr>
        <w:t xml:space="preserve"> </w:t>
      </w:r>
    </w:p>
    <w:p w:rsidR="006A6E6F" w:rsidRDefault="00712A28" w:rsidP="00BE09C8">
      <w:pPr>
        <w:widowControl w:val="0"/>
        <w:autoSpaceDE w:val="0"/>
        <w:autoSpaceDN w:val="0"/>
        <w:adjustRightInd w:val="0"/>
        <w:spacing w:after="240"/>
        <w:jc w:val="both"/>
        <w:rPr>
          <w:rFonts w:cs="Times New Roman"/>
          <w:b/>
          <w:lang w:val="en-CA"/>
        </w:rPr>
      </w:pPr>
      <w:r>
        <w:rPr>
          <w:rFonts w:cs="Times New Roman"/>
          <w:b/>
          <w:lang w:val="en-CA"/>
        </w:rPr>
        <w:t xml:space="preserve">Methods: </w:t>
      </w:r>
    </w:p>
    <w:p w:rsidR="00191A8F" w:rsidRPr="00191A8F" w:rsidRDefault="00191A8F" w:rsidP="00BE09C8">
      <w:pPr>
        <w:widowControl w:val="0"/>
        <w:autoSpaceDE w:val="0"/>
        <w:autoSpaceDN w:val="0"/>
        <w:adjustRightInd w:val="0"/>
        <w:spacing w:after="240"/>
        <w:jc w:val="both"/>
        <w:rPr>
          <w:rFonts w:cs="Times New Roman"/>
          <w:i/>
          <w:lang w:val="en-CA"/>
        </w:rPr>
      </w:pPr>
      <w:r>
        <w:rPr>
          <w:rFonts w:cs="Times New Roman"/>
          <w:i/>
          <w:lang w:val="en-CA"/>
        </w:rPr>
        <w:lastRenderedPageBreak/>
        <w:t xml:space="preserve">Time Flow </w:t>
      </w:r>
      <w:r w:rsidR="004A0528">
        <w:rPr>
          <w:rFonts w:cs="Times New Roman"/>
          <w:i/>
          <w:lang w:val="en-CA"/>
        </w:rPr>
        <w:t>Study</w:t>
      </w:r>
      <w:r>
        <w:rPr>
          <w:rFonts w:cs="Times New Roman"/>
          <w:i/>
          <w:lang w:val="en-CA"/>
        </w:rPr>
        <w:t>:</w:t>
      </w:r>
    </w:p>
    <w:p w:rsidR="00712A28" w:rsidRDefault="009F18E8" w:rsidP="00BE09C8">
      <w:pPr>
        <w:widowControl w:val="0"/>
        <w:autoSpaceDE w:val="0"/>
        <w:autoSpaceDN w:val="0"/>
        <w:adjustRightInd w:val="0"/>
        <w:spacing w:after="240"/>
        <w:jc w:val="both"/>
        <w:rPr>
          <w:rFonts w:cs="Times New Roman"/>
          <w:lang w:val="en-CA"/>
        </w:rPr>
      </w:pPr>
      <w:r>
        <w:rPr>
          <w:rFonts w:cs="Times New Roman"/>
          <w:lang w:val="en-CA"/>
        </w:rPr>
        <w:t>Time flow studies aim to analyze the efficiency of procedures, and have been used for many purposes in surgery</w:t>
      </w:r>
      <w:r w:rsidR="00E86ADF">
        <w:rPr>
          <w:rFonts w:cs="Times New Roman"/>
          <w:lang w:val="en-CA"/>
        </w:rPr>
        <w:t>, including MRI-guided angioplasty workflow and operating room setup dedicated for minimally invasive laparoscopic surgery</w:t>
      </w:r>
      <w:r w:rsidR="0080004F">
        <w:rPr>
          <w:rFonts w:cs="Times New Roman"/>
          <w:lang w:val="en-CA"/>
        </w:rPr>
        <w:t xml:space="preserve"> </w:t>
      </w:r>
      <w:r w:rsidR="00740A2D">
        <w:rPr>
          <w:rFonts w:cs="Times New Roman"/>
          <w:lang w:val="en-CA"/>
        </w:rPr>
        <w:fldChar w:fldCharType="begin" w:fldLock="1"/>
      </w:r>
      <w:r w:rsidR="0080004F">
        <w:rPr>
          <w:rFonts w:cs="Times New Roman"/>
          <w:lang w:val="en-CA"/>
        </w:rPr>
        <w:instrText>ADDIN CSL_CITATION { "citationItems" : [ { "id" : "ITEM-1", "itemData" : { "DOI" : "10.1007/s11548-014-1102-0.Preclinical", "ISBN" : "1154801411", "author" : [ { "dropping-particle" : "", "family" : "Rube", "given" : "Martin A", "non-dropping-particle" : "", "parse-names" : false, "suffix" : "" }, { "dropping-particle" : "", "family" : "Fernandez-gutierrez", "given" : "Fabiola", "non-dropping-particle" : "", "parse-names" : false, "suffix" : "" }, { "dropping-particle" : "", "family" : "Cox", "given" : "Benjamin F", "non-dropping-particle" : "", "parse-names" : false, "suffix" : "" }, { "dropping-particle" : "", "family" : "Holbrook", "given" : "B", "non-dropping-particle" : "", "parse-names" : false, "suffix" : "" }, { "dropping-particle" : "", "family" : "Houston", "given" : "J Graeme", "non-dropping-particle" : "", "parse-names" : false, "suffix" : "" }, { "dropping-particle" : "", "family" : "White", "given" : "Richard D", "non-dropping-particle" : "", "parse-names" : false, "suffix" : "" }, { "dropping-particle" : "", "family" : "Mcleod", "given" : "Helen", "non-dropping-particle" : "", "parse-names" : false, "suffix" : "" }, { "dropping-particle" : "", "family" : "Fatahi", "given" : "Mahsa", "non-dropping-particle" : "", "parse-names" : false, "suffix" : "" }, { "dropping-particle" : "", "family" : "Melzer", "given" : "Andreas", "non-dropping-particle" : "", "parse-names" : false, "suffix" : "" } ], "id" : "ITEM-1", "issue" : "5", "issued" : { "date-parts" : [ [ "2015" ] ] }, "page" : "637-650", "title" : "HHS Public Access", "type" : "article-journal", "volume" : "10" }, "uris" : [ "http://www.mendeley.com/documents/?uuid=f19abb9e-c8e6-418a-9982-408e71f48b8e" ] } ], "mendeley" : { "formattedCitation" : "[4]", "plainTextFormattedCitation" : "[4]", "previouslyFormattedCitation" : "[4]" }, "properties" : { "noteIndex" : 0 }, "schema" : "https://github.com/citation-style-language/schema/raw/master/csl-citation.json" }</w:instrText>
      </w:r>
      <w:r w:rsidR="00740A2D">
        <w:rPr>
          <w:rFonts w:cs="Times New Roman"/>
          <w:lang w:val="en-CA"/>
        </w:rPr>
        <w:fldChar w:fldCharType="separate"/>
      </w:r>
      <w:r w:rsidR="0080004F" w:rsidRPr="0080004F">
        <w:rPr>
          <w:rFonts w:cs="Times New Roman"/>
          <w:noProof/>
          <w:lang w:val="en-CA"/>
        </w:rPr>
        <w:t>[4]</w:t>
      </w:r>
      <w:r w:rsidR="00740A2D">
        <w:rPr>
          <w:rFonts w:cs="Times New Roman"/>
          <w:lang w:val="en-CA"/>
        </w:rPr>
        <w:fldChar w:fldCharType="end"/>
      </w:r>
      <w:r w:rsidR="00E86ADF">
        <w:rPr>
          <w:rFonts w:cs="Times New Roman"/>
          <w:lang w:val="en-CA"/>
        </w:rPr>
        <w:t>-</w:t>
      </w:r>
      <w:r w:rsidR="00740A2D">
        <w:rPr>
          <w:rFonts w:cs="Times New Roman"/>
          <w:lang w:val="en-CA"/>
        </w:rPr>
        <w:fldChar w:fldCharType="begin" w:fldLock="1"/>
      </w:r>
      <w:r w:rsidR="00013531">
        <w:rPr>
          <w:rFonts w:cs="Times New Roman"/>
          <w:lang w:val="en-CA"/>
        </w:rPr>
        <w:instrText>ADDIN CSL_CITATION { "citationItems" : [ { "id" : "ITEM-1", "itemData" : { "author" : [ { "dropping-particle" : "", "family" : "Hsiao", "given" : "Kenneth C", "non-dropping-particle" : "", "parse-names" : false, "suffix" : "" }, { "dropping-particle" : "", "family" : "Machaidze", "given" : "Zurab", "non-dropping-particle" : "", "parse-names" : false, "suffix" : "" }, { "dropping-particle" : "", "family" : "Pattaras", "given" : "John G", "non-dropping-particle" : "", "parse-names" : false, "suffix" : "" } ], "id" : "ITEM-1", "issued" : { "date-parts" : [ [ "2004" ] ] }, "page" : "300-303", "title" : "Time Management in the Operating Room : An Analysis of the Dedicated Minimally Invasive Surgery Suite", "type" : "article-journal" }, "uris" : [ "http://www.mendeley.com/documents/?uuid=c2ac687b-b54c-47a1-b4fa-cf26e4495dee" ] } ], "mendeley" : { "formattedCitation" : "[5]", "plainTextFormattedCitation" : "[5]", "previouslyFormattedCitation" : "[5]" }, "properties" : { "noteIndex" : 0 }, "schema" : "https://github.com/citation-style-language/schema/raw/master/csl-citation.json" }</w:instrText>
      </w:r>
      <w:r w:rsidR="00740A2D">
        <w:rPr>
          <w:rFonts w:cs="Times New Roman"/>
          <w:lang w:val="en-CA"/>
        </w:rPr>
        <w:fldChar w:fldCharType="separate"/>
      </w:r>
      <w:r w:rsidR="0080004F" w:rsidRPr="0080004F">
        <w:rPr>
          <w:rFonts w:cs="Times New Roman"/>
          <w:noProof/>
          <w:lang w:val="en-CA"/>
        </w:rPr>
        <w:t>[5]</w:t>
      </w:r>
      <w:r w:rsidR="00740A2D">
        <w:rPr>
          <w:rFonts w:cs="Times New Roman"/>
          <w:lang w:val="en-CA"/>
        </w:rPr>
        <w:fldChar w:fldCharType="end"/>
      </w:r>
      <w:r w:rsidR="0080004F">
        <w:rPr>
          <w:rFonts w:cs="Times New Roman"/>
          <w:lang w:val="en-CA"/>
        </w:rPr>
        <w:t>. This study will also assess the feasibility and efficiency of endoscopic ear</w:t>
      </w:r>
      <w:r w:rsidR="00712A28">
        <w:rPr>
          <w:rFonts w:cs="Times New Roman"/>
          <w:lang w:val="en-CA"/>
        </w:rPr>
        <w:t xml:space="preserve"> surgery using the same method.</w:t>
      </w:r>
      <w:r w:rsidR="004A0528" w:rsidRPr="004A0528">
        <w:rPr>
          <w:rFonts w:cs="Arial"/>
        </w:rPr>
        <w:t xml:space="preserve"> </w:t>
      </w:r>
      <w:r w:rsidR="004A0528" w:rsidRPr="00FD3A3E">
        <w:rPr>
          <w:rFonts w:cs="Arial"/>
        </w:rPr>
        <w:t xml:space="preserve">The time flow analysis will be recorded by the </w:t>
      </w:r>
      <w:proofErr w:type="spellStart"/>
      <w:r w:rsidR="004A0528" w:rsidRPr="00FD3A3E">
        <w:rPr>
          <w:rFonts w:cs="Arial"/>
        </w:rPr>
        <w:t>MASc.</w:t>
      </w:r>
      <w:proofErr w:type="spellEnd"/>
      <w:r w:rsidR="004A0528" w:rsidRPr="00FD3A3E">
        <w:rPr>
          <w:rFonts w:cs="Arial"/>
        </w:rPr>
        <w:t xml:space="preserve"> student d</w:t>
      </w:r>
      <w:r w:rsidR="004A0528">
        <w:rPr>
          <w:rFonts w:cs="Arial"/>
        </w:rPr>
        <w:t>uring ear surgery.  The steps</w:t>
      </w:r>
      <w:r w:rsidR="004A0528" w:rsidRPr="00FD3A3E">
        <w:rPr>
          <w:rFonts w:cs="Arial"/>
        </w:rPr>
        <w:t xml:space="preserve"> will be divided into preparation, </w:t>
      </w:r>
      <w:proofErr w:type="spellStart"/>
      <w:r w:rsidR="004A0528" w:rsidRPr="00FD3A3E">
        <w:rPr>
          <w:rFonts w:cs="Arial"/>
        </w:rPr>
        <w:t>tympanomeatal</w:t>
      </w:r>
      <w:proofErr w:type="spellEnd"/>
      <w:r w:rsidR="004A0528" w:rsidRPr="00FD3A3E">
        <w:rPr>
          <w:rFonts w:cs="Arial"/>
        </w:rPr>
        <w:t xml:space="preserve"> flap elevation, access to </w:t>
      </w:r>
      <w:proofErr w:type="spellStart"/>
      <w:r w:rsidR="004A0528" w:rsidRPr="00FD3A3E">
        <w:rPr>
          <w:rFonts w:cs="Arial"/>
        </w:rPr>
        <w:t>tympanomastoid</w:t>
      </w:r>
      <w:proofErr w:type="spellEnd"/>
      <w:r w:rsidR="004A0528" w:rsidRPr="00FD3A3E">
        <w:rPr>
          <w:rFonts w:cs="Arial"/>
        </w:rPr>
        <w:t xml:space="preserve"> sub-sites for </w:t>
      </w:r>
      <w:proofErr w:type="spellStart"/>
      <w:r w:rsidR="004A0528" w:rsidRPr="00FD3A3E">
        <w:rPr>
          <w:rFonts w:cs="Arial"/>
        </w:rPr>
        <w:t>cholesteatoma</w:t>
      </w:r>
      <w:proofErr w:type="spellEnd"/>
      <w:r w:rsidR="004A0528" w:rsidRPr="00FD3A3E">
        <w:rPr>
          <w:rFonts w:cs="Arial"/>
        </w:rPr>
        <w:t xml:space="preserve"> removal, graft positioning, and </w:t>
      </w:r>
      <w:proofErr w:type="spellStart"/>
      <w:r w:rsidR="004A0528" w:rsidRPr="00FD3A3E">
        <w:rPr>
          <w:rFonts w:cs="Arial"/>
        </w:rPr>
        <w:t>ossiculoplasty</w:t>
      </w:r>
      <w:proofErr w:type="spellEnd"/>
      <w:r w:rsidR="004A0528" w:rsidRPr="00FD3A3E">
        <w:rPr>
          <w:rFonts w:cs="Arial"/>
        </w:rPr>
        <w:t>. The type of instruments used during these different maneuvers and the number of changes between different instruments will also be noted. These observation</w:t>
      </w:r>
      <w:r w:rsidR="004A0528">
        <w:rPr>
          <w:rFonts w:cs="Arial"/>
        </w:rPr>
        <w:t>s</w:t>
      </w:r>
      <w:r w:rsidR="004A0528" w:rsidRPr="00FD3A3E">
        <w:rPr>
          <w:rFonts w:cs="Arial"/>
        </w:rPr>
        <w:t xml:space="preserve"> will lead to an appreciation of the ergonomic requirements of instruments </w:t>
      </w:r>
      <w:r w:rsidR="004A0528">
        <w:rPr>
          <w:rFonts w:cs="Arial"/>
        </w:rPr>
        <w:t>and</w:t>
      </w:r>
      <w:r w:rsidR="004A0528" w:rsidRPr="00FD3A3E">
        <w:rPr>
          <w:rFonts w:cs="Arial"/>
        </w:rPr>
        <w:t xml:space="preserve"> the design advantages of different instruments for specific maneuvers.</w:t>
      </w:r>
      <w:r w:rsidR="004A0528">
        <w:rPr>
          <w:rFonts w:cs="Arial"/>
        </w:rPr>
        <w:t xml:space="preserve"> </w:t>
      </w:r>
      <w:r w:rsidR="00E86ADF">
        <w:rPr>
          <w:rFonts w:cs="Times New Roman"/>
          <w:lang w:val="en-CA"/>
        </w:rPr>
        <w:t xml:space="preserve">The time taken for five </w:t>
      </w:r>
      <w:r w:rsidR="004A0528">
        <w:rPr>
          <w:rFonts w:cs="Times New Roman"/>
          <w:lang w:val="en-CA"/>
        </w:rPr>
        <w:t>surgeons to perform ten surgeries each will be recorded. Each step for each surgeon will have a mean and standard error time, and statistical difference between surgeons for each step will be calculated. This will aim to determine the inefficiencies and address the steps where further instrument design would be beneficial. This would also provide a good benchmark against which to measure efficiency and feasibility of future tools that would be developed.</w:t>
      </w:r>
    </w:p>
    <w:p w:rsidR="006A6E6F" w:rsidRPr="00191A8F" w:rsidRDefault="00191A8F" w:rsidP="00BE09C8">
      <w:pPr>
        <w:widowControl w:val="0"/>
        <w:autoSpaceDE w:val="0"/>
        <w:autoSpaceDN w:val="0"/>
        <w:adjustRightInd w:val="0"/>
        <w:spacing w:after="240"/>
        <w:jc w:val="both"/>
        <w:rPr>
          <w:rFonts w:cs="Times New Roman"/>
          <w:b/>
          <w:i/>
          <w:lang w:val="en-CA"/>
        </w:rPr>
      </w:pPr>
      <w:r w:rsidRPr="00191A8F">
        <w:rPr>
          <w:rFonts w:cs="Times New Roman"/>
          <w:i/>
          <w:lang w:val="en-CA"/>
        </w:rPr>
        <w:t xml:space="preserve">Survey: </w:t>
      </w:r>
    </w:p>
    <w:p w:rsidR="00E86ADF" w:rsidRDefault="00191A8F" w:rsidP="00BE09C8">
      <w:pPr>
        <w:widowControl w:val="0"/>
        <w:autoSpaceDE w:val="0"/>
        <w:autoSpaceDN w:val="0"/>
        <w:adjustRightInd w:val="0"/>
        <w:spacing w:after="240"/>
        <w:jc w:val="both"/>
        <w:rPr>
          <w:rFonts w:cs="Times New Roman"/>
          <w:lang w:val="en-CA"/>
        </w:rPr>
      </w:pPr>
      <w:r>
        <w:rPr>
          <w:rFonts w:cs="Times New Roman"/>
          <w:lang w:val="en-CA"/>
        </w:rPr>
        <w:t>Surveys, consisting of questionnaires, are used to gain information regarding a specific topic by consulting a wide variety of experts in the field.</w:t>
      </w:r>
      <w:r w:rsidR="00E86ADF">
        <w:rPr>
          <w:rFonts w:cs="Times New Roman"/>
          <w:lang w:val="en-CA"/>
        </w:rPr>
        <w:t xml:space="preserve"> It has been used to assess the challenges of endoscopic neurosurgery in Britain and the current status of endoscopic ear surgery in Canada </w:t>
      </w:r>
      <w:r w:rsidR="00740A2D">
        <w:rPr>
          <w:rFonts w:cs="Times New Roman"/>
          <w:lang w:val="en-CA"/>
        </w:rPr>
        <w:fldChar w:fldCharType="begin" w:fldLock="1"/>
      </w:r>
      <w:r w:rsidR="008570B3">
        <w:rPr>
          <w:rFonts w:cs="Times New Roman"/>
          <w:lang w:val="en-CA"/>
        </w:rPr>
        <w:instrText>ADDIN CSL_CITATION { "citationItems" : [ { "id" : "ITEM-1", "itemData" : { "DOI" : "10.3109/02688697.2014.887654.Endoscopic", "author" : [ { "dropping-particle" : "", "family" : "Marcus", "given" : "Hani J", "non-dropping-particle" : "", "parse-names" : false, "suffix" : "" }, { "dropping-particle" : "", "family" : "Cundy", "given" : "Thomas P", "non-dropping-particle" : "", "parse-names" : false, "suffix" : "" }, { "dropping-particle" : "", "family" : "Hughes-hallett", "given" : "Archie", "non-dropping-particle" : "", "parse-names" : false, "suffix" : "" }, { "dropping-particle" : "", "family" : "Yang", "given" : "Zhong", "non-dropping-particle" : "", "parse-names" : false, "suffix" : "" }, { "dropping-particle" : "", "family" : "Darzi", "given" : "Ara", "non-dropping-particle" : "", "parse-names" : false, "suffix" : "" }, { "dropping-particle" : "", "family" : "Nandi", "given" : "Dipankar", "non-dropping-particle" : "", "parse-names" : false, "suffix" : "" }, { "dropping-particle" : "", "family" : "Phil", "given" : "D", "non-dropping-particle" : "", "parse-names" : false, "suffix" : "" } ], "id" : "ITEM-1", "issue" : "5", "issued" : { "date-parts" : [ [ "2015" ] ] }, "page" : "606-610", "title" : "Europe PMC Funders Group Endoscopic and Keyhole Endoscope-assisted Neurosurgical Approaches : A Qualitative Survey on Technical Challenges and Technological Solutions", "type" : "article-journal", "volume" : "28" }, "uris" : [ "http://www.mendeley.com/documents/?uuid=28dea761-b9c4-4883-baa6-bf04c8290463" ] } ], "mendeley" : { "formattedCitation" : "[6]", "plainTextFormattedCitation" : "[6]", "previouslyFormattedCitation" : "[6]" }, "properties" : { "noteIndex" : 0 }, "schema" : "https://github.com/citation-style-language/schema/raw/master/csl-citation.json" }</w:instrText>
      </w:r>
      <w:r w:rsidR="00740A2D">
        <w:rPr>
          <w:rFonts w:cs="Times New Roman"/>
          <w:lang w:val="en-CA"/>
        </w:rPr>
        <w:fldChar w:fldCharType="separate"/>
      </w:r>
      <w:r w:rsidR="00013531" w:rsidRPr="00013531">
        <w:rPr>
          <w:rFonts w:cs="Times New Roman"/>
          <w:noProof/>
          <w:lang w:val="en-CA"/>
        </w:rPr>
        <w:t>[6]</w:t>
      </w:r>
      <w:r w:rsidR="00740A2D">
        <w:rPr>
          <w:rFonts w:cs="Times New Roman"/>
          <w:lang w:val="en-CA"/>
        </w:rPr>
        <w:fldChar w:fldCharType="end"/>
      </w:r>
      <w:r w:rsidR="00E86ADF">
        <w:rPr>
          <w:rFonts w:cs="Times New Roman"/>
          <w:lang w:val="en-CA"/>
        </w:rPr>
        <w:t>-</w:t>
      </w:r>
      <w:r w:rsidR="00740A2D">
        <w:rPr>
          <w:rFonts w:cs="Times New Roman"/>
          <w:lang w:val="en-CA"/>
        </w:rPr>
        <w:fldChar w:fldCharType="begin" w:fldLock="1"/>
      </w:r>
      <w:r w:rsidR="009407D0">
        <w:rPr>
          <w:rFonts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"[7]", "plainTextFormattedCitation" : "[7]", "previouslyFormattedCitation" : "[7]" }, "properties" : { "noteIndex" : 0 }, "schema" : "https://github.com/citation-style-language/schema/raw/master/csl-citation.json" }</w:instrText>
      </w:r>
      <w:r w:rsidR="00740A2D">
        <w:rPr>
          <w:rFonts w:cs="Times New Roman"/>
          <w:lang w:val="en-CA"/>
        </w:rPr>
        <w:fldChar w:fldCharType="separate"/>
      </w:r>
      <w:r w:rsidR="008570B3" w:rsidRPr="008570B3">
        <w:rPr>
          <w:rFonts w:cs="Times New Roman"/>
          <w:noProof/>
          <w:lang w:val="en-CA"/>
        </w:rPr>
        <w:t>[7]</w:t>
      </w:r>
      <w:r w:rsidR="00740A2D">
        <w:rPr>
          <w:rFonts w:cs="Times New Roman"/>
          <w:lang w:val="en-CA"/>
        </w:rPr>
        <w:fldChar w:fldCharType="end"/>
      </w:r>
      <w:r w:rsidR="003D34E2">
        <w:rPr>
          <w:rFonts w:cs="Times New Roman"/>
          <w:lang w:val="en-CA"/>
        </w:rPr>
        <w:t xml:space="preserve">. </w:t>
      </w:r>
      <w:r w:rsidR="00E86ADF">
        <w:rPr>
          <w:rFonts w:cs="Times New Roman"/>
          <w:lang w:val="en-CA"/>
        </w:rPr>
        <w:t xml:space="preserve">The Delphi method has been employed internationally in the field of surgery where surveys are sent out to surgeons to form a consensus about varying surgical questions such as: treatment of the retraction pockets of the tympanic membrane, developing a core set of patient-reported outcomes in pancreatic cancer, and an international consensus for sepsis and septic shock definitions </w:t>
      </w:r>
      <w:r w:rsidR="00E86ADF">
        <w:rPr>
          <w:rFonts w:cs="Times New Roman"/>
          <w:lang w:val="en-CA"/>
        </w:rPr>
        <w:fldChar w:fldCharType="begin" w:fldLock="1"/>
      </w:r>
      <w:r w:rsidR="00E86ADF">
        <w:rPr>
          <w:rFonts w:cs="Times New Roman"/>
          <w:lang w:val="en-CA"/>
        </w:rPr>
        <w:instrText>ADDIN CSL_CITATION { "citationItems" : [ { "id" : "ITEM-1", "itemData" : { "DOI" : "10.1016/j.ejca.2016.01.001", "ISSN" : "1879-0852", "PMID" : "26886181", "abstract" : "BACKGROUND Patient-reported outcomes (PROs) are amongst the most relevant outcome measures in pancreatic cancer care and research. However, it is unknown which out of the numerous PROs are most important to patients and health care professionals (HCPs) in this setting. The aim of this study was to identify a core set of PROs to be incorporated in a nationwide prospective multidisciplinary pancreatic cancer registry. PATIENTS AND METHODS We performed a two-round Delphi survey among 150 patients diagnosed with pancreatic or periampullary cancer (treated either with curative intent or in palliative setting) and 78 HCPs (surgeons, medical oncologists, gastroenterologists, radiotherapists, nurses, and dietitians) in The Netherlands. In round 1, participants were invited to rate the importance of 53 PROs, which were extracted from 17 different PRO measures and grouped into global domains, on a 1-9 Likert scale. PROs rated as very important (score 7-9) by the majority (\u2265 80%) of curative and/or palliative patients as well as HCPs were considered sufficiently important to be incorporated in the core set. PROs not fulfilling these criteria in round 1 were presented again to the participants in round 2 along with individual and group feedback. RESULTS A total of 97 patients (94%) in curative-intent setting, 38 patients (81%) in palliative setting and 73 HCPs (94%) completed both rounds 1 and 2. After the first round, 7 PROs were included in the core set: general quality of life, general health, physical ability, satisfaction with caregivers, satisfaction with services and care organisation, coping and defecation. After the second round, 10 additional PROs were added: appetite, ability to work/do usual activities, medication use, weight changes, fatigue, negative feelings, positive feelings, fear of recurrence, relationship with partner/family, and pancreatic enzyme replacement therapy use. CONCLUSION This study provides a core set of PROs selected by patients and HCPs, which may be incorporated in pancreatic cancer care and research. Validation outside the Dutch context is recommended for generalisation and use in international studies.", "author" : [ { "dropping-particle" : "", "family" : "Gerritsen", "given" : "Arja", "non-dropping-particle" : "", "parse-names" : false, "suffix" : "" }, { "dropping-particle" : "", "family" : "Jacobs", "given" : "Marc", "non-dropping-particle" : "", "parse-names" : false, "suffix" : "" }, { "dropping-particle" : "", "family" : "Henselmans", "given" : "Inge", "non-dropping-particle" : "", "parse-names" : false, "suffix" : "" }, { "dropping-particle" : "", "family" : "Hattum", "given" : "Jons", "non-dropping-particle" : "van", "parse-names" : false, "suffix" : "" }, { "dropping-particle" : "", "family" : "Efficace", "given" : "Fabio", "non-dropping-particle" : "", "parse-names" : false, "suffix" : "" }, { "dropping-particle" : "", "family" : "Creemers", "given" : "Geert-Jan", "non-dropping-particle" : "", "parse-names" : false, "suffix" : "" }, { "dropping-particle" : "", "family" : "Hingh", "given" : "Ignace H", "non-dropping-particle" : "de", "parse-names" : false, "suffix" : "" }, { "dropping-particle" : "", "family" : "Koopman", "given" : "Miriam", "non-dropping-particle" : "", "parse-names" : false, "suffix" : "" }, { "dropping-particle" : "", "family" : "Molenaar", "given" : "I Quintus", "non-dropping-particle" : "", "parse-names" : false, "suffix" : "" }, { "dropping-particle" : "", "family" : "Wilmink", "given" : "Hanneke W", "non-dropping-particle" : "", "parse-names" : false, "suffix" : "" }, { "dropping-particle" : "", "family" : "Busch", "given" : "Olivier R", "non-dropping-particle" : "", "parse-names" : false, "suffix" : "" }, { "dropping-particle" : "", "family" : "Besselink", "given" : "Marc G", "non-dropping-particle" : "", "parse-names" : false, "suffix" : "" }, { "dropping-particle" : "", "family" : "Laarhoven", "given" : "Hanneke W", "non-dropping-particle" : "van", "parse-names" : false, "suffix" : "" }, { "dropping-particle" : "", "family" : "Dutch Pancreatic Cancer Group", "given" : "", "non-dropping-particle" : "", "parse-names" : false, "suffix" : "" } ], "container-title" : "European journal of cancer (Oxford, England : 1990)", "id" : "ITEM-1", "issued" : { "date-parts" : [ [ "2016", "4" ] ] }, "page" : "68-77", "title" : "Developing a core set of patient-reported outcomes in pancreatic cancer: A Delphi survey.", "type" : "article-journal", "volume" : "57" }, "uris" : [ "http://www.mendeley.com/documents/?uuid=43c01060-90d9-394a-8f37-ae63184aa73f" ] } ], "mendeley" : { "formattedCitation" : "[8]", "plainTextFormattedCitation" : "[8]", "previouslyFormattedCitation" : "[8]" }, "properties" : { "noteIndex" : 0 }, "schema" : "https://github.com/citation-style-language/schema/raw/master/csl-citation.json" }</w:instrText>
      </w:r>
      <w:r w:rsidR="00E86ADF">
        <w:rPr>
          <w:rFonts w:cs="Times New Roman"/>
          <w:lang w:val="en-CA"/>
        </w:rPr>
        <w:fldChar w:fldCharType="separate"/>
      </w:r>
      <w:r w:rsidR="00E86ADF" w:rsidRPr="009407D0">
        <w:rPr>
          <w:rFonts w:cs="Times New Roman"/>
          <w:noProof/>
          <w:lang w:val="en-CA"/>
        </w:rPr>
        <w:t>[8]</w:t>
      </w:r>
      <w:r w:rsidR="00E86ADF">
        <w:rPr>
          <w:rFonts w:cs="Times New Roman"/>
          <w:lang w:val="en-CA"/>
        </w:rPr>
        <w:fldChar w:fldCharType="end"/>
      </w:r>
      <w:r w:rsidR="00E86ADF">
        <w:rPr>
          <w:rFonts w:cs="Times New Roman"/>
          <w:lang w:val="en-CA"/>
        </w:rPr>
        <w:t xml:space="preserve"> </w:t>
      </w:r>
      <w:r w:rsidR="00E86ADF">
        <w:rPr>
          <w:rFonts w:cs="Times New Roman"/>
          <w:lang w:val="en-CA"/>
        </w:rPr>
        <w:fldChar w:fldCharType="begin" w:fldLock="1"/>
      </w:r>
      <w:r w:rsidR="00E86ADF">
        <w:rPr>
          <w:rFonts w:cs="Times New Roman"/>
          <w:lang w:val="en-CA"/>
        </w:rPr>
        <w:instrText>ADDIN CSL_CITATION { "citationItems" : [ { "id" : "ITEM-1", "itemData" : { "ISSN" : "0042-4668", "PMID" : "26977575", "abstract" : "The objective of the present study was to formulate the consensus document \u00abThe treatment of the retraction pockets (RP) of pars tensa and pars flaccida\u00bb as well as to estimate the situation in this country pertaining to the treatment of the retraction pockets of the tympanic membrane. We undertaken a pilot study that involved 91 practicing otorhinolaryngologists based at in-patient and out-patient healthcare facilities in different regions of the Russian Federation. M. Yung's questionnaire for otorhinolaryngologistswas used to gain relevant information. The Delphi technology was employed to process the data obtained. 30% of those who agreed to participate in the study answered to the proposed questions although some of them aroused a discord among the respondents. The results of this questionnaire study provided a basis for the pilot consensus document and allowed for the preliminary conclusion as regards prospects for the further exploration of both the problem in question and the instruments for this purpose with special reference to the awareness of the otorhinolaryngologists. Abstract available from the publisher.", "author" : [ { "dropping-particle" : "", "family" : "Kosyakov", "given" : "S Ya", "non-dropping-particle" : "", "parse-names" : false, "suffix" : "" }, { "dropping-particle" : "V", "family" : "Minavnina", "given" : "Yu", "non-dropping-particle" : "", "parse-names" : false, "suffix" : "" }, { "dropping-particle" : "V", "family" : "Pchelenok", "given" : "E", "non-dropping-particle" : "", "parse-names" : false, "suffix" : "" } ], "container-title" : "Vestnik otorinolaringologii", "id" : "ITEM-1", "issue" : "1", "issued" : { "date-parts" : [ [ "2016" ] ] }, "page" : "78-83", "title" : "[The consensus view of the treatment of the retraction pockets of the tympanic membrane].", "type" : "article-journal", "volume" : "81" }, "uris" : [ "http://www.mendeley.com/documents/?uuid=f7ef2f9f-ea01-3526-8191-3a816547a3b6" ] } ], "mendeley" : { "formattedCitation" : "[9]", "plainTextFormattedCitation" : "[9]", "previouslyFormattedCitation" : "[9]" }, "properties" : { "noteIndex" : 0 }, "schema" : "https://github.com/citation-style-language/schema/raw/master/csl-citation.json" }</w:instrText>
      </w:r>
      <w:r w:rsidR="00E86ADF">
        <w:rPr>
          <w:rFonts w:cs="Times New Roman"/>
          <w:lang w:val="en-CA"/>
        </w:rPr>
        <w:fldChar w:fldCharType="separate"/>
      </w:r>
      <w:r w:rsidR="00E86ADF" w:rsidRPr="009407D0">
        <w:rPr>
          <w:rFonts w:cs="Times New Roman"/>
          <w:noProof/>
          <w:lang w:val="en-CA"/>
        </w:rPr>
        <w:t>[9]</w:t>
      </w:r>
      <w:r w:rsidR="00E86ADF">
        <w:rPr>
          <w:rFonts w:cs="Times New Roman"/>
          <w:lang w:val="en-CA"/>
        </w:rPr>
        <w:fldChar w:fldCharType="end"/>
      </w:r>
      <w:r w:rsidR="00E86ADF">
        <w:rPr>
          <w:rFonts w:cs="Times New Roman"/>
          <w:lang w:val="en-CA"/>
        </w:rPr>
        <w:t xml:space="preserve"> </w:t>
      </w:r>
      <w:r w:rsidR="00E86ADF">
        <w:rPr>
          <w:rFonts w:cs="Times New Roman"/>
          <w:lang w:val="en-CA"/>
        </w:rPr>
        <w:fldChar w:fldCharType="begin" w:fldLock="1"/>
      </w:r>
      <w:r w:rsidR="00E86ADF">
        <w:rPr>
          <w:rFonts w:cs="Times New Roman"/>
          <w:lang w:val="en-CA"/>
        </w:rPr>
        <w:instrText>ADDIN CSL_CITATION { "citationItems" : [ { "id" : "ITEM-1", "itemData" : { "DOI" : "10.1001/jama.2016.0287", "ISSN" : "1538-3598", "PMID" : "26903338", "abstract" : "IMPORTANCE Definitions of sepsis and septic shock were last revised in 2001. Considerable advances have since been made into the pathobiology (changes in organ function, morphology, cell biology, biochemistry, immunology, and circulation), management, and epidemiology of sepsis, suggesting the need for reexamination. OBJECTIVE To evaluate and, as needed, update definitions for sepsis and septic shock. PROCESS A task force (n\u2009=\u200919) with expertise in sepsis pathobiology, clinical trials, and epidemiology was convened by the Society of Critical Care Medicine and the European Society of Intensive Care Medicine. Definitions and clinical criteria were generated through meetings, Delphi processes, analysis of electronic health record databases, and voting, followed by circulation to international professional societies, requesting peer review and endorsement (by 31 societies listed in the Acknowledgment). KEY FINDINGS FROM EVIDENCE SYNTHESIS Limitations of previous definitions included an excessive focus on inflammation, the misleading model that sepsis follows a continuum through severe sepsis to shock, and inadequate specificity and sensitivity of the systemic inflammatory response syndrome (SIRS) criteria. Multiple definitions and terminologies are currently in use for sepsis, septic shock, and organ dysfunction, leading to discrepancies in reported incidence and observed mortality. The task force concluded the term severe sepsis was redundant. RECOMMENDATIONS Sepsis should be defined as life-threatening organ dysfunction caused by a dysregulated host response to infection. For clinical operationalization, organ dysfunction can be represented by an increase in the Sequential [Sepsis-related] Organ Failure Assessment (SOFA) score of 2 points or more, which is associated with an in-hospital mortality greater than 10%. Septic shock should be defined as a subset of sepsis in which particularly profound circulatory, cellular, and metabolic abnormalities are associated with a greater risk of mortality than with sepsis alone. Patients with septic shock can be clinically identified by a vasopressor requirement to maintain a mean arterial pressure of 65 mm Hg or greater and serum lactate level greater than 2 mmol/L (&gt;18 mg/dL) in the absence of hypovolemia. This combination is associated with hospital mortality rates greater than 40%. In out-of-hospital, emergency department, or general hospital ward settings, adult patients with suspected infection can be rapidly i\u2026", "author" : [ { "dropping-particle" : "", "family" : "Singer", "given" : "Mervyn", "non-dropping-particle" : "", "parse-names" : false, "suffix" : "" }, { "dropping-particle" : "", "family" : "Deutschman", "given" : "Clifford S", "non-dropping-particle" : "", "parse-names" : false, "suffix" : "" }, { "dropping-particle" : "", "family" : "Seymour", "given" : "Christopher Warren", "non-dropping-particle" : "", "parse-names" : false, "suffix" : "" }, { "dropping-particle" : "", "family" : "Shankar-Hari", "given" : "Manu", "non-dropping-particle" : "", "parse-names" : false, "suffix" : "" }, { "dropping-particle" : "", "family" : "Annane", "given" : "Djillali", "non-dropping-particle" : "", "parse-names" : false, "suffix" : "" }, { "dropping-particle" : "", "family" : "Bauer", "given" : "Michael", "non-dropping-particle" : "", "parse-names" : false, "suffix" : "" }, { "dropping-particle" : "", "family" : "Bellomo", "given" : "Rinaldo", "non-dropping-particle" : "", "parse-names" : false, "suffix" : "" }, { "dropping-particle" : "", "family" : "Bernard", "given" : "Gordon R", "non-dropping-particle" : "", "parse-names" : false, "suffix" : "" }, { "dropping-particle" : "", "family" : "Chiche", "given" : "Jean-Daniel", "non-dropping-particle" : "", "parse-names" : false, "suffix" : "" }, { "dropping-particle" : "", "family" : "Coopersmith", "given" : "Craig M", "non-dropping-particle" : "", "parse-names" : false, "suffix" : "" }, { "dropping-particle" : "", "family" : "Hotchkiss", "given" : "Richard S", "non-dropping-particle" : "", "parse-names" : false, "suffix" : "" }, { "dropping-particle" : "", "family" : "Levy", "given" : "Mitchell M", "non-dropping-particle" : "", "parse-names" : false, "suffix" : "" }, { "dropping-particle" : "", "family" : "Marshall", "given" : "John C", "non-dropping-particle" : "", "parse-names" : false, "suffix" : "" }, { "dropping-particle" : "", "family" : "Martin", "given" : "Greg S", "non-dropping-particle" : "", "parse-names" : false, "suffix" : "" }, { "dropping-particle" : "", "family" : "Opal", "given" : "Steven M", "non-dropping-particle" : "", "parse-names" : false, "suffix" : "" }, { "dropping-particle" : "", "family" : "Rubenfeld", "given" : "Gordon D", "non-dropping-particle" : "", "parse-names" : false, "suffix" : "" }, { "dropping-particle" : "", "family" : "Poll", "given" : "Tom", "non-dropping-particle" : "van der", "parse-names" : false, "suffix" : "" }, { "dropping-particle" : "", "family" : "Vincent", "given" : "Jean-Louis", "non-dropping-particle" : "", "parse-names" : false, "suffix" : "" }, { "dropping-particle" : "", "family" : "Angus", "given" : "Derek C", "non-dropping-particle" : "", "parse-names" : false, "suffix" : "" } ], "container-title" : "JAMA", "id" : "ITEM-1", "issue" : "8", "issued" : { "date-parts" : [ [ "2016", "2", "23" ] ] }, "page" : "801-10", "title" : "The Third International Consensus Definitions for Sepsis and Septic Shock (Sepsis-3).", "type" : "article-journal", "volume" : "315" }, "uris" : [ "http://www.mendeley.com/documents/?uuid=3da322cc-6c92-3607-95d3-6289cefcdc3a" ] } ], "mendeley" : { "formattedCitation" : "[10]", "plainTextFormattedCitation" : "[10]" }, "properties" : { "noteIndex" : 0 }, "schema" : "https://github.com/citation-style-language/schema/raw/master/csl-citation.json" }</w:instrText>
      </w:r>
      <w:r w:rsidR="00E86ADF">
        <w:rPr>
          <w:rFonts w:cs="Times New Roman"/>
          <w:lang w:val="en-CA"/>
        </w:rPr>
        <w:fldChar w:fldCharType="separate"/>
      </w:r>
      <w:r w:rsidR="00E86ADF" w:rsidRPr="009407D0">
        <w:rPr>
          <w:rFonts w:cs="Times New Roman"/>
          <w:noProof/>
          <w:lang w:val="en-CA"/>
        </w:rPr>
        <w:t>[10]</w:t>
      </w:r>
      <w:r w:rsidR="00E86ADF">
        <w:rPr>
          <w:rFonts w:cs="Times New Roman"/>
          <w:lang w:val="en-CA"/>
        </w:rPr>
        <w:fldChar w:fldCharType="end"/>
      </w:r>
      <w:r w:rsidR="00E86ADF">
        <w:rPr>
          <w:rFonts w:cs="Times New Roman"/>
          <w:lang w:val="en-CA"/>
        </w:rPr>
        <w:t>.</w:t>
      </w:r>
    </w:p>
    <w:p w:rsidR="007C53AB" w:rsidRPr="00FD3A3E" w:rsidRDefault="007C53AB" w:rsidP="00BE09C8">
      <w:pPr>
        <w:widowControl w:val="0"/>
        <w:autoSpaceDE w:val="0"/>
        <w:autoSpaceDN w:val="0"/>
        <w:adjustRightInd w:val="0"/>
        <w:spacing w:after="240"/>
        <w:jc w:val="both"/>
        <w:rPr>
          <w:rFonts w:cs="Arial"/>
        </w:rPr>
      </w:pPr>
      <w:r w:rsidRPr="00FD3A3E">
        <w:rPr>
          <w:rFonts w:cs="Arial"/>
        </w:rPr>
        <w:t>A qualitative assessment of the challenges in endoscopic ear surgery caused by limitations in current instrumentation will be completed by performing an on line survey of surgeons that perform endoscopic ear surgery. The Delphi method will be followed to analyze the qualitative results of the survey. A preliminary survey for local otolaryngologists</w:t>
      </w:r>
      <w:r w:rsidR="00AE6BFC" w:rsidRPr="00FD3A3E">
        <w:rPr>
          <w:rFonts w:cs="Arial"/>
        </w:rPr>
        <w:t>, with varied experience in TEES within the University of Toronto,</w:t>
      </w:r>
      <w:r w:rsidRPr="00FD3A3E">
        <w:rPr>
          <w:rFonts w:cs="Arial"/>
        </w:rPr>
        <w:t xml:space="preserve"> will develop a questionnaire</w:t>
      </w:r>
      <w:r w:rsidR="00AE6BFC" w:rsidRPr="00FD3A3E">
        <w:rPr>
          <w:rFonts w:cs="Arial"/>
        </w:rPr>
        <w:t>.</w:t>
      </w:r>
      <w:r w:rsidRPr="00FD3A3E">
        <w:rPr>
          <w:rFonts w:cs="Arial"/>
        </w:rPr>
        <w:t xml:space="preserve"> </w:t>
      </w:r>
      <w:r w:rsidR="00AE6BFC" w:rsidRPr="00FD3A3E">
        <w:rPr>
          <w:rFonts w:cs="Arial"/>
        </w:rPr>
        <w:t xml:space="preserve">Questions will ask for comments on factors that have prevented </w:t>
      </w:r>
      <w:proofErr w:type="spellStart"/>
      <w:r w:rsidR="00AE6BFC" w:rsidRPr="00FD3A3E">
        <w:rPr>
          <w:rFonts w:cs="Arial"/>
        </w:rPr>
        <w:t>otologists</w:t>
      </w:r>
      <w:proofErr w:type="spellEnd"/>
      <w:r w:rsidR="00AE6BFC" w:rsidRPr="00FD3A3E">
        <w:rPr>
          <w:rFonts w:cs="Arial"/>
        </w:rPr>
        <w:t xml:space="preserve"> from using endoscopes in </w:t>
      </w:r>
      <w:proofErr w:type="spellStart"/>
      <w:r w:rsidR="00AE6BFC" w:rsidRPr="00FD3A3E">
        <w:rPr>
          <w:rFonts w:cs="Arial"/>
        </w:rPr>
        <w:t>otologic</w:t>
      </w:r>
      <w:proofErr w:type="spellEnd"/>
      <w:r w:rsidR="00AE6BFC" w:rsidRPr="00FD3A3E">
        <w:rPr>
          <w:rFonts w:cs="Arial"/>
        </w:rPr>
        <w:t xml:space="preserve"> surgery, and for comments on the perceived strengths and weaknesses of currently available instruments for endoscopic ear surgery. The survey will then</w:t>
      </w:r>
      <w:r w:rsidRPr="00FD3A3E">
        <w:rPr>
          <w:rFonts w:cs="Arial"/>
        </w:rPr>
        <w:t xml:space="preserve"> be sent</w:t>
      </w:r>
      <w:r w:rsidR="00923946" w:rsidRPr="00FD3A3E">
        <w:rPr>
          <w:rFonts w:cs="Arial"/>
        </w:rPr>
        <w:t>, via email,</w:t>
      </w:r>
      <w:r w:rsidRPr="00FD3A3E">
        <w:rPr>
          <w:rFonts w:cs="Arial"/>
        </w:rPr>
        <w:t xml:space="preserve"> to many </w:t>
      </w:r>
      <w:proofErr w:type="spellStart"/>
      <w:r w:rsidRPr="00FD3A3E">
        <w:rPr>
          <w:rFonts w:cs="Arial"/>
        </w:rPr>
        <w:t>otologists</w:t>
      </w:r>
      <w:proofErr w:type="spellEnd"/>
      <w:r w:rsidRPr="00FD3A3E">
        <w:rPr>
          <w:rFonts w:cs="Arial"/>
        </w:rPr>
        <w:t xml:space="preserve"> around the world</w:t>
      </w:r>
      <w:r w:rsidR="00923946" w:rsidRPr="00FD3A3E">
        <w:rPr>
          <w:rFonts w:cs="Arial"/>
        </w:rPr>
        <w:t xml:space="preserve">, including the 60 members of the International Working Group on Endoscopic Ear Surgery (IWGEES) (http://www.iwgees.org) plus delegates that have attended courses organized by the PI and consenting members of the IWGEES. </w:t>
      </w:r>
      <w:r w:rsidRPr="00FD3A3E">
        <w:rPr>
          <w:rFonts w:cs="Arial"/>
        </w:rPr>
        <w:t xml:space="preserve"> </w:t>
      </w:r>
      <w:r w:rsidR="00923946" w:rsidRPr="00FD3A3E">
        <w:rPr>
          <w:rFonts w:cs="Arial"/>
        </w:rPr>
        <w:t>The</w:t>
      </w:r>
      <w:r w:rsidR="00E86ADF">
        <w:rPr>
          <w:rFonts w:cs="Arial"/>
        </w:rPr>
        <w:t xml:space="preserve"> confidential</w:t>
      </w:r>
      <w:r w:rsidRPr="00FD3A3E">
        <w:rPr>
          <w:rFonts w:cs="Arial"/>
        </w:rPr>
        <w:t xml:space="preserve"> answer</w:t>
      </w:r>
      <w:r w:rsidR="00E86ADF">
        <w:rPr>
          <w:rFonts w:cs="Arial"/>
        </w:rPr>
        <w:t xml:space="preserve">s will be analyzed to develop another, more specific, </w:t>
      </w:r>
      <w:r w:rsidRPr="00FD3A3E">
        <w:rPr>
          <w:rFonts w:cs="Arial"/>
        </w:rPr>
        <w:t>survey that will be sent out once again to the participants. This will attempt to develop a consensus of conclusions for the survey.</w:t>
      </w:r>
    </w:p>
    <w:p w:rsidR="00550CA8" w:rsidRPr="00765F73" w:rsidRDefault="00550CA8" w:rsidP="00BE09C8">
      <w:pPr>
        <w:widowControl w:val="0"/>
        <w:autoSpaceDE w:val="0"/>
        <w:autoSpaceDN w:val="0"/>
        <w:adjustRightInd w:val="0"/>
        <w:spacing w:after="240"/>
        <w:jc w:val="both"/>
        <w:rPr>
          <w:rFonts w:cs="Times"/>
        </w:rPr>
      </w:pPr>
      <w:r w:rsidRPr="00FD3A3E">
        <w:rPr>
          <w:rFonts w:cs="Arial"/>
        </w:rPr>
        <w:t xml:space="preserve">The </w:t>
      </w:r>
      <w:r w:rsidR="00AE6BFC" w:rsidRPr="00FD3A3E">
        <w:rPr>
          <w:rFonts w:cs="Arial"/>
        </w:rPr>
        <w:t xml:space="preserve">confidential </w:t>
      </w:r>
      <w:r w:rsidRPr="00FD3A3E">
        <w:rPr>
          <w:rFonts w:cs="Arial"/>
        </w:rPr>
        <w:t xml:space="preserve">survey will be provided electronically using </w:t>
      </w:r>
      <w:proofErr w:type="spellStart"/>
      <w:r w:rsidRPr="00FD3A3E">
        <w:rPr>
          <w:rFonts w:cs="Arial"/>
        </w:rPr>
        <w:t>FluidSurveys</w:t>
      </w:r>
      <w:proofErr w:type="spellEnd"/>
      <w:r w:rsidRPr="00FD3A3E">
        <w:rPr>
          <w:rFonts w:cs="Arial"/>
        </w:rPr>
        <w:t xml:space="preserve">, an online survey tool </w:t>
      </w:r>
      <w:r w:rsidRPr="00FD3A3E">
        <w:rPr>
          <w:rFonts w:cs="Arial"/>
        </w:rPr>
        <w:lastRenderedPageBreak/>
        <w:t xml:space="preserve">(http://fluidsurveys.com). </w:t>
      </w:r>
      <w:r w:rsidR="00AE6BFC" w:rsidRPr="00FD3A3E">
        <w:rPr>
          <w:rFonts w:cs="Arial"/>
        </w:rPr>
        <w:t xml:space="preserve">A consent form will be attached with the survey. </w:t>
      </w:r>
    </w:p>
    <w:p w:rsidR="00444211" w:rsidRPr="00FD3A3E" w:rsidRDefault="00444211" w:rsidP="00BE09C8">
      <w:pPr>
        <w:jc w:val="both"/>
        <w:rPr>
          <w:lang w:val="en-CA"/>
        </w:rPr>
      </w:pPr>
    </w:p>
    <w:p w:rsidR="00444211" w:rsidRPr="00FD3A3E" w:rsidRDefault="00444211" w:rsidP="00BE09C8">
      <w:pPr>
        <w:jc w:val="both"/>
        <w:rPr>
          <w:lang w:val="en-CA"/>
        </w:rPr>
      </w:pPr>
    </w:p>
    <w:p w:rsidR="009407D0" w:rsidRPr="009407D0" w:rsidRDefault="00740A2D" w:rsidP="00BE09C8">
      <w:pPr>
        <w:widowControl w:val="0"/>
        <w:autoSpaceDE w:val="0"/>
        <w:autoSpaceDN w:val="0"/>
        <w:adjustRightInd w:val="0"/>
        <w:spacing w:after="140" w:line="288" w:lineRule="auto"/>
        <w:jc w:val="both"/>
        <w:rPr>
          <w:rFonts w:ascii="Calibri" w:eastAsia="Times New Roman" w:hAnsi="Calibri" w:cs="Times New Roman"/>
          <w:noProof/>
        </w:rPr>
      </w:pPr>
      <w:r w:rsidRPr="00FD3A3E">
        <w:rPr>
          <w:lang w:val="en-CA"/>
        </w:rPr>
        <w:fldChar w:fldCharType="begin" w:fldLock="1"/>
      </w:r>
      <w:r w:rsidR="00444211" w:rsidRPr="00FD3A3E">
        <w:rPr>
          <w:lang w:val="en-CA"/>
        </w:rPr>
        <w:instrText xml:space="preserve">ADDIN Mendeley Bibliography CSL_BIBLIOGRAPHY </w:instrText>
      </w:r>
      <w:r w:rsidRPr="00FD3A3E">
        <w:rPr>
          <w:lang w:val="en-CA"/>
        </w:rPr>
        <w:fldChar w:fldCharType="separate"/>
      </w: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w:t>
      </w:r>
      <w:r w:rsidRPr="009407D0">
        <w:rPr>
          <w:rFonts w:ascii="Calibri" w:eastAsia="Times New Roman" w:hAnsi="Calibri" w:cs="Times New Roman"/>
          <w:noProof/>
        </w:rPr>
        <w:tab/>
        <w:t>“Benefits of Minimally Invasive Surgery | AIMIS.” [Online]. Available: http://www.aimis.org/benefits-of-minimally-invasive-surgery/. [Accessed: 14-Nov-2015].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[2]</w:t>
      </w:r>
      <w:r w:rsidRPr="009407D0">
        <w:rPr>
          <w:rFonts w:ascii="Calibri" w:eastAsia="Times New Roman" w:hAnsi="Calibri" w:cs="Times New Roman"/>
          <w:noProof/>
        </w:rPr>
        <w:tab/>
        <w:t xml:space="preserve">M. S. Cohen, L. D. Landegger, E. D. Kozin, and D. J. Lee, “Pediatric endoscopic ear surgery in clinical practice: Lessons learned and early outcomes,” </w:t>
      </w:r>
      <w:r w:rsidRPr="009407D0">
        <w:rPr>
          <w:rFonts w:ascii="Calibri" w:eastAsia="Times New Roman" w:hAnsi="Calibri" w:cs="Times New Roman"/>
          <w:i/>
          <w:iCs/>
          <w:noProof/>
        </w:rPr>
        <w:t>Laryngoscope</w:t>
      </w:r>
      <w:r w:rsidRPr="009407D0">
        <w:rPr>
          <w:rFonts w:ascii="Calibri" w:eastAsia="Times New Roman" w:hAnsi="Calibri" w:cs="Times New Roman"/>
          <w:noProof/>
        </w:rPr>
        <w:t>, p. n/a–n/a,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[3]</w:t>
      </w:r>
      <w:r w:rsidRPr="009407D0">
        <w:rPr>
          <w:rFonts w:ascii="Calibri" w:eastAsia="Times New Roman" w:hAnsi="Calibri" w:cs="Times New Roman"/>
          <w:noProof/>
        </w:rPr>
        <w:tab/>
        <w:t xml:space="preserve">H. Kanona, J. S. Virk, and A. Owa, “Endoscopic ear surgery: A case series and first United Kingdom experience.,” </w:t>
      </w:r>
      <w:r w:rsidRPr="009407D0">
        <w:rPr>
          <w:rFonts w:ascii="Calibri" w:eastAsia="Times New Roman" w:hAnsi="Calibri" w:cs="Times New Roman"/>
          <w:i/>
          <w:iCs/>
          <w:noProof/>
        </w:rPr>
        <w:t>World J. Clin. cases</w:t>
      </w:r>
      <w:r w:rsidRPr="009407D0">
        <w:rPr>
          <w:rFonts w:ascii="Calibri" w:eastAsia="Times New Roman" w:hAnsi="Calibri" w:cs="Times New Roman"/>
          <w:noProof/>
        </w:rPr>
        <w:t>, vol. 3, no. 3, pp. 310–7,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[4]</w:t>
      </w:r>
      <w:r w:rsidRPr="009407D0">
        <w:rPr>
          <w:rFonts w:ascii="Calibri" w:eastAsia="Times New Roman" w:hAnsi="Calibri" w:cs="Times New Roman"/>
          <w:noProof/>
        </w:rPr>
        <w:tab/>
        <w:t>M. A. Rube, F. Fernandez-gutierrez, B. F. Cox, B. Holbrook, J. G. Houston, R. D. White, H. Mcleod, M. Fatahi, and A. Melzer, “HHS Public Access,” vol. 10, no. 5, pp. 637–650,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[5]</w:t>
      </w:r>
      <w:r w:rsidRPr="009407D0">
        <w:rPr>
          <w:rFonts w:ascii="Calibri" w:eastAsia="Times New Roman" w:hAnsi="Calibri" w:cs="Times New Roman"/>
          <w:noProof/>
        </w:rPr>
        <w:tab/>
        <w:t>K. C. Hsiao, Z. Machaidze, and J. G. Pattaras, “Time Management in the Operating Room : An Analysis of the Dedicated Minimally Invasive Surgery Suite,” pp. 300–303, 2004.</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[6]</w:t>
      </w:r>
      <w:r w:rsidRPr="009407D0">
        <w:rPr>
          <w:rFonts w:ascii="Calibri" w:eastAsia="Times New Roman" w:hAnsi="Calibri" w:cs="Times New Roman"/>
          <w:noProof/>
        </w:rPr>
        <w:tab/>
        <w:t>H. J. Marcus, T. P. Cundy, A. Hughes-hallett, Z. Yang, A. Darzi, D. Nandi, and D. Phil, “Europe PMC Funders Group Endoscopic and Keyhole Endoscope-assisted Neurosurgical Approaches : A Qualitative Survey on Technical Challenges and Technological Solutions,” vol. 28, no. 5, pp. 606–610, 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[7]</w:t>
      </w:r>
      <w:r w:rsidRPr="009407D0">
        <w:rPr>
          <w:rFonts w:ascii="Calibri" w:eastAsia="Times New Roman" w:hAnsi="Calibri" w:cs="Times New Roman"/>
          <w:noProof/>
        </w:rPr>
        <w:tab/>
        <w:t xml:space="preserve">M. Yong, T. Mijovic, and J. Lea, “Endoscopic ear surgery in Canada : a cross-sectional study,” </w:t>
      </w:r>
      <w:r w:rsidRPr="009407D0">
        <w:rPr>
          <w:rFonts w:ascii="Calibri" w:eastAsia="Times New Roman" w:hAnsi="Calibri" w:cs="Times New Roman"/>
          <w:i/>
          <w:iCs/>
          <w:noProof/>
        </w:rPr>
        <w:t>J. Otolaryngol. - Head Neck Surg.</w:t>
      </w:r>
      <w:r w:rsidRPr="009407D0">
        <w:rPr>
          <w:rFonts w:ascii="Calibri" w:eastAsia="Times New Roman" w:hAnsi="Calibri" w:cs="Times New Roman"/>
          <w:noProof/>
        </w:rPr>
        <w:t>, pp. 1–8,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[8]</w:t>
      </w:r>
      <w:r w:rsidRPr="009407D0">
        <w:rPr>
          <w:rFonts w:ascii="Calibri" w:eastAsia="Times New Roman" w:hAnsi="Calibri" w:cs="Times New Roman"/>
          <w:noProof/>
        </w:rPr>
        <w:tab/>
        <w:t xml:space="preserve">A. Gerritsen, M. Jacobs, I. Henselmans, J. van Hattum, F. Efficace, G.-J. Creemers, I. H. de Hingh, M. Koopman, I. Q. Molenaar, H. W. Wilmink, O. R. Busch, M. G. Besselink, H. W. van Laarhoven, and Dutch Pancreatic Cancer Group, “Developing a core set of patient-reported outcomes in pancreatic cancer: A Delphi survey.,” </w:t>
      </w:r>
      <w:r w:rsidRPr="009407D0">
        <w:rPr>
          <w:rFonts w:ascii="Calibri" w:eastAsia="Times New Roman" w:hAnsi="Calibri" w:cs="Times New Roman"/>
          <w:i/>
          <w:iCs/>
          <w:noProof/>
        </w:rPr>
        <w:t>Eur. J. Cancer</w:t>
      </w:r>
      <w:r w:rsidRPr="009407D0">
        <w:rPr>
          <w:rFonts w:ascii="Calibri" w:eastAsia="Times New Roman" w:hAnsi="Calibri" w:cs="Times New Roman"/>
          <w:noProof/>
        </w:rPr>
        <w:t>, vol. 57, pp. 68–77, Apr.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[9]</w:t>
      </w:r>
      <w:r w:rsidRPr="009407D0">
        <w:rPr>
          <w:rFonts w:ascii="Calibri" w:eastAsia="Times New Roman" w:hAnsi="Calibri" w:cs="Times New Roman"/>
          <w:noProof/>
        </w:rPr>
        <w:tab/>
        <w:t xml:space="preserve">S. Y. Kosyakov, Y. V Minavnina, and E. V Pchelenok, “[The consensus view of the treatment of the retraction pockets of the tympanic membrane].,” </w:t>
      </w:r>
      <w:r w:rsidRPr="009407D0">
        <w:rPr>
          <w:rFonts w:ascii="Calibri" w:eastAsia="Times New Roman" w:hAnsi="Calibri" w:cs="Times New Roman"/>
          <w:i/>
          <w:iCs/>
          <w:noProof/>
        </w:rPr>
        <w:t>Vestn. Otorinolaringol.</w:t>
      </w:r>
      <w:r w:rsidRPr="009407D0">
        <w:rPr>
          <w:rFonts w:ascii="Calibri" w:eastAsia="Times New Roman" w:hAnsi="Calibri" w:cs="Times New Roman"/>
          <w:noProof/>
        </w:rPr>
        <w:t>, vol. 81, no. 1, pp. 78–83,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[10]</w:t>
      </w:r>
      <w:r w:rsidRPr="009407D0">
        <w:rPr>
          <w:rFonts w:ascii="Calibri" w:eastAsia="Times New Roman" w:hAnsi="Calibri" w:cs="Times New Roman"/>
          <w:noProof/>
        </w:rPr>
        <w:tab/>
        <w:t xml:space="preserve">M. Singer, C. S. Deutschman, C. W. Seymour, M. Shankar-Hari, D. Annane, M. Bauer, R. Bellomo, G. R. Bernard, J.-D. Chiche, C. M. Coopersmith, R. S. Hotchkiss, M. M. Levy, J. C. Marshall, G. S. Martin, S. M. Opal, G. D. Rubenfeld, T. van der Poll, J.-L. Vincent, and D. C. Angus, “The Third International Consensus Definitions for Sepsis and Septic Shock (Sepsis-3).,” </w:t>
      </w:r>
      <w:r w:rsidRPr="009407D0">
        <w:rPr>
          <w:rFonts w:ascii="Calibri" w:eastAsia="Times New Roman" w:hAnsi="Calibri" w:cs="Times New Roman"/>
          <w:i/>
          <w:iCs/>
          <w:noProof/>
        </w:rPr>
        <w:t>JAMA</w:t>
      </w:r>
      <w:r w:rsidRPr="009407D0">
        <w:rPr>
          <w:rFonts w:ascii="Calibri" w:eastAsia="Times New Roman" w:hAnsi="Calibri" w:cs="Times New Roman"/>
          <w:noProof/>
        </w:rPr>
        <w:t>, vol. 315, no. 8, pp. 801–10, Feb. 2016.</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[11]</w:t>
      </w:r>
      <w:r w:rsidRPr="009407D0">
        <w:rPr>
          <w:rFonts w:ascii="Calibri" w:eastAsia="Times New Roman" w:hAnsi="Calibri" w:cs="Times New Roman"/>
          <w:noProof/>
        </w:rPr>
        <w:tab/>
        <w:t>“AANS - Minimally Invasive Spine Surgery MIS.” [Online]. Available: http://www.aans.org/patient information/conditions and treatments/minimally invasive spine surgery mis.aspx. [Accessed: 17-Nov-2015].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[12]</w:t>
      </w:r>
      <w:r w:rsidRPr="009407D0">
        <w:rPr>
          <w:rFonts w:ascii="Calibri" w:eastAsia="Times New Roman" w:hAnsi="Calibri" w:cs="Times New Roman"/>
          <w:noProof/>
        </w:rPr>
        <w:tab/>
        <w:t>“Endoscopic Nasal &amp; Sinus Surgery.” [Online]. Available: http://care.american-rhinologic.org/ess. [Accessed: 17-Nov-2015].</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eastAsia="Times New Roman" w:hAnsi="Calibri" w:cs="Times New Roman"/>
          <w:noProof/>
        </w:rPr>
      </w:pPr>
      <w:r w:rsidRPr="009407D0">
        <w:rPr>
          <w:rFonts w:ascii="Calibri" w:eastAsia="Times New Roman" w:hAnsi="Calibri" w:cs="Times New Roman"/>
          <w:noProof/>
        </w:rPr>
        <w:t>[13]</w:t>
      </w:r>
      <w:r w:rsidRPr="009407D0">
        <w:rPr>
          <w:rFonts w:ascii="Calibri" w:eastAsia="Times New Roman" w:hAnsi="Calibri" w:cs="Times New Roman"/>
          <w:noProof/>
        </w:rPr>
        <w:tab/>
        <w:t xml:space="preserve">A. L. James, “E n d o s c o p i c Mi d d l e E a r S u r g e r y in C h i l d ren,” </w:t>
      </w:r>
      <w:r w:rsidRPr="009407D0">
        <w:rPr>
          <w:rFonts w:ascii="Calibri" w:eastAsia="Times New Roman" w:hAnsi="Calibri" w:cs="Times New Roman"/>
          <w:i/>
          <w:iCs/>
          <w:noProof/>
        </w:rPr>
        <w:t>Otolaryngol. Clin. NA</w:t>
      </w:r>
      <w:r w:rsidRPr="009407D0">
        <w:rPr>
          <w:rFonts w:ascii="Calibri" w:eastAsia="Times New Roman" w:hAnsi="Calibri" w:cs="Times New Roman"/>
          <w:noProof/>
        </w:rPr>
        <w:t>, no. November, 2012.</w:t>
      </w:r>
    </w:p>
    <w:p w:rsidR="009407D0" w:rsidRPr="009407D0" w:rsidRDefault="009407D0" w:rsidP="00BE09C8">
      <w:pPr>
        <w:widowControl w:val="0"/>
        <w:autoSpaceDE w:val="0"/>
        <w:autoSpaceDN w:val="0"/>
        <w:adjustRightInd w:val="0"/>
        <w:spacing w:after="140" w:line="288" w:lineRule="auto"/>
        <w:jc w:val="both"/>
        <w:rPr>
          <w:rFonts w:ascii="Calibri" w:eastAsia="Times New Roman" w:hAnsi="Calibri" w:cs="Times New Roman"/>
          <w:noProof/>
        </w:rPr>
      </w:pPr>
    </w:p>
    <w:p w:rsidR="009407D0" w:rsidRPr="009407D0" w:rsidRDefault="009407D0" w:rsidP="00BE09C8">
      <w:pPr>
        <w:widowControl w:val="0"/>
        <w:autoSpaceDE w:val="0"/>
        <w:autoSpaceDN w:val="0"/>
        <w:adjustRightInd w:val="0"/>
        <w:ind w:left="640" w:hanging="640"/>
        <w:jc w:val="both"/>
        <w:rPr>
          <w:rFonts w:ascii="Calibri" w:hAnsi="Calibri"/>
          <w:noProof/>
        </w:rPr>
      </w:pPr>
      <w:r w:rsidRPr="009407D0">
        <w:rPr>
          <w:rFonts w:ascii="Calibri" w:eastAsia="Times New Roman" w:hAnsi="Calibri" w:cs="Times New Roman"/>
          <w:noProof/>
        </w:rPr>
        <w:t>[14]</w:t>
      </w:r>
      <w:r w:rsidRPr="009407D0">
        <w:rPr>
          <w:rFonts w:ascii="Calibri" w:eastAsia="Times New Roman" w:hAnsi="Calibri" w:cs="Times New Roman"/>
          <w:noProof/>
        </w:rPr>
        <w:tab/>
        <w:t>A. L. James, B. C. Papsin, and B. C. Papsin, “-- Head and Neck Surgery,” no. September, 2012.</w:t>
      </w:r>
    </w:p>
    <w:p w:rsidR="00765F73" w:rsidRPr="00FD3A3E" w:rsidRDefault="00740A2D" w:rsidP="00E86ADF">
      <w:pPr>
        <w:widowControl w:val="0"/>
        <w:autoSpaceDE w:val="0"/>
        <w:autoSpaceDN w:val="0"/>
        <w:adjustRightInd w:val="0"/>
        <w:spacing w:after="140" w:line="288" w:lineRule="auto"/>
        <w:jc w:val="both"/>
        <w:rPr>
          <w:rFonts w:cs="Times New Roman"/>
          <w:lang w:val="en-CA"/>
        </w:rPr>
      </w:pPr>
      <w:r w:rsidRPr="00FD3A3E">
        <w:rPr>
          <w:lang w:val="en-CA"/>
        </w:rPr>
        <w:fldChar w:fldCharType="end"/>
      </w:r>
    </w:p>
    <w:p w:rsidR="00444211" w:rsidRPr="00FD3A3E" w:rsidRDefault="00444211" w:rsidP="00BE09C8">
      <w:pPr>
        <w:jc w:val="both"/>
        <w:rPr>
          <w:lang w:val="en-CA"/>
        </w:rPr>
      </w:pPr>
    </w:p>
    <w:sectPr w:rsidR="00444211" w:rsidRPr="00FD3A3E" w:rsidSect="008D470F">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B8BFDF" w15:done="0"/>
  <w15:commentEx w15:paraId="71A5B0F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3927" w:rsidRDefault="00FF3927" w:rsidP="00E71D6E">
      <w:r>
        <w:separator/>
      </w:r>
    </w:p>
  </w:endnote>
  <w:endnote w:type="continuationSeparator" w:id="0">
    <w:p w:rsidR="00FF3927" w:rsidRDefault="00FF3927" w:rsidP="00E71D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3927" w:rsidRDefault="00FF3927" w:rsidP="00E71D6E">
      <w:r>
        <w:separator/>
      </w:r>
    </w:p>
  </w:footnote>
  <w:footnote w:type="continuationSeparator" w:id="0">
    <w:p w:rsidR="00FF3927" w:rsidRDefault="00FF3927" w:rsidP="00E71D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4D2B1A"/>
    <w:multiLevelType w:val="hybridMultilevel"/>
    <w:tmpl w:val="7CAA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777171"/>
    <w:multiLevelType w:val="hybridMultilevel"/>
    <w:tmpl w:val="42669676"/>
    <w:lvl w:ilvl="0" w:tplc="E236C00C">
      <w:start w:val="2"/>
      <w:numFmt w:val="bullet"/>
      <w:lvlText w:val="-"/>
      <w:lvlJc w:val="left"/>
      <w:pPr>
        <w:ind w:left="720" w:hanging="360"/>
      </w:pPr>
      <w:rPr>
        <w:rFonts w:ascii="Calibri" w:eastAsiaTheme="minorHAnsi" w:hAnsi="Calibri"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6539E7"/>
    <w:multiLevelType w:val="hybridMultilevel"/>
    <w:tmpl w:val="CC3484A2"/>
    <w:lvl w:ilvl="0" w:tplc="49B86E16">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6E1B8A"/>
    <w:multiLevelType w:val="hybridMultilevel"/>
    <w:tmpl w:val="1D384D74"/>
    <w:lvl w:ilvl="0" w:tplc="E006DF68">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273D8F"/>
    <w:multiLevelType w:val="hybridMultilevel"/>
    <w:tmpl w:val="C676498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F280D"/>
    <w:rsid w:val="00007381"/>
    <w:rsid w:val="00013531"/>
    <w:rsid w:val="0008705A"/>
    <w:rsid w:val="0009512C"/>
    <w:rsid w:val="00096F9A"/>
    <w:rsid w:val="000B7DC0"/>
    <w:rsid w:val="000E46CA"/>
    <w:rsid w:val="000F23B9"/>
    <w:rsid w:val="000F280D"/>
    <w:rsid w:val="001870F4"/>
    <w:rsid w:val="00191A8F"/>
    <w:rsid w:val="0019796B"/>
    <w:rsid w:val="001A0154"/>
    <w:rsid w:val="001C1934"/>
    <w:rsid w:val="001D44F6"/>
    <w:rsid w:val="002056F0"/>
    <w:rsid w:val="00212971"/>
    <w:rsid w:val="002229FF"/>
    <w:rsid w:val="002316D3"/>
    <w:rsid w:val="002A1389"/>
    <w:rsid w:val="002C0818"/>
    <w:rsid w:val="002C5D33"/>
    <w:rsid w:val="002C7C4F"/>
    <w:rsid w:val="002D56AE"/>
    <w:rsid w:val="00317837"/>
    <w:rsid w:val="00340D02"/>
    <w:rsid w:val="00363E11"/>
    <w:rsid w:val="003839A3"/>
    <w:rsid w:val="00392904"/>
    <w:rsid w:val="003C572A"/>
    <w:rsid w:val="003D34E2"/>
    <w:rsid w:val="003D79EE"/>
    <w:rsid w:val="00432116"/>
    <w:rsid w:val="00444211"/>
    <w:rsid w:val="00460061"/>
    <w:rsid w:val="004A0528"/>
    <w:rsid w:val="004F5B1B"/>
    <w:rsid w:val="00550CA8"/>
    <w:rsid w:val="005736ED"/>
    <w:rsid w:val="00585B07"/>
    <w:rsid w:val="00596912"/>
    <w:rsid w:val="005D14A9"/>
    <w:rsid w:val="00633A29"/>
    <w:rsid w:val="006A4781"/>
    <w:rsid w:val="006A6E6F"/>
    <w:rsid w:val="006C5C68"/>
    <w:rsid w:val="00712A28"/>
    <w:rsid w:val="00740A2D"/>
    <w:rsid w:val="00751E52"/>
    <w:rsid w:val="007610C8"/>
    <w:rsid w:val="00765F73"/>
    <w:rsid w:val="00793E37"/>
    <w:rsid w:val="007A3912"/>
    <w:rsid w:val="007A7B39"/>
    <w:rsid w:val="007C53AB"/>
    <w:rsid w:val="007C58EF"/>
    <w:rsid w:val="0080004F"/>
    <w:rsid w:val="0082571A"/>
    <w:rsid w:val="008500B0"/>
    <w:rsid w:val="008570B3"/>
    <w:rsid w:val="008D4245"/>
    <w:rsid w:val="008D470F"/>
    <w:rsid w:val="009053ED"/>
    <w:rsid w:val="00923946"/>
    <w:rsid w:val="00923D43"/>
    <w:rsid w:val="009407D0"/>
    <w:rsid w:val="00971F6E"/>
    <w:rsid w:val="009A412E"/>
    <w:rsid w:val="009B47F9"/>
    <w:rsid w:val="009F18E8"/>
    <w:rsid w:val="00A563B8"/>
    <w:rsid w:val="00A86E74"/>
    <w:rsid w:val="00AA3475"/>
    <w:rsid w:val="00AB5D37"/>
    <w:rsid w:val="00AB674B"/>
    <w:rsid w:val="00AE6BFC"/>
    <w:rsid w:val="00B437E2"/>
    <w:rsid w:val="00B46C52"/>
    <w:rsid w:val="00B67405"/>
    <w:rsid w:val="00BB32B7"/>
    <w:rsid w:val="00BE09C8"/>
    <w:rsid w:val="00C054B9"/>
    <w:rsid w:val="00C61AFB"/>
    <w:rsid w:val="00CA6971"/>
    <w:rsid w:val="00CB6EF7"/>
    <w:rsid w:val="00D016B6"/>
    <w:rsid w:val="00D328A1"/>
    <w:rsid w:val="00D52B15"/>
    <w:rsid w:val="00DA345D"/>
    <w:rsid w:val="00DA6183"/>
    <w:rsid w:val="00DA788E"/>
    <w:rsid w:val="00E13A27"/>
    <w:rsid w:val="00E417C3"/>
    <w:rsid w:val="00E556C7"/>
    <w:rsid w:val="00E71D6E"/>
    <w:rsid w:val="00E73B82"/>
    <w:rsid w:val="00E86ADF"/>
    <w:rsid w:val="00F43E32"/>
    <w:rsid w:val="00FD3A3E"/>
    <w:rsid w:val="00FF39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D6E"/>
    <w:pPr>
      <w:tabs>
        <w:tab w:val="center" w:pos="4680"/>
        <w:tab w:val="right" w:pos="9360"/>
      </w:tabs>
    </w:pPr>
  </w:style>
  <w:style w:type="character" w:customStyle="1" w:styleId="HeaderChar">
    <w:name w:val="Header Char"/>
    <w:basedOn w:val="DefaultParagraphFont"/>
    <w:link w:val="Header"/>
    <w:uiPriority w:val="99"/>
    <w:rsid w:val="00E71D6E"/>
  </w:style>
  <w:style w:type="paragraph" w:styleId="Footer">
    <w:name w:val="footer"/>
    <w:basedOn w:val="Normal"/>
    <w:link w:val="FooterChar"/>
    <w:uiPriority w:val="99"/>
    <w:unhideWhenUsed/>
    <w:rsid w:val="00E71D6E"/>
    <w:pPr>
      <w:tabs>
        <w:tab w:val="center" w:pos="4680"/>
        <w:tab w:val="right" w:pos="9360"/>
      </w:tabs>
    </w:pPr>
  </w:style>
  <w:style w:type="character" w:customStyle="1" w:styleId="FooterChar">
    <w:name w:val="Footer Char"/>
    <w:basedOn w:val="DefaultParagraphFont"/>
    <w:link w:val="Footer"/>
    <w:uiPriority w:val="99"/>
    <w:rsid w:val="00E71D6E"/>
  </w:style>
  <w:style w:type="paragraph" w:styleId="ListParagraph">
    <w:name w:val="List Paragraph"/>
    <w:basedOn w:val="Normal"/>
    <w:uiPriority w:val="34"/>
    <w:qFormat/>
    <w:rsid w:val="00A86E74"/>
    <w:pPr>
      <w:ind w:left="720"/>
      <w:contextualSpacing/>
    </w:pPr>
  </w:style>
  <w:style w:type="character" w:styleId="CommentReference">
    <w:name w:val="annotation reference"/>
    <w:basedOn w:val="DefaultParagraphFont"/>
    <w:uiPriority w:val="99"/>
    <w:semiHidden/>
    <w:unhideWhenUsed/>
    <w:rsid w:val="00AE6BFC"/>
    <w:rPr>
      <w:sz w:val="18"/>
      <w:szCs w:val="18"/>
    </w:rPr>
  </w:style>
  <w:style w:type="paragraph" w:styleId="CommentText">
    <w:name w:val="annotation text"/>
    <w:basedOn w:val="Normal"/>
    <w:link w:val="CommentTextChar"/>
    <w:uiPriority w:val="99"/>
    <w:semiHidden/>
    <w:unhideWhenUsed/>
    <w:rsid w:val="00AE6BFC"/>
  </w:style>
  <w:style w:type="character" w:customStyle="1" w:styleId="CommentTextChar">
    <w:name w:val="Comment Text Char"/>
    <w:basedOn w:val="DefaultParagraphFont"/>
    <w:link w:val="CommentText"/>
    <w:uiPriority w:val="99"/>
    <w:semiHidden/>
    <w:rsid w:val="00AE6BFC"/>
  </w:style>
  <w:style w:type="paragraph" w:styleId="CommentSubject">
    <w:name w:val="annotation subject"/>
    <w:basedOn w:val="CommentText"/>
    <w:next w:val="CommentText"/>
    <w:link w:val="CommentSubjectChar"/>
    <w:uiPriority w:val="99"/>
    <w:semiHidden/>
    <w:unhideWhenUsed/>
    <w:rsid w:val="00AE6BFC"/>
    <w:rPr>
      <w:b/>
      <w:bCs/>
      <w:sz w:val="20"/>
      <w:szCs w:val="20"/>
    </w:rPr>
  </w:style>
  <w:style w:type="character" w:customStyle="1" w:styleId="CommentSubjectChar">
    <w:name w:val="Comment Subject Char"/>
    <w:basedOn w:val="CommentTextChar"/>
    <w:link w:val="CommentSubject"/>
    <w:uiPriority w:val="99"/>
    <w:semiHidden/>
    <w:rsid w:val="00AE6BFC"/>
    <w:rPr>
      <w:b/>
      <w:bCs/>
      <w:sz w:val="20"/>
      <w:szCs w:val="20"/>
    </w:rPr>
  </w:style>
  <w:style w:type="paragraph" w:styleId="BalloonText">
    <w:name w:val="Balloon Text"/>
    <w:basedOn w:val="Normal"/>
    <w:link w:val="BalloonTextChar"/>
    <w:uiPriority w:val="99"/>
    <w:semiHidden/>
    <w:unhideWhenUsed/>
    <w:rsid w:val="00AE6B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E6BFC"/>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433AFE-1863-4245-A60B-F99A07C1B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5419</Words>
  <Characters>30893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36240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3</cp:revision>
  <dcterms:created xsi:type="dcterms:W3CDTF">2016-10-12T20:23:00Z</dcterms:created>
  <dcterms:modified xsi:type="dcterms:W3CDTF">2016-10-12T20:53:00Z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