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D5FBEF" w14:textId="77777777" w:rsidR="00032A7F" w:rsidRPr="00032A7F" w:rsidRDefault="00032A7F" w:rsidP="0049596C">
      <w:pPr>
        <w:spacing w:line="240" w:lineRule="auto"/>
        <w:jc w:val="center"/>
        <w:rPr>
          <w:rFonts w:ascii="Times New Roman" w:eastAsia="Times New Roman" w:hAnsi="Times New Roman" w:cs="Times New Roman"/>
          <w:b/>
          <w:color w:val="auto"/>
          <w:sz w:val="32"/>
          <w:szCs w:val="24"/>
        </w:rPr>
      </w:pPr>
      <w:r w:rsidRPr="00032A7F">
        <w:rPr>
          <w:rFonts w:eastAsia="Times New Roman"/>
          <w:b/>
          <w:sz w:val="32"/>
          <w:szCs w:val="24"/>
        </w:rPr>
        <w:t>Needs Analysis and Time Flow Study to Assess Endoscopic Ear Surgery</w:t>
      </w:r>
    </w:p>
    <w:p w14:paraId="272EDD7D"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Background:</w:t>
      </w:r>
    </w:p>
    <w:p w14:paraId="4BF3B9D5"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sidR="005B0170">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5B0170">
        <w:rPr>
          <w:rFonts w:eastAsia="Times New Roman"/>
          <w:sz w:val="24"/>
          <w:szCs w:val="24"/>
        </w:rPr>
        <w:fldChar w:fldCharType="separate"/>
      </w:r>
      <w:r w:rsidRPr="00032A7F">
        <w:rPr>
          <w:rFonts w:eastAsia="Times New Roman"/>
          <w:noProof/>
          <w:sz w:val="24"/>
          <w:szCs w:val="24"/>
        </w:rPr>
        <w:t>[1]</w:t>
      </w:r>
      <w:r w:rsidR="005B0170">
        <w:rPr>
          <w:rFonts w:eastAsia="Times New Roman"/>
          <w:sz w:val="24"/>
          <w:szCs w:val="24"/>
        </w:rPr>
        <w:fldChar w:fldCharType="end"/>
      </w:r>
      <w:r w:rsidRPr="00032A7F">
        <w:rPr>
          <w:rFonts w:eastAsia="Times New Roman"/>
          <w:sz w:val="24"/>
          <w:szCs w:val="24"/>
        </w:rPr>
        <w:t>. As with open microscope-guided surgery, this transcanal endoscopic ear surgery (TEES) technique, allows the surgeon to perform procedures such as ear drum reconstruction, skin growth removal and hearing bone repair</w:t>
      </w:r>
      <w:r>
        <w:rPr>
          <w:rFonts w:eastAsia="Times New Roman"/>
          <w:sz w:val="24"/>
          <w:szCs w:val="24"/>
        </w:rPr>
        <w:t xml:space="preserve"> </w:t>
      </w:r>
      <w:r w:rsidR="005B0170">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5B0170">
        <w:rPr>
          <w:rFonts w:eastAsia="Times New Roman"/>
          <w:sz w:val="24"/>
          <w:szCs w:val="24"/>
        </w:rPr>
        <w:fldChar w:fldCharType="separate"/>
      </w:r>
      <w:r w:rsidRPr="00032A7F">
        <w:rPr>
          <w:rFonts w:eastAsia="Times New Roman"/>
          <w:noProof/>
          <w:sz w:val="24"/>
          <w:szCs w:val="24"/>
        </w:rPr>
        <w:t>[1]</w:t>
      </w:r>
      <w:r w:rsidR="005B0170">
        <w:rPr>
          <w:rFonts w:eastAsia="Times New Roman"/>
          <w:sz w:val="24"/>
          <w:szCs w:val="24"/>
        </w:rPr>
        <w:fldChar w:fldCharType="end"/>
      </w:r>
      <w:r w:rsidRPr="00032A7F">
        <w:rPr>
          <w:rFonts w:eastAsia="Times New Roman"/>
          <w:sz w:val="24"/>
          <w:szCs w:val="24"/>
        </w:rPr>
        <w:t xml:space="preserve"> </w:t>
      </w:r>
      <w:r w:rsidR="005B0170">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sidR="005B0170">
        <w:rPr>
          <w:rFonts w:eastAsia="Times New Roman"/>
          <w:sz w:val="24"/>
          <w:szCs w:val="24"/>
        </w:rPr>
        <w:fldChar w:fldCharType="separate"/>
      </w:r>
      <w:r w:rsidRPr="00032A7F">
        <w:rPr>
          <w:rFonts w:eastAsia="Times New Roman"/>
          <w:noProof/>
          <w:sz w:val="24"/>
          <w:szCs w:val="24"/>
        </w:rPr>
        <w:t>[2]</w:t>
      </w:r>
      <w:r w:rsidR="005B0170">
        <w:rPr>
          <w:rFonts w:eastAsia="Times New Roman"/>
          <w:sz w:val="24"/>
          <w:szCs w:val="24"/>
        </w:rPr>
        <w:fldChar w:fldCharType="end"/>
      </w:r>
      <w:r>
        <w:rPr>
          <w:rFonts w:eastAsia="Times New Roman"/>
          <w:sz w:val="24"/>
          <w:szCs w:val="24"/>
        </w:rPr>
        <w:t xml:space="preserve"> </w:t>
      </w:r>
      <w:r w:rsidR="005B0170">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5B0170">
        <w:rPr>
          <w:rFonts w:eastAsia="Times New Roman"/>
          <w:sz w:val="24"/>
          <w:szCs w:val="24"/>
        </w:rPr>
        <w:fldChar w:fldCharType="separate"/>
      </w:r>
      <w:r w:rsidRPr="00032A7F">
        <w:rPr>
          <w:rFonts w:eastAsia="Times New Roman"/>
          <w:noProof/>
          <w:sz w:val="24"/>
          <w:szCs w:val="24"/>
        </w:rPr>
        <w:t>[3]</w:t>
      </w:r>
      <w:r w:rsidR="005B0170">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sidR="001F5D7C">
        <w:rPr>
          <w:rFonts w:eastAsia="Times New Roman"/>
          <w:sz w:val="24"/>
          <w:szCs w:val="24"/>
        </w:rPr>
        <w:t>cing postoperative morbidity</w:t>
      </w:r>
      <w:r w:rsidRPr="00032A7F">
        <w:rPr>
          <w:rFonts w:eastAsia="Times New Roman"/>
          <w:sz w:val="24"/>
          <w:szCs w:val="24"/>
        </w:rPr>
        <w:t>, improving visualisati</w:t>
      </w:r>
      <w:r w:rsidR="001F5D7C">
        <w:rPr>
          <w:rFonts w:eastAsia="Times New Roman"/>
          <w:sz w:val="24"/>
          <w:szCs w:val="24"/>
        </w:rPr>
        <w:t>on for disease eradication</w:t>
      </w:r>
      <w:r w:rsidRPr="00032A7F">
        <w:rPr>
          <w:rFonts w:eastAsia="Times New Roman"/>
          <w:sz w:val="24"/>
          <w:szCs w:val="24"/>
        </w:rPr>
        <w:t>, including reduction of the rat</w:t>
      </w:r>
      <w:r w:rsidR="001F5D7C">
        <w:rPr>
          <w:rFonts w:eastAsia="Times New Roman"/>
          <w:sz w:val="24"/>
          <w:szCs w:val="24"/>
        </w:rPr>
        <w:t>e of residual skin growth</w:t>
      </w:r>
      <w:r w:rsidRPr="00032A7F">
        <w:rPr>
          <w:rFonts w:eastAsia="Times New Roman"/>
          <w:sz w:val="24"/>
          <w:szCs w:val="24"/>
        </w:rPr>
        <w:t xml:space="preserve">, </w:t>
      </w:r>
      <w:commentRangeStart w:id="0"/>
      <w:r w:rsidRPr="00032A7F">
        <w:rPr>
          <w:rFonts w:eastAsia="Times New Roman"/>
          <w:sz w:val="24"/>
          <w:szCs w:val="24"/>
        </w:rPr>
        <w:t>and</w:t>
      </w:r>
      <w:commentRangeEnd w:id="0"/>
      <w:r w:rsidR="00B0683A">
        <w:rPr>
          <w:rStyle w:val="CommentReference"/>
        </w:rPr>
        <w:commentReference w:id="0"/>
      </w:r>
      <w:r w:rsidRPr="00032A7F">
        <w:rPr>
          <w:rFonts w:eastAsia="Times New Roman"/>
          <w:sz w:val="24"/>
          <w:szCs w:val="24"/>
        </w:rPr>
        <w:t xml:space="preserve"> improving hearing by facilitating he</w:t>
      </w:r>
      <w:r w:rsidR="001F5D7C">
        <w:rPr>
          <w:rFonts w:eastAsia="Times New Roman"/>
          <w:sz w:val="24"/>
          <w:szCs w:val="24"/>
        </w:rPr>
        <w:t>aring bone preservation</w:t>
      </w:r>
      <w:r>
        <w:rPr>
          <w:rFonts w:eastAsia="Times New Roman"/>
          <w:sz w:val="24"/>
          <w:szCs w:val="24"/>
        </w:rPr>
        <w:t xml:space="preserve"> </w:t>
      </w:r>
      <w:r w:rsidR="005B0170">
        <w:rPr>
          <w:rFonts w:eastAsia="Times New Roman"/>
          <w:sz w:val="24"/>
          <w:szCs w:val="24"/>
        </w:rPr>
        <w:fldChar w:fldCharType="begin" w:fldLock="1"/>
      </w:r>
      <w:r w:rsidR="001F5D7C">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5B0170">
        <w:rPr>
          <w:rFonts w:eastAsia="Times New Roman"/>
          <w:sz w:val="24"/>
          <w:szCs w:val="24"/>
        </w:rPr>
        <w:fldChar w:fldCharType="separate"/>
      </w:r>
      <w:r w:rsidRPr="00032A7F">
        <w:rPr>
          <w:rFonts w:eastAsia="Times New Roman"/>
          <w:noProof/>
          <w:sz w:val="24"/>
          <w:szCs w:val="24"/>
        </w:rPr>
        <w:t>[4]</w:t>
      </w:r>
      <w:r w:rsidR="005B0170">
        <w:rPr>
          <w:rFonts w:eastAsia="Times New Roman"/>
          <w:sz w:val="24"/>
          <w:szCs w:val="24"/>
        </w:rPr>
        <w:fldChar w:fldCharType="end"/>
      </w:r>
      <w:r>
        <w:rPr>
          <w:rFonts w:eastAsia="Times New Roman"/>
          <w:sz w:val="24"/>
          <w:szCs w:val="24"/>
        </w:rPr>
        <w:t xml:space="preserve"> </w:t>
      </w:r>
      <w:r w:rsidR="005B0170">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5B0170">
        <w:rPr>
          <w:rFonts w:eastAsia="Times New Roman"/>
          <w:sz w:val="24"/>
          <w:szCs w:val="24"/>
        </w:rPr>
        <w:fldChar w:fldCharType="separate"/>
      </w:r>
      <w:r w:rsidR="001F5D7C" w:rsidRPr="001F5D7C">
        <w:rPr>
          <w:rFonts w:eastAsia="Times New Roman"/>
          <w:noProof/>
          <w:sz w:val="24"/>
          <w:szCs w:val="24"/>
        </w:rPr>
        <w:t>[5]</w:t>
      </w:r>
      <w:r w:rsidR="005B0170">
        <w:rPr>
          <w:rFonts w:eastAsia="Times New Roman"/>
          <w:sz w:val="24"/>
          <w:szCs w:val="24"/>
        </w:rPr>
        <w:fldChar w:fldCharType="end"/>
      </w:r>
      <w:r w:rsidR="001F5D7C">
        <w:rPr>
          <w:rFonts w:eastAsia="Times New Roman"/>
          <w:sz w:val="24"/>
          <w:szCs w:val="24"/>
        </w:rPr>
        <w:t xml:space="preserve"> </w:t>
      </w:r>
      <w:r w:rsidR="005B0170">
        <w:rPr>
          <w:rFonts w:eastAsia="Times New Roman"/>
          <w:sz w:val="24"/>
          <w:szCs w:val="24"/>
        </w:rPr>
        <w:fldChar w:fldCharType="begin" w:fldLock="1"/>
      </w:r>
      <w:r w:rsidR="001F5D7C">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5B0170">
        <w:rPr>
          <w:rFonts w:eastAsia="Times New Roman"/>
          <w:sz w:val="24"/>
          <w:szCs w:val="24"/>
        </w:rPr>
        <w:fldChar w:fldCharType="separate"/>
      </w:r>
      <w:r w:rsidR="001F5D7C" w:rsidRPr="001F5D7C">
        <w:rPr>
          <w:rFonts w:eastAsia="Times New Roman"/>
          <w:noProof/>
          <w:sz w:val="24"/>
          <w:szCs w:val="24"/>
        </w:rPr>
        <w:t>[6]</w:t>
      </w:r>
      <w:r w:rsidR="005B0170">
        <w:rPr>
          <w:rFonts w:eastAsia="Times New Roman"/>
          <w:sz w:val="24"/>
          <w:szCs w:val="24"/>
        </w:rPr>
        <w:fldChar w:fldCharType="end"/>
      </w:r>
      <w:r w:rsidRPr="00032A7F">
        <w:rPr>
          <w:rFonts w:eastAsia="Times New Roman"/>
          <w:sz w:val="24"/>
          <w:szCs w:val="24"/>
        </w:rPr>
        <w:t>.</w:t>
      </w:r>
    </w:p>
    <w:p w14:paraId="602D0DC6"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Despite the enthusiasm of some ear surgeons (otologists), endoscopic ear surgery has not as yet been accepted by all practicing otologists </w:t>
      </w:r>
      <w:r w:rsidR="005B0170">
        <w:rPr>
          <w:rFonts w:eastAsia="Times New Roman"/>
          <w:sz w:val="24"/>
          <w:szCs w:val="24"/>
        </w:rPr>
        <w:fldChar w:fldCharType="begin" w:fldLock="1"/>
      </w:r>
      <w:r w:rsidR="001F5D7C">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5B0170">
        <w:rPr>
          <w:rFonts w:eastAsia="Times New Roman"/>
          <w:sz w:val="24"/>
          <w:szCs w:val="24"/>
        </w:rPr>
        <w:fldChar w:fldCharType="separate"/>
      </w:r>
      <w:r w:rsidR="001F5D7C" w:rsidRPr="001F5D7C">
        <w:rPr>
          <w:rFonts w:eastAsia="Times New Roman"/>
          <w:noProof/>
          <w:sz w:val="24"/>
          <w:szCs w:val="24"/>
        </w:rPr>
        <w:t>[7]</w:t>
      </w:r>
      <w:r w:rsidR="005B0170">
        <w:rPr>
          <w:rFonts w:eastAsia="Times New Roman"/>
          <w:sz w:val="24"/>
          <w:szCs w:val="24"/>
        </w:rPr>
        <w:fldChar w:fldCharType="end"/>
      </w:r>
      <w:r w:rsidR="001F5D7C">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Otologic instruments were developed for two-handed microscope-guided surgery so they are not optimized for the TEES</w:t>
      </w:r>
      <w:r w:rsidR="001F5D7C">
        <w:rPr>
          <w:rFonts w:eastAsia="Times New Roman"/>
          <w:sz w:val="24"/>
          <w:szCs w:val="24"/>
        </w:rPr>
        <w:t xml:space="preserve"> environment</w:t>
      </w:r>
      <w:r w:rsidRPr="00032A7F">
        <w:rPr>
          <w:rFonts w:eastAsia="Times New Roman"/>
          <w:sz w:val="24"/>
          <w:szCs w:val="24"/>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endoscopically </w:t>
      </w:r>
      <w:r w:rsidR="005B0170">
        <w:rPr>
          <w:rFonts w:eastAsia="Times New Roman"/>
          <w:sz w:val="24"/>
          <w:szCs w:val="24"/>
        </w:rPr>
        <w:fldChar w:fldCharType="begin" w:fldLock="1"/>
      </w:r>
      <w:r w:rsidR="001F5D7C">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5B0170">
        <w:rPr>
          <w:rFonts w:eastAsia="Times New Roman"/>
          <w:sz w:val="24"/>
          <w:szCs w:val="24"/>
        </w:rPr>
        <w:fldChar w:fldCharType="separate"/>
      </w:r>
      <w:r w:rsidR="001F5D7C" w:rsidRPr="00032A7F">
        <w:rPr>
          <w:rFonts w:eastAsia="Times New Roman"/>
          <w:noProof/>
          <w:sz w:val="24"/>
          <w:szCs w:val="24"/>
        </w:rPr>
        <w:t>[1]</w:t>
      </w:r>
      <w:r w:rsidR="005B0170">
        <w:rPr>
          <w:rFonts w:eastAsia="Times New Roman"/>
          <w:sz w:val="24"/>
          <w:szCs w:val="24"/>
        </w:rPr>
        <w:fldChar w:fldCharType="end"/>
      </w:r>
      <w:r w:rsidR="001F5D7C">
        <w:rPr>
          <w:rFonts w:eastAsia="Times New Roman"/>
          <w:sz w:val="24"/>
          <w:szCs w:val="24"/>
        </w:rPr>
        <w:t xml:space="preserve"> </w:t>
      </w:r>
      <w:r w:rsidR="005B0170">
        <w:rPr>
          <w:rFonts w:eastAsia="Times New Roman"/>
          <w:sz w:val="24"/>
          <w:szCs w:val="24"/>
        </w:rPr>
        <w:fldChar w:fldCharType="begin" w:fldLock="1"/>
      </w:r>
      <w:r w:rsidR="001F5D7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5B0170">
        <w:rPr>
          <w:rFonts w:eastAsia="Times New Roman"/>
          <w:sz w:val="24"/>
          <w:szCs w:val="24"/>
        </w:rPr>
        <w:fldChar w:fldCharType="separate"/>
      </w:r>
      <w:r w:rsidR="001F5D7C" w:rsidRPr="00032A7F">
        <w:rPr>
          <w:rFonts w:eastAsia="Times New Roman"/>
          <w:noProof/>
          <w:sz w:val="24"/>
          <w:szCs w:val="24"/>
        </w:rPr>
        <w:t>[3]</w:t>
      </w:r>
      <w:r w:rsidR="005B0170">
        <w:rPr>
          <w:rFonts w:eastAsia="Times New Roman"/>
          <w:sz w:val="24"/>
          <w:szCs w:val="24"/>
        </w:rPr>
        <w:fldChar w:fldCharType="end"/>
      </w:r>
      <w:r w:rsidR="001F5D7C" w:rsidRPr="00032A7F">
        <w:rPr>
          <w:rFonts w:eastAsia="Times New Roman"/>
          <w:sz w:val="24"/>
          <w:szCs w:val="24"/>
        </w:rPr>
        <w:t xml:space="preserve"> </w:t>
      </w:r>
      <w:r w:rsidR="005B0170">
        <w:rPr>
          <w:rFonts w:eastAsia="Times New Roman"/>
          <w:sz w:val="24"/>
          <w:szCs w:val="24"/>
        </w:rPr>
        <w:fldChar w:fldCharType="begin" w:fldLock="1"/>
      </w:r>
      <w:r w:rsidR="001F5D7C">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sidR="005B0170">
        <w:rPr>
          <w:rFonts w:eastAsia="Times New Roman"/>
          <w:sz w:val="24"/>
          <w:szCs w:val="24"/>
        </w:rPr>
        <w:fldChar w:fldCharType="separate"/>
      </w:r>
      <w:r w:rsidR="001F5D7C" w:rsidRPr="001F5D7C">
        <w:rPr>
          <w:rFonts w:eastAsia="Times New Roman"/>
          <w:noProof/>
          <w:sz w:val="24"/>
          <w:szCs w:val="24"/>
        </w:rPr>
        <w:t>[8]</w:t>
      </w:r>
      <w:r w:rsidR="005B0170">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5B0170">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sidR="005B0170">
        <w:rPr>
          <w:rFonts w:eastAsia="Times New Roman"/>
          <w:sz w:val="24"/>
          <w:szCs w:val="24"/>
        </w:rPr>
        <w:fldChar w:fldCharType="separate"/>
      </w:r>
      <w:r w:rsidR="001F5D7C" w:rsidRPr="001F5D7C">
        <w:rPr>
          <w:rFonts w:eastAsia="Times New Roman"/>
          <w:noProof/>
          <w:sz w:val="24"/>
          <w:szCs w:val="24"/>
        </w:rPr>
        <w:t>[9]</w:t>
      </w:r>
      <w:r w:rsidR="005B0170">
        <w:rPr>
          <w:rFonts w:eastAsia="Times New Roman"/>
          <w:sz w:val="24"/>
          <w:szCs w:val="24"/>
        </w:rPr>
        <w:fldChar w:fldCharType="end"/>
      </w:r>
      <w:r w:rsidRPr="00032A7F">
        <w:rPr>
          <w:rFonts w:eastAsia="Times New Roman"/>
          <w:sz w:val="24"/>
          <w:szCs w:val="24"/>
        </w:rPr>
        <w:t>. There is a knowledge gap in the literature where it is not reported exactly why surgeons have not adopted the technique, and what technological and/or training advances would encourage greater adoption. I</w:t>
      </w:r>
      <w:r w:rsidR="001F5D7C">
        <w:rPr>
          <w:rFonts w:eastAsia="Times New Roman"/>
          <w:sz w:val="24"/>
          <w:szCs w:val="24"/>
        </w:rPr>
        <w:t xml:space="preserve">t is proposed that in order to </w:t>
      </w:r>
      <w:r w:rsidRPr="00032A7F">
        <w:rPr>
          <w:rFonts w:eastAsia="Times New Roman"/>
          <w:sz w:val="24"/>
          <w:szCs w:val="24"/>
        </w:rPr>
        <w:t>improve the adoption of TEES, the needs of surgeons and current limitations of tools must be determined.</w:t>
      </w:r>
    </w:p>
    <w:p w14:paraId="3B764643"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Objectives and Hypothesis:</w:t>
      </w:r>
    </w:p>
    <w:p w14:paraId="4372504E"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Objectives:</w:t>
      </w:r>
    </w:p>
    <w:p w14:paraId="137FA39E"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In order to increase the use of TEES, the following will be investigated: a) the reason for surgeons not adopting TEES and b) limitations of existing tools. This will aim to understand why TEES is not widely adopted by otologists and how its adoption can be improved.</w:t>
      </w:r>
    </w:p>
    <w:p w14:paraId="22B4B1BA"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Hypothesis</w:t>
      </w:r>
      <w:r w:rsidRPr="00032A7F">
        <w:rPr>
          <w:rFonts w:eastAsia="Times New Roman"/>
          <w:sz w:val="24"/>
          <w:szCs w:val="24"/>
        </w:rPr>
        <w:t>:</w:t>
      </w:r>
    </w:p>
    <w:p w14:paraId="0912F16F"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TEES is recognized for its potential and the investigators hypothesize that by conducting a needs analysis survey and a surgical time flow analysis, current limitations of TEES will be </w:t>
      </w:r>
      <w:del w:id="2" w:author="Arushri Swarup" w:date="2016-11-17T11:07:00Z">
        <w:r w:rsidRPr="00032A7F" w:rsidDel="00CA2923">
          <w:rPr>
            <w:rFonts w:eastAsia="Times New Roman"/>
            <w:sz w:val="24"/>
            <w:szCs w:val="24"/>
          </w:rPr>
          <w:delText xml:space="preserve">developed </w:delText>
        </w:r>
      </w:del>
      <w:ins w:id="3" w:author="Arushri Swarup" w:date="2016-11-17T11:07:00Z">
        <w:r w:rsidR="00CA2923">
          <w:rPr>
            <w:rFonts w:eastAsia="Times New Roman"/>
            <w:sz w:val="24"/>
            <w:szCs w:val="24"/>
          </w:rPr>
          <w:t>i</w:t>
        </w:r>
      </w:ins>
      <w:ins w:id="4" w:author="Arushri Swarup" w:date="2016-11-17T11:08:00Z">
        <w:r w:rsidR="00CA2923">
          <w:rPr>
            <w:rFonts w:eastAsia="Times New Roman"/>
            <w:sz w:val="24"/>
            <w:szCs w:val="24"/>
          </w:rPr>
          <w:t>dentified</w:t>
        </w:r>
      </w:ins>
      <w:ins w:id="5" w:author="Arushri Swarup" w:date="2016-11-17T11:07:00Z">
        <w:r w:rsidR="00CA2923" w:rsidRPr="00032A7F">
          <w:rPr>
            <w:rFonts w:eastAsia="Times New Roman"/>
            <w:sz w:val="24"/>
            <w:szCs w:val="24"/>
          </w:rPr>
          <w:t xml:space="preserve"> </w:t>
        </w:r>
      </w:ins>
      <w:r w:rsidRPr="00032A7F">
        <w:rPr>
          <w:rFonts w:eastAsia="Times New Roman"/>
          <w:sz w:val="24"/>
          <w:szCs w:val="24"/>
        </w:rPr>
        <w:t>to develop criteria to improve the adoption of TEES.</w:t>
      </w:r>
    </w:p>
    <w:p w14:paraId="36C4E007"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lastRenderedPageBreak/>
        <w:t>Overview of Methodology:</w:t>
      </w:r>
    </w:p>
    <w:p w14:paraId="39D348EE"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protocol for this study forms part of a larger project aiming to develop improved instrumentation for endoscopic ear surgery. This study has two parts: (1) a needs assessment and (2) a time flow study.</w:t>
      </w:r>
    </w:p>
    <w:p w14:paraId="79A1AAE0"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1. Needs Assessment</w:t>
      </w:r>
    </w:p>
    <w:p w14:paraId="4A253A1A"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first part of this study aims to understand why TEES is not widely adopted by otologists and what technological advances would allow more frequent and broader use of TEES. A needs assessment survey will be conducted, using the two-round Delphi method, that examines the current limitations of surgical instruments used in TEES. Information from interviews with local otologists will be used to generate a questionnaire that will be disseminated to otologists globally. These results will help guide development of new instrumentation to facilitate TEES.</w:t>
      </w:r>
    </w:p>
    <w:p w14:paraId="1132D27D"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p>
    <w:p w14:paraId="65C1AD1F"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2. Time Flow Study</w:t>
      </w:r>
    </w:p>
    <w:p w14:paraId="521B6271"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As well, independent of the needs analysis, a time flow </w:t>
      </w:r>
      <w:del w:id="6" w:author="Arushri Swarup" w:date="2016-11-17T11:09:00Z">
        <w:r w:rsidRPr="00032A7F" w:rsidDel="0058683C">
          <w:rPr>
            <w:rFonts w:eastAsia="Times New Roman"/>
            <w:sz w:val="24"/>
            <w:szCs w:val="24"/>
          </w:rPr>
          <w:delText>analysis</w:delText>
        </w:r>
      </w:del>
      <w:ins w:id="7" w:author="Arushri Swarup" w:date="2016-11-17T11:09:00Z">
        <w:r w:rsidR="0058683C">
          <w:rPr>
            <w:rFonts w:eastAsia="Times New Roman"/>
            <w:sz w:val="24"/>
            <w:szCs w:val="24"/>
          </w:rPr>
          <w:t>study</w:t>
        </w:r>
      </w:ins>
      <w:r w:rsidRPr="00032A7F">
        <w:rPr>
          <w:rFonts w:eastAsia="Times New Roman"/>
          <w:sz w:val="24"/>
          <w:szCs w:val="24"/>
        </w:rPr>
        <w:t>, recording the duration of surgical steps, will be conducted to quantify the limitations of the current instruments used in TEES, by assessing their efficiency.</w:t>
      </w:r>
    </w:p>
    <w:p w14:paraId="7F9C5D44"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Methods and Analysis:</w:t>
      </w:r>
    </w:p>
    <w:p w14:paraId="2CB30033"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1: Needs Assessment Survey:</w:t>
      </w:r>
    </w:p>
    <w:p w14:paraId="6A1B802A"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Surveys are widely used to gain information regarding a specific topic by consulting a wide variety of experts in the field. They have been used to assess the challenges of endoscopic neurosurgery in Britain and the current status of endoscopic ear surgery in Canada</w:t>
      </w:r>
      <w:r w:rsidR="003B638C">
        <w:rPr>
          <w:rFonts w:eastAsia="Times New Roman"/>
          <w:sz w:val="24"/>
          <w:szCs w:val="24"/>
        </w:rPr>
        <w:t xml:space="preserve">  </w:t>
      </w:r>
      <w:r w:rsidR="005B0170">
        <w:rPr>
          <w:rFonts w:eastAsia="Times New Roman"/>
          <w:sz w:val="24"/>
          <w:szCs w:val="24"/>
        </w:rPr>
        <w:fldChar w:fldCharType="begin" w:fldLock="1"/>
      </w:r>
      <w:r w:rsidR="003B638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5B0170">
        <w:rPr>
          <w:rFonts w:eastAsia="Times New Roman"/>
          <w:sz w:val="24"/>
          <w:szCs w:val="24"/>
        </w:rPr>
        <w:fldChar w:fldCharType="separate"/>
      </w:r>
      <w:r w:rsidR="003B638C" w:rsidRPr="00032A7F">
        <w:rPr>
          <w:rFonts w:eastAsia="Times New Roman"/>
          <w:noProof/>
          <w:sz w:val="24"/>
          <w:szCs w:val="24"/>
        </w:rPr>
        <w:t>[3]</w:t>
      </w:r>
      <w:r w:rsidR="005B0170">
        <w:rPr>
          <w:rFonts w:eastAsia="Times New Roman"/>
          <w:sz w:val="24"/>
          <w:szCs w:val="24"/>
        </w:rPr>
        <w:fldChar w:fldCharType="end"/>
      </w:r>
      <w:r w:rsidRPr="00032A7F">
        <w:rPr>
          <w:rFonts w:eastAsia="Times New Roman"/>
          <w:sz w:val="24"/>
          <w:szCs w:val="24"/>
        </w:rPr>
        <w:t xml:space="preserve"> </w:t>
      </w:r>
      <w:r w:rsidR="005B0170">
        <w:rPr>
          <w:rFonts w:eastAsia="Times New Roman"/>
          <w:sz w:val="24"/>
          <w:szCs w:val="24"/>
        </w:rPr>
        <w:fldChar w:fldCharType="begin" w:fldLock="1"/>
      </w:r>
      <w:r w:rsidR="003B638C">
        <w:rPr>
          <w:rFonts w:eastAsia="Times New Roman"/>
          <w:sz w:val="24"/>
          <w:szCs w:val="24"/>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"[10]" }, "properties" : { "noteIndex" : 0 }, "schema" : "https://github.com/citation-style-language/schema/raw/master/csl-citation.json" }</w:instrText>
      </w:r>
      <w:r w:rsidR="005B0170">
        <w:rPr>
          <w:rFonts w:eastAsia="Times New Roman"/>
          <w:sz w:val="24"/>
          <w:szCs w:val="24"/>
        </w:rPr>
        <w:fldChar w:fldCharType="separate"/>
      </w:r>
      <w:r w:rsidR="001F5D7C" w:rsidRPr="001F5D7C">
        <w:rPr>
          <w:rFonts w:eastAsia="Times New Roman"/>
          <w:noProof/>
          <w:sz w:val="24"/>
          <w:szCs w:val="24"/>
        </w:rPr>
        <w:t>[10]</w:t>
      </w:r>
      <w:r w:rsidR="005B0170">
        <w:rPr>
          <w:rFonts w:eastAsia="Times New Roman"/>
          <w:sz w:val="24"/>
          <w:szCs w:val="24"/>
        </w:rPr>
        <w:fldChar w:fldCharType="end"/>
      </w:r>
      <w:r w:rsidRPr="00032A7F">
        <w:rPr>
          <w:rFonts w:eastAsia="Times New Roman"/>
          <w:sz w:val="24"/>
          <w:szCs w:val="24"/>
        </w:rPr>
        <w:t>.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w:t>
      </w:r>
      <w:r w:rsidR="003B638C">
        <w:rPr>
          <w:rFonts w:eastAsia="Times New Roman"/>
          <w:sz w:val="24"/>
          <w:szCs w:val="24"/>
        </w:rPr>
        <w:t xml:space="preserve"> </w:t>
      </w:r>
      <w:r w:rsidR="005B0170">
        <w:rPr>
          <w:rFonts w:eastAsia="Times New Roman"/>
          <w:sz w:val="24"/>
          <w:szCs w:val="24"/>
        </w:rPr>
        <w:fldChar w:fldCharType="begin" w:fldLock="1"/>
      </w:r>
      <w:r w:rsidR="003B638C">
        <w:rPr>
          <w:rFonts w:eastAsia="Times New Roman"/>
          <w:sz w:val="24"/>
          <w:szCs w:val="24"/>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"[11]", "plainTextFormattedCitation" : "[11]", "previouslyFormattedCitation" : "[11]" }, "properties" : { "noteIndex" : 0 }, "schema" : "https://github.com/citation-style-language/schema/raw/master/csl-citation.json" }</w:instrText>
      </w:r>
      <w:r w:rsidR="005B0170">
        <w:rPr>
          <w:rFonts w:eastAsia="Times New Roman"/>
          <w:sz w:val="24"/>
          <w:szCs w:val="24"/>
        </w:rPr>
        <w:fldChar w:fldCharType="separate"/>
      </w:r>
      <w:r w:rsidR="003B638C" w:rsidRPr="003B638C">
        <w:rPr>
          <w:rFonts w:eastAsia="Times New Roman"/>
          <w:noProof/>
          <w:sz w:val="24"/>
          <w:szCs w:val="24"/>
        </w:rPr>
        <w:t>[11]</w:t>
      </w:r>
      <w:r w:rsidR="005B0170">
        <w:rPr>
          <w:rFonts w:eastAsia="Times New Roman"/>
          <w:sz w:val="24"/>
          <w:szCs w:val="24"/>
        </w:rPr>
        <w:fldChar w:fldCharType="end"/>
      </w:r>
      <w:r w:rsidR="003B638C">
        <w:rPr>
          <w:rFonts w:eastAsia="Times New Roman"/>
          <w:sz w:val="24"/>
          <w:szCs w:val="24"/>
        </w:rPr>
        <w:t xml:space="preserve"> </w:t>
      </w:r>
      <w:r w:rsidR="005B0170">
        <w:rPr>
          <w:rFonts w:eastAsia="Times New Roman"/>
          <w:sz w:val="24"/>
          <w:szCs w:val="24"/>
        </w:rPr>
        <w:fldChar w:fldCharType="begin" w:fldLock="1"/>
      </w:r>
      <w:r w:rsidR="003B638C">
        <w:rPr>
          <w:rFonts w:eastAsia="Times New Roman"/>
          <w:sz w:val="24"/>
          <w:szCs w:val="24"/>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005B0170">
        <w:rPr>
          <w:rFonts w:eastAsia="Times New Roman"/>
          <w:sz w:val="24"/>
          <w:szCs w:val="24"/>
        </w:rPr>
        <w:fldChar w:fldCharType="separate"/>
      </w:r>
      <w:r w:rsidR="003B638C" w:rsidRPr="003B638C">
        <w:rPr>
          <w:rFonts w:eastAsia="Times New Roman"/>
          <w:noProof/>
          <w:sz w:val="24"/>
          <w:szCs w:val="24"/>
        </w:rPr>
        <w:t>[12]</w:t>
      </w:r>
      <w:r w:rsidR="005B0170">
        <w:rPr>
          <w:rFonts w:eastAsia="Times New Roman"/>
          <w:sz w:val="24"/>
          <w:szCs w:val="24"/>
        </w:rPr>
        <w:fldChar w:fldCharType="end"/>
      </w:r>
      <w:r w:rsidR="003B638C">
        <w:rPr>
          <w:rFonts w:eastAsia="Times New Roman"/>
          <w:sz w:val="24"/>
          <w:szCs w:val="24"/>
        </w:rPr>
        <w:t xml:space="preserve"> </w:t>
      </w:r>
      <w:r w:rsidR="005B0170">
        <w:rPr>
          <w:rFonts w:eastAsia="Times New Roman"/>
          <w:sz w:val="24"/>
          <w:szCs w:val="24"/>
        </w:rPr>
        <w:fldChar w:fldCharType="begin" w:fldLock="1"/>
      </w:r>
      <w:r w:rsidR="00E46C56">
        <w:rPr>
          <w:rFonts w:eastAsia="Times New Roman"/>
          <w:sz w:val="24"/>
          <w:szCs w:val="24"/>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"[13]" }, "properties" : { "noteIndex" : 0 }, "schema" : "https://github.com/citation-style-language/schema/raw/master/csl-citation.json" }</w:instrText>
      </w:r>
      <w:r w:rsidR="005B0170">
        <w:rPr>
          <w:rFonts w:eastAsia="Times New Roman"/>
          <w:sz w:val="24"/>
          <w:szCs w:val="24"/>
        </w:rPr>
        <w:fldChar w:fldCharType="separate"/>
      </w:r>
      <w:r w:rsidR="003B638C" w:rsidRPr="003B638C">
        <w:rPr>
          <w:rFonts w:eastAsia="Times New Roman"/>
          <w:noProof/>
          <w:sz w:val="24"/>
          <w:szCs w:val="24"/>
        </w:rPr>
        <w:t>[13]</w:t>
      </w:r>
      <w:r w:rsidR="005B0170">
        <w:rPr>
          <w:rFonts w:eastAsia="Times New Roman"/>
          <w:sz w:val="24"/>
          <w:szCs w:val="24"/>
        </w:rPr>
        <w:fldChar w:fldCharType="end"/>
      </w:r>
      <w:r w:rsidRPr="00032A7F">
        <w:rPr>
          <w:rFonts w:eastAsia="Times New Roman"/>
          <w:sz w:val="24"/>
          <w:szCs w:val="24"/>
        </w:rPr>
        <w:t>.</w:t>
      </w:r>
    </w:p>
    <w:p w14:paraId="3C10AAB8"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 qualitative assessment of the challenges in endoscopic ear surgery caused by limitations in current instrumentation will be completed by performing an online survey of surgeons </w:t>
      </w:r>
      <w:del w:id="8" w:author="Arushri Swarup" w:date="2016-11-17T11:10:00Z">
        <w:r w:rsidRPr="00032A7F" w:rsidDel="0058683C">
          <w:rPr>
            <w:rFonts w:eastAsia="Times New Roman"/>
            <w:sz w:val="24"/>
            <w:szCs w:val="24"/>
          </w:rPr>
          <w:delText xml:space="preserve">that </w:delText>
        </w:r>
      </w:del>
      <w:ins w:id="9" w:author="Arushri Swarup" w:date="2016-11-17T11:10:00Z">
        <w:r w:rsidR="0058683C">
          <w:rPr>
            <w:rFonts w:eastAsia="Times New Roman"/>
            <w:sz w:val="24"/>
            <w:szCs w:val="24"/>
          </w:rPr>
          <w:t>who</w:t>
        </w:r>
        <w:r w:rsidR="0058683C" w:rsidRPr="00032A7F">
          <w:rPr>
            <w:rFonts w:eastAsia="Times New Roman"/>
            <w:sz w:val="24"/>
            <w:szCs w:val="24"/>
          </w:rPr>
          <w:t xml:space="preserve"> </w:t>
        </w:r>
      </w:ins>
      <w:r w:rsidRPr="00032A7F">
        <w:rPr>
          <w:rFonts w:eastAsia="Times New Roman"/>
          <w:sz w:val="24"/>
          <w:szCs w:val="24"/>
        </w:rPr>
        <w:t xml:space="preserve">perform endoscopic ear surgery. The Delphi method will be followed to analyze the qualitative results of the survey. </w:t>
      </w:r>
    </w:p>
    <w:p w14:paraId="6672180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Preliminary interviews of local otolaryngologists, with varied experience in TEES within the University of Toronto, will be conducted by an IBBME MASc student (</w:t>
      </w:r>
      <w:r w:rsidR="00E46C56">
        <w:rPr>
          <w:rFonts w:eastAsia="Times New Roman"/>
          <w:sz w:val="24"/>
          <w:szCs w:val="24"/>
        </w:rPr>
        <w:t>Arushri</w:t>
      </w:r>
      <w:r w:rsidRPr="00032A7F">
        <w:rPr>
          <w:rFonts w:eastAsia="Times New Roman"/>
          <w:sz w:val="24"/>
          <w:szCs w:val="24"/>
        </w:rPr>
        <w:t xml:space="preserve"> Swarup). Questions will ask for comments on factors that have prevented otologists from using endoscopes in ear surgery, and for comments on the perceived strengths and weaknesses of currently available instruments for endoscopic ear surgery. Their opinions will be de-identified and collated to develop a list of requirements for improvements in instrument design. In order to determine the relative priority of these </w:t>
      </w:r>
      <w:r w:rsidRPr="00032A7F">
        <w:rPr>
          <w:rFonts w:eastAsia="Times New Roman"/>
          <w:sz w:val="24"/>
          <w:szCs w:val="24"/>
        </w:rPr>
        <w:lastRenderedPageBreak/>
        <w:t xml:space="preserve">requirements, a </w:t>
      </w:r>
      <w:commentRangeStart w:id="10"/>
      <w:r w:rsidRPr="00032A7F">
        <w:rPr>
          <w:rFonts w:eastAsia="Times New Roman"/>
          <w:sz w:val="24"/>
          <w:szCs w:val="24"/>
        </w:rPr>
        <w:t xml:space="preserve">pilot questionnaire will </w:t>
      </w:r>
      <w:commentRangeEnd w:id="10"/>
      <w:r w:rsidR="0058683C">
        <w:rPr>
          <w:rStyle w:val="CommentReference"/>
        </w:rPr>
        <w:commentReference w:id="10"/>
      </w:r>
      <w:r w:rsidRPr="00032A7F">
        <w:rPr>
          <w:rFonts w:eastAsia="Times New Roman"/>
          <w:sz w:val="24"/>
          <w:szCs w:val="24"/>
        </w:rPr>
        <w:t>be developed to ask a wider group of otologists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otologists’ opinions. This will attempt to develop a consensus on priorities for improvements in TEES instrumentation.</w:t>
      </w:r>
    </w:p>
    <w:p w14:paraId="4211A84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14:paraId="3A727C4C"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participants are otologists who will be invited to participate by email. The email addresses will be obtained in two ways:</w:t>
      </w:r>
    </w:p>
    <w:p w14:paraId="55173FC8"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1. Publicly available information, as many ear surgeons list their email on their hospital website.</w:t>
      </w:r>
    </w:p>
    <w:p w14:paraId="77F6C321"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2. The mailing list of otological societies. Online surveys of surgical practice are frequently distributed by such societies. The following societies of which the PI is a member will be contacted asking for permission to survey their members:</w:t>
      </w:r>
    </w:p>
    <w:p w14:paraId="50A8C345"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Canadian Society of Otolaryngology - Head and Neck Surgery</w:t>
      </w:r>
    </w:p>
    <w:p w14:paraId="755818B0"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American Society of Otology</w:t>
      </w:r>
    </w:p>
    <w:p w14:paraId="4FB803FC"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Politzer Society</w:t>
      </w:r>
    </w:p>
    <w:p w14:paraId="617DB1B0"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European Academy of Otology and Neurotology</w:t>
      </w:r>
    </w:p>
    <w:p w14:paraId="2E16904B"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British Academy of Otolaryngology - Head and Neck Surgery</w:t>
      </w:r>
    </w:p>
    <w:p w14:paraId="32AA618B" w14:textId="77777777" w:rsidR="00032A7F" w:rsidRPr="00032A7F" w:rsidRDefault="00032A7F" w:rsidP="00032A7F">
      <w:pPr>
        <w:numPr>
          <w:ilvl w:val="0"/>
          <w:numId w:val="2"/>
        </w:numPr>
        <w:spacing w:after="240" w:line="240" w:lineRule="auto"/>
        <w:jc w:val="both"/>
        <w:textAlignment w:val="baseline"/>
        <w:rPr>
          <w:rFonts w:eastAsia="Times New Roman"/>
          <w:sz w:val="24"/>
          <w:szCs w:val="24"/>
        </w:rPr>
      </w:pPr>
      <w:r w:rsidRPr="00032A7F">
        <w:rPr>
          <w:rFonts w:eastAsia="Times New Roman"/>
          <w:sz w:val="24"/>
          <w:szCs w:val="24"/>
        </w:rPr>
        <w:t>International Working Group on Endoscopic Ear Surgery</w:t>
      </w:r>
    </w:p>
    <w:p w14:paraId="4D6CD23C"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In order to ensure that results of the survey remain de-identified, all contact information will be kept in a separate password protected spreadsheet from the results of the survey.</w:t>
      </w:r>
    </w:p>
    <w:p w14:paraId="62CA1F3D"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p>
    <w:p w14:paraId="7F1D4006"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Needs Assessment Survey:</w:t>
      </w:r>
    </w:p>
    <w:p w14:paraId="202E105B"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This portion has only surgeon participants. The survey responses will remain anonymous to the researchers and consent will be implied if the survey is filled out and received by the research team.</w:t>
      </w:r>
    </w:p>
    <w:p w14:paraId="2236355F"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Questionnaire:</w:t>
      </w:r>
    </w:p>
    <w:p w14:paraId="14AA4DD6" w14:textId="77777777" w:rsidR="00032A7F" w:rsidRDefault="00032A7F" w:rsidP="00032A7F">
      <w:pPr>
        <w:spacing w:line="240" w:lineRule="auto"/>
        <w:jc w:val="both"/>
        <w:rPr>
          <w:ins w:id="11" w:author="Arushri Swarup" w:date="2016-11-17T11:30:00Z"/>
          <w:rFonts w:eastAsia="Times New Roman"/>
          <w:sz w:val="24"/>
          <w:szCs w:val="24"/>
        </w:rPr>
      </w:pPr>
      <w:r w:rsidRPr="00032A7F">
        <w:rPr>
          <w:rFonts w:eastAsia="Times New Roman"/>
          <w:sz w:val="24"/>
          <w:szCs w:val="24"/>
        </w:rPr>
        <w:t>Refer to Appendix A for the survey details.</w:t>
      </w:r>
    </w:p>
    <w:p w14:paraId="6478D9CA" w14:textId="77777777" w:rsidR="00804407" w:rsidRPr="00032A7F" w:rsidRDefault="00804407" w:rsidP="00032A7F">
      <w:pPr>
        <w:spacing w:line="240" w:lineRule="auto"/>
        <w:jc w:val="both"/>
        <w:rPr>
          <w:rFonts w:ascii="Times New Roman" w:eastAsia="Times New Roman" w:hAnsi="Times New Roman" w:cs="Times New Roman"/>
          <w:color w:val="auto"/>
          <w:sz w:val="24"/>
          <w:szCs w:val="24"/>
        </w:rPr>
      </w:pPr>
    </w:p>
    <w:p w14:paraId="0B480C6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2: Time Flow Study:</w:t>
      </w:r>
    </w:p>
    <w:p w14:paraId="6611769B"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Time flow studies aim to analyze the efficiency of procedures, and have been used for many purposes in surgery, including MRI-guided angioplasty workflow and operating room setup dedicated for minimally invasive laparoscopic surgery</w:t>
      </w:r>
      <w:r w:rsidR="00E46C56">
        <w:rPr>
          <w:rFonts w:eastAsia="Times New Roman"/>
          <w:sz w:val="24"/>
          <w:szCs w:val="24"/>
        </w:rPr>
        <w:t xml:space="preserve"> </w:t>
      </w:r>
      <w:r w:rsidR="005B0170">
        <w:rPr>
          <w:rFonts w:eastAsia="Times New Roman"/>
          <w:sz w:val="24"/>
          <w:szCs w:val="24"/>
        </w:rPr>
        <w:fldChar w:fldCharType="begin" w:fldLock="1"/>
      </w:r>
      <w:r w:rsidR="00E46C56">
        <w:rPr>
          <w:rFonts w:eastAsia="Times New Roman"/>
          <w:sz w:val="24"/>
          <w:szCs w:val="24"/>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5B0170">
        <w:rPr>
          <w:rFonts w:eastAsia="Times New Roman"/>
          <w:sz w:val="24"/>
          <w:szCs w:val="24"/>
        </w:rPr>
        <w:fldChar w:fldCharType="separate"/>
      </w:r>
      <w:r w:rsidR="00E46C56" w:rsidRPr="00E46C56">
        <w:rPr>
          <w:rFonts w:eastAsia="Times New Roman"/>
          <w:noProof/>
          <w:sz w:val="24"/>
          <w:szCs w:val="24"/>
        </w:rPr>
        <w:t>[14]</w:t>
      </w:r>
      <w:r w:rsidR="005B0170">
        <w:rPr>
          <w:rFonts w:eastAsia="Times New Roman"/>
          <w:sz w:val="24"/>
          <w:szCs w:val="24"/>
        </w:rPr>
        <w:fldChar w:fldCharType="end"/>
      </w:r>
      <w:r w:rsidR="00E46C56">
        <w:rPr>
          <w:rFonts w:eastAsia="Times New Roman"/>
          <w:sz w:val="24"/>
          <w:szCs w:val="24"/>
        </w:rPr>
        <w:t xml:space="preserve"> </w:t>
      </w:r>
      <w:r w:rsidR="005B0170">
        <w:rPr>
          <w:rFonts w:eastAsia="Times New Roman"/>
          <w:sz w:val="24"/>
          <w:szCs w:val="24"/>
        </w:rPr>
        <w:fldChar w:fldCharType="begin" w:fldLock="1"/>
      </w:r>
      <w:r w:rsidR="00E46C56">
        <w:rPr>
          <w:rFonts w:eastAsia="Times New Roman"/>
          <w:sz w:val="24"/>
          <w:szCs w:val="24"/>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 "properties" : { "noteIndex" : 0 }, "schema" : "https://github.com/citation-style-language/schema/raw/master/csl-citation.json" }</w:instrText>
      </w:r>
      <w:r w:rsidR="005B0170">
        <w:rPr>
          <w:rFonts w:eastAsia="Times New Roman"/>
          <w:sz w:val="24"/>
          <w:szCs w:val="24"/>
        </w:rPr>
        <w:fldChar w:fldCharType="separate"/>
      </w:r>
      <w:r w:rsidR="00E46C56" w:rsidRPr="00E46C56">
        <w:rPr>
          <w:rFonts w:eastAsia="Times New Roman"/>
          <w:noProof/>
          <w:sz w:val="24"/>
          <w:szCs w:val="24"/>
        </w:rPr>
        <w:t>[15]</w:t>
      </w:r>
      <w:r w:rsidR="005B0170">
        <w:rPr>
          <w:rFonts w:eastAsia="Times New Roman"/>
          <w:sz w:val="24"/>
          <w:szCs w:val="24"/>
        </w:rPr>
        <w:fldChar w:fldCharType="end"/>
      </w:r>
      <w:r w:rsidRPr="00032A7F">
        <w:rPr>
          <w:rFonts w:eastAsia="Times New Roman"/>
          <w:sz w:val="24"/>
          <w:szCs w:val="24"/>
        </w:rPr>
        <w:t>. This study will assess the feasibility and efficiency of endoscopic ear surgery using the same method.</w:t>
      </w:r>
    </w:p>
    <w:p w14:paraId="46FFFD50"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Design (General Overview):</w:t>
      </w:r>
    </w:p>
    <w:p w14:paraId="65A5BA34"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lastRenderedPageBreak/>
        <w:t xml:space="preserve">The time flow analysis will be recorded by the MASc student during ear surgery.  The surgery will be divided into steps, described </w:t>
      </w:r>
      <w:ins w:id="12" w:author="Arushri Swarup" w:date="2016-11-17T11:40:00Z">
        <w:r w:rsidR="00E509E1">
          <w:rPr>
            <w:rFonts w:eastAsia="Times New Roman"/>
            <w:sz w:val="24"/>
            <w:szCs w:val="24"/>
          </w:rPr>
          <w:t xml:space="preserve">in the data collection form located </w:t>
        </w:r>
      </w:ins>
      <w:del w:id="13" w:author="Arushri Swarup" w:date="2016-11-17T11:40:00Z">
        <w:r w:rsidRPr="00032A7F" w:rsidDel="00E509E1">
          <w:rPr>
            <w:rFonts w:eastAsia="Times New Roman"/>
            <w:sz w:val="24"/>
            <w:szCs w:val="24"/>
          </w:rPr>
          <w:delText>below</w:delText>
        </w:r>
      </w:del>
      <w:ins w:id="14" w:author="Arushri Swarup" w:date="2016-11-17T11:40:00Z">
        <w:r w:rsidR="00E509E1">
          <w:rPr>
            <w:rFonts w:eastAsia="Times New Roman"/>
            <w:sz w:val="24"/>
            <w:szCs w:val="24"/>
          </w:rPr>
          <w:t>in Appendix B</w:t>
        </w:r>
      </w:ins>
      <w:r w:rsidRPr="00032A7F">
        <w:rPr>
          <w:rFonts w:eastAsia="Times New Roman"/>
          <w:sz w:val="24"/>
          <w:szCs w:val="24"/>
        </w:rPr>
        <w:t xml:space="preserve">. The type of instruments used during the different steps and the number of changes between instruments will also be noted. These observations will lead to an appreciation of the ergonomic requirements of instruments and the design advantages of different instruments for specific maneuvers.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w:t>
      </w:r>
      <w:del w:id="15" w:author="Arushri Swarup" w:date="2016-11-17T11:38:00Z">
        <w:r w:rsidRPr="00032A7F" w:rsidDel="00E509E1">
          <w:rPr>
            <w:rFonts w:eastAsia="Times New Roman"/>
            <w:sz w:val="24"/>
            <w:szCs w:val="24"/>
          </w:rPr>
          <w:delText>The last half of surgeries will be done using the new tools developed for improving TEES. The results will be compared statistically.</w:delText>
        </w:r>
      </w:del>
    </w:p>
    <w:p w14:paraId="21E55C6C"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p>
    <w:p w14:paraId="7717548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time flow study will include two kinds of participants: patients, who will be undergoing ear surgery, and surgeons, who will be performing the ear surgery.</w:t>
      </w:r>
    </w:p>
    <w:p w14:paraId="5513A3B3"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14:paraId="6D7BFB3E"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PI’s colleagues in otolaryngology are interested in this project and would also like to improve their experience with TEES. Three additional surgeons from SickKids and one from Toronto General Hospital have expressed interest in participating in this study.</w:t>
      </w:r>
    </w:p>
    <w:p w14:paraId="486264F8"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Inclusion criteria</w:t>
      </w:r>
    </w:p>
    <w:p w14:paraId="01C86A38"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Patient participants: 40 surgical patients, who require cholesteatoma surgery or tympanoplasty (surgical repair of perforated ear drum).</w:t>
      </w:r>
    </w:p>
    <w:p w14:paraId="009F9DF2"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Surgeon participants: 5 surgeons with more than one year of experience in endoscopic ear surgery.</w:t>
      </w:r>
      <w:ins w:id="16" w:author="Arushri Swarup" w:date="2016-11-20T14:16:00Z">
        <w:r w:rsidR="007C1212">
          <w:rPr>
            <w:rFonts w:eastAsia="Times New Roman"/>
            <w:sz w:val="24"/>
            <w:szCs w:val="24"/>
          </w:rPr>
          <w:t xml:space="preserve"> The PI, three additional surgeons from SickKids</w:t>
        </w:r>
      </w:ins>
      <w:ins w:id="17" w:author="Arushri Swarup" w:date="2016-11-20T14:17:00Z">
        <w:r w:rsidR="007C1212">
          <w:rPr>
            <w:rFonts w:eastAsia="Times New Roman"/>
            <w:sz w:val="24"/>
            <w:szCs w:val="24"/>
          </w:rPr>
          <w:t xml:space="preserve"> and one surgeon from Toronto General Hospital will be asked to participate.</w:t>
        </w:r>
      </w:ins>
    </w:p>
    <w:p w14:paraId="067AF7DB"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p>
    <w:p w14:paraId="368333BE"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Exclusion criteria</w:t>
      </w:r>
    </w:p>
    <w:p w14:paraId="6264C6A9"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Residents and fellows who are in training.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14:paraId="4F262E1D"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p>
    <w:p w14:paraId="06C3FDE2"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intervention</w:t>
      </w:r>
    </w:p>
    <w:p w14:paraId="27EF776F"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lastRenderedPageBreak/>
        <w:t>Each surgeon will be observed and recorded performing ten operations. The time and number of instruments changed will be recorded for the steps outlined in the Data Collection Form, included in Appendix B.</w:t>
      </w:r>
    </w:p>
    <w:p w14:paraId="28C596DF"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Outcome measures</w:t>
      </w:r>
    </w:p>
    <w:p w14:paraId="3F39AFAB"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14:paraId="231517FA"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14:paraId="7B459806"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14:paraId="37E625F3"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14:paraId="134ABA37"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14:paraId="34D688C7"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Budget</w:t>
      </w:r>
    </w:p>
    <w:p w14:paraId="254A07FF"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2104"/>
        <w:gridCol w:w="1511"/>
        <w:gridCol w:w="1351"/>
        <w:gridCol w:w="777"/>
        <w:gridCol w:w="684"/>
        <w:gridCol w:w="1404"/>
      </w:tblGrid>
      <w:tr w:rsidR="00032A7F" w:rsidRPr="00032A7F" w14:paraId="484EE4A7" w14:textId="77777777"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242182FA"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4AA7348"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A156F6B"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36022AD"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4A1F39A3"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2AF3068C"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032A7F" w:rsidRPr="00032A7F" w14:paraId="77BF98B4" w14:textId="77777777"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5A6B290"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71CF443"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6CD37FC9" w14:textId="77777777"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8DA2CDF"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4F81B63" w14:textId="77777777"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2D3F7D88" w14:textId="77777777"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14:paraId="0C522A7A"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Since this study is observational, it just requires the time of the Master’s student to conduct the study.</w:t>
      </w:r>
    </w:p>
    <w:p w14:paraId="4734522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Consent</w:t>
      </w:r>
    </w:p>
    <w:p w14:paraId="3D41699B"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There are two different types of surgery where the time flow study will be conducted: tympanoplasty and cholesteatoma removal. Each type of surgery will have its own set of consent forms for the patient participants. For tympanoplasty patients dedicated consent forms are appended to this application requesting consent to time surgery. Cholesteatoma patients are already asked to consent to participate for another observational study: </w:t>
      </w:r>
      <w:r w:rsidRPr="00032A7F">
        <w:rPr>
          <w:rFonts w:eastAsia="Times New Roman"/>
          <w:i/>
          <w:iCs/>
          <w:sz w:val="24"/>
          <w:szCs w:val="24"/>
        </w:rPr>
        <w:t xml:space="preserve">Prospective study of predictive factors in paediatric cholesteatoma (REB #1000033566). </w:t>
      </w:r>
      <w:r w:rsidRPr="00032A7F">
        <w:rPr>
          <w:rFonts w:eastAsia="Times New Roman"/>
          <w:sz w:val="24"/>
          <w:szCs w:val="24"/>
        </w:rPr>
        <w:t xml:space="preserve">These consent forms will be amended to request consent to time the surgery. </w:t>
      </w:r>
    </w:p>
    <w:p w14:paraId="117D304F"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For the cholesteatoma patients, who have a CT scan and have provided consent to use their CT for anatomical analysis and modeling purposes in the Prospective study of predictive factors in paediatric cholesteatoma, the study number will be recorded on the corresponding CT scan as well. The CT scan will be wiped of all patient identifiable </w:t>
      </w:r>
      <w:r w:rsidRPr="00032A7F">
        <w:rPr>
          <w:rFonts w:eastAsia="Times New Roman"/>
          <w:sz w:val="24"/>
          <w:szCs w:val="24"/>
        </w:rPr>
        <w:lastRenderedPageBreak/>
        <w:t>information and only the randomly generated 5-digit code will be used to link the CT scan to the recorded surgical times.</w:t>
      </w:r>
    </w:p>
    <w:p w14:paraId="0AB307BE" w14:textId="77777777" w:rsidR="001F5D7C" w:rsidRDefault="00032A7F" w:rsidP="00032A7F">
      <w:pPr>
        <w:spacing w:after="240" w:line="240" w:lineRule="auto"/>
        <w:jc w:val="both"/>
        <w:rPr>
          <w:rFonts w:eastAsia="Times New Roman"/>
          <w:sz w:val="24"/>
          <w:szCs w:val="24"/>
        </w:rPr>
      </w:pPr>
      <w:r w:rsidRPr="00032A7F">
        <w:rPr>
          <w:rFonts w:eastAsia="Times New Roman"/>
          <w:sz w:val="24"/>
          <w:szCs w:val="24"/>
        </w:rPr>
        <w:t xml:space="preserve">Consent to participate in this study will also be sought from </w:t>
      </w:r>
      <w:commentRangeStart w:id="18"/>
      <w:r w:rsidRPr="00032A7F">
        <w:rPr>
          <w:rFonts w:eastAsia="Times New Roman"/>
          <w:sz w:val="24"/>
          <w:szCs w:val="24"/>
        </w:rPr>
        <w:t>surgeons</w:t>
      </w:r>
      <w:commentRangeEnd w:id="18"/>
      <w:r w:rsidR="005B20BF">
        <w:rPr>
          <w:rStyle w:val="CommentReference"/>
        </w:rPr>
        <w:commentReference w:id="18"/>
      </w:r>
      <w:r w:rsidRPr="00032A7F">
        <w:rPr>
          <w:rFonts w:eastAsia="Times New Roman"/>
          <w:sz w:val="24"/>
          <w:szCs w:val="24"/>
        </w:rPr>
        <w:t>.</w:t>
      </w:r>
    </w:p>
    <w:p w14:paraId="113CAA9D" w14:textId="77777777" w:rsidR="0049596C" w:rsidRPr="0049596C" w:rsidRDefault="001F5D7C" w:rsidP="00E46C56">
      <w:pPr>
        <w:widowControl w:val="0"/>
        <w:autoSpaceDE w:val="0"/>
        <w:autoSpaceDN w:val="0"/>
        <w:adjustRightInd w:val="0"/>
        <w:spacing w:line="240" w:lineRule="auto"/>
        <w:ind w:left="640" w:hanging="640"/>
        <w:rPr>
          <w:rFonts w:eastAsia="Times New Roman"/>
          <w:b/>
          <w:sz w:val="24"/>
          <w:szCs w:val="24"/>
        </w:rPr>
      </w:pPr>
      <w:r>
        <w:rPr>
          <w:rFonts w:eastAsia="Times New Roman"/>
          <w:sz w:val="24"/>
          <w:szCs w:val="24"/>
        </w:rPr>
        <w:br w:type="page"/>
      </w:r>
      <w:r w:rsidR="0049596C" w:rsidRPr="0049596C">
        <w:rPr>
          <w:rFonts w:eastAsia="Times New Roman"/>
          <w:b/>
          <w:sz w:val="24"/>
          <w:szCs w:val="24"/>
        </w:rPr>
        <w:lastRenderedPageBreak/>
        <w:t xml:space="preserve">References: </w:t>
      </w:r>
    </w:p>
    <w:p w14:paraId="5F6A116A" w14:textId="77777777" w:rsidR="00E46C56" w:rsidRPr="00E46C56" w:rsidRDefault="005B0170" w:rsidP="00E46C56">
      <w:pPr>
        <w:widowControl w:val="0"/>
        <w:autoSpaceDE w:val="0"/>
        <w:autoSpaceDN w:val="0"/>
        <w:adjustRightInd w:val="0"/>
        <w:spacing w:line="240" w:lineRule="auto"/>
        <w:ind w:left="640" w:hanging="640"/>
        <w:rPr>
          <w:noProof/>
          <w:sz w:val="24"/>
          <w:szCs w:val="24"/>
        </w:rPr>
      </w:pPr>
      <w:r>
        <w:rPr>
          <w:rFonts w:eastAsia="Times New Roman"/>
          <w:sz w:val="24"/>
          <w:szCs w:val="24"/>
        </w:rPr>
        <w:fldChar w:fldCharType="begin" w:fldLock="1"/>
      </w:r>
      <w:r w:rsidR="001F5D7C">
        <w:rPr>
          <w:rFonts w:eastAsia="Times New Roman"/>
          <w:sz w:val="24"/>
          <w:szCs w:val="24"/>
        </w:rPr>
        <w:instrText xml:space="preserve">ADDIN Mendeley Bibliography CSL_BIBLIOGRAPHY </w:instrText>
      </w:r>
      <w:r>
        <w:rPr>
          <w:rFonts w:eastAsia="Times New Roman"/>
          <w:sz w:val="24"/>
          <w:szCs w:val="24"/>
        </w:rPr>
        <w:fldChar w:fldCharType="separate"/>
      </w:r>
      <w:r w:rsidR="00E46C56" w:rsidRPr="00E46C56">
        <w:rPr>
          <w:noProof/>
          <w:sz w:val="24"/>
          <w:szCs w:val="24"/>
        </w:rPr>
        <w:t>[1]</w:t>
      </w:r>
      <w:r w:rsidR="00E46C56" w:rsidRPr="00E46C56">
        <w:rPr>
          <w:noProof/>
          <w:sz w:val="24"/>
          <w:szCs w:val="24"/>
        </w:rPr>
        <w:tab/>
        <w:t xml:space="preserve">A. L. James, “Endoscopic middle ear surgery in children.,” </w:t>
      </w:r>
      <w:r w:rsidR="00E46C56" w:rsidRPr="00E46C56">
        <w:rPr>
          <w:i/>
          <w:iCs/>
          <w:noProof/>
          <w:sz w:val="24"/>
          <w:szCs w:val="24"/>
        </w:rPr>
        <w:t>Otolaryngol. Clin. North Am.</w:t>
      </w:r>
      <w:r w:rsidR="00E46C56" w:rsidRPr="00E46C56">
        <w:rPr>
          <w:noProof/>
          <w:sz w:val="24"/>
          <w:szCs w:val="24"/>
        </w:rPr>
        <w:t>, vol. 46, no. 2, pp. 233–44, Apr. 2013.</w:t>
      </w:r>
    </w:p>
    <w:p w14:paraId="032AFB2F"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[2]</w:t>
      </w:r>
      <w:r w:rsidRPr="00E46C56">
        <w:rPr>
          <w:noProof/>
          <w:sz w:val="24"/>
          <w:szCs w:val="24"/>
        </w:rPr>
        <w:tab/>
        <w:t xml:space="preserve">M. Tarabichi, “Endoscopic Middle Ear Surgery,” </w:t>
      </w:r>
      <w:r w:rsidRPr="00E46C56">
        <w:rPr>
          <w:i/>
          <w:iCs/>
          <w:noProof/>
          <w:sz w:val="24"/>
          <w:szCs w:val="24"/>
        </w:rPr>
        <w:t>Ann. Otol. Rhinol. Laryngol.</w:t>
      </w:r>
      <w:r w:rsidRPr="00E46C56">
        <w:rPr>
          <w:noProof/>
          <w:sz w:val="24"/>
          <w:szCs w:val="24"/>
        </w:rPr>
        <w:t>, vol. 108, no. 1, pp. 39–46, 1999.</w:t>
      </w:r>
    </w:p>
    <w:p w14:paraId="22F2EE3A"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[3]</w:t>
      </w:r>
      <w:r w:rsidRPr="00E46C56">
        <w:rPr>
          <w:noProof/>
          <w:sz w:val="24"/>
          <w:szCs w:val="24"/>
        </w:rPr>
        <w:tab/>
        <w:t xml:space="preserve">M. Yong, T. Mijovic, and J. Lea, “Endoscopic ear surgery in Canada : a cross-sectional study,” </w:t>
      </w:r>
      <w:r w:rsidRPr="00E46C56">
        <w:rPr>
          <w:i/>
          <w:iCs/>
          <w:noProof/>
          <w:sz w:val="24"/>
          <w:szCs w:val="24"/>
        </w:rPr>
        <w:t>J. Otolaryngol. - Head Neck Surg.</w:t>
      </w:r>
      <w:r w:rsidRPr="00E46C56">
        <w:rPr>
          <w:noProof/>
          <w:sz w:val="24"/>
          <w:szCs w:val="24"/>
        </w:rPr>
        <w:t>, pp. 1–8, 2016.</w:t>
      </w:r>
    </w:p>
    <w:p w14:paraId="5CA9EABB"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[4]</w:t>
      </w:r>
      <w:r w:rsidRPr="00E46C56">
        <w:rPr>
          <w:noProof/>
          <w:sz w:val="24"/>
          <w:szCs w:val="24"/>
        </w:rPr>
        <w:tab/>
        <w:t xml:space="preserve">M. Tarabichi, “Endoscopic management of limited attic cholesteatoma.,” </w:t>
      </w:r>
      <w:r w:rsidRPr="00E46C56">
        <w:rPr>
          <w:i/>
          <w:iCs/>
          <w:noProof/>
          <w:sz w:val="24"/>
          <w:szCs w:val="24"/>
        </w:rPr>
        <w:t>Laryngoscope</w:t>
      </w:r>
      <w:r w:rsidRPr="00E46C56">
        <w:rPr>
          <w:noProof/>
          <w:sz w:val="24"/>
          <w:szCs w:val="24"/>
        </w:rPr>
        <w:t>, vol. 114, no. 7, pp. 1157–1162, 2004.</w:t>
      </w:r>
    </w:p>
    <w:p w14:paraId="7D9EF999"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[5]</w:t>
      </w:r>
      <w:r w:rsidRPr="00E46C56">
        <w:rPr>
          <w:noProof/>
          <w:sz w:val="24"/>
          <w:szCs w:val="24"/>
        </w:rPr>
        <w:tab/>
        <w:t>Ã. A. L. James, Ã. S. Cushing, and Ã. B. C. Papsin, “Residual Cholesteatoma After Endoscope-guided Surgery in Children,” pp. 196–201, 2015.</w:t>
      </w:r>
    </w:p>
    <w:p w14:paraId="56DA517A"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[6]</w:t>
      </w:r>
      <w:r w:rsidRPr="00E46C56">
        <w:rPr>
          <w:noProof/>
          <w:sz w:val="24"/>
          <w:szCs w:val="24"/>
        </w:rPr>
        <w:tab/>
        <w:t xml:space="preserve">B. M. Hanna </w:t>
      </w:r>
      <w:r w:rsidRPr="00E46C56">
        <w:rPr>
          <w:i/>
          <w:iCs/>
          <w:noProof/>
          <w:sz w:val="24"/>
          <w:szCs w:val="24"/>
        </w:rPr>
        <w:t>et al.</w:t>
      </w:r>
      <w:r w:rsidRPr="00E46C56">
        <w:rPr>
          <w:noProof/>
          <w:sz w:val="24"/>
          <w:szCs w:val="24"/>
        </w:rPr>
        <w:t xml:space="preserve">, “Minimally invasive functional approach for cholesteatoma surgery,” </w:t>
      </w:r>
      <w:r w:rsidRPr="00E46C56">
        <w:rPr>
          <w:i/>
          <w:iCs/>
          <w:noProof/>
          <w:sz w:val="24"/>
          <w:szCs w:val="24"/>
        </w:rPr>
        <w:t>Laryngoscope</w:t>
      </w:r>
      <w:r w:rsidRPr="00E46C56">
        <w:rPr>
          <w:noProof/>
          <w:sz w:val="24"/>
          <w:szCs w:val="24"/>
        </w:rPr>
        <w:t>, vol. 124, no. 10, pp. 2386–2392, 2014.</w:t>
      </w:r>
    </w:p>
    <w:p w14:paraId="10748892"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[7]</w:t>
      </w:r>
      <w:r w:rsidRPr="00E46C56">
        <w:rPr>
          <w:noProof/>
          <w:sz w:val="24"/>
          <w:szCs w:val="24"/>
        </w:rPr>
        <w:tab/>
        <w:t xml:space="preserve">S. C. Prasad, A. Giannuzzi, E. A. Nahleh, G. De Donato, A. Russo, and M. Sanna, “Is endoscopic ear surgery an alternative to the modified Bondy technique for limited epitympanic cholesteatoma?,” </w:t>
      </w:r>
      <w:r w:rsidRPr="00E46C56">
        <w:rPr>
          <w:i/>
          <w:iCs/>
          <w:noProof/>
          <w:sz w:val="24"/>
          <w:szCs w:val="24"/>
        </w:rPr>
        <w:t>Eur. Arch. Oto-Rhino-Laryngology</w:t>
      </w:r>
      <w:r w:rsidRPr="00E46C56">
        <w:rPr>
          <w:noProof/>
          <w:sz w:val="24"/>
          <w:szCs w:val="24"/>
        </w:rPr>
        <w:t>, vol. 273, no. 9, pp. 2533–2540, 2016.</w:t>
      </w:r>
    </w:p>
    <w:p w14:paraId="61A7F4F2"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[8]</w:t>
      </w:r>
      <w:r w:rsidRPr="00E46C56">
        <w:rPr>
          <w:noProof/>
          <w:sz w:val="24"/>
          <w:szCs w:val="24"/>
        </w:rPr>
        <w:tab/>
        <w:t xml:space="preserve">M. S. Cohen, L. D. Landegger, E. D. Kozin, and D. J. Lee, “Pediatric endoscopic ear surgery in clinical practice: Lessons learned and early outcomes,” </w:t>
      </w:r>
      <w:r w:rsidRPr="00E46C56">
        <w:rPr>
          <w:i/>
          <w:iCs/>
          <w:noProof/>
          <w:sz w:val="24"/>
          <w:szCs w:val="24"/>
        </w:rPr>
        <w:t>Laryngoscope</w:t>
      </w:r>
      <w:r w:rsidRPr="00E46C56">
        <w:rPr>
          <w:noProof/>
          <w:sz w:val="24"/>
          <w:szCs w:val="24"/>
        </w:rPr>
        <w:t>, p. n/a-n/a, 2015.</w:t>
      </w:r>
    </w:p>
    <w:p w14:paraId="036CD2B1"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[9]</w:t>
      </w:r>
      <w:r w:rsidRPr="00E46C56">
        <w:rPr>
          <w:noProof/>
          <w:sz w:val="24"/>
          <w:szCs w:val="24"/>
        </w:rPr>
        <w:tab/>
        <w:t>M. Badr-el-dine, D. Marchioni, L. Presutti, and J. Flávio, “I n s t r u m e n t a t i o n a n d Tec h n o l o g i e s in E ndos c o p i c Ear Su r ge ry,” vol. 46, p. 6665, 2013.</w:t>
      </w:r>
    </w:p>
    <w:p w14:paraId="00DB7D90"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[10]</w:t>
      </w:r>
      <w:r w:rsidRPr="00E46C56">
        <w:rPr>
          <w:noProof/>
          <w:sz w:val="24"/>
          <w:szCs w:val="24"/>
        </w:rPr>
        <w:tab/>
        <w:t xml:space="preserve">H. J. Marcus </w:t>
      </w:r>
      <w:r w:rsidRPr="00E46C56">
        <w:rPr>
          <w:i/>
          <w:iCs/>
          <w:noProof/>
          <w:sz w:val="24"/>
          <w:szCs w:val="24"/>
        </w:rPr>
        <w:t>et al.</w:t>
      </w:r>
      <w:r w:rsidRPr="00E46C56">
        <w:rPr>
          <w:noProof/>
          <w:sz w:val="24"/>
          <w:szCs w:val="24"/>
        </w:rPr>
        <w:t>, “Europe PMC Funders Group Endoscopic and Keyhole Endoscope-assisted Neurosurgical Approaches : A Qualitative Survey on Technical Challenges and Technological Solutions,” vol. 28, no. 5, pp. 606–610, 2015.</w:t>
      </w:r>
    </w:p>
    <w:p w14:paraId="7F6CA5B2"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[11]</w:t>
      </w:r>
      <w:r w:rsidRPr="00E46C56">
        <w:rPr>
          <w:noProof/>
          <w:sz w:val="24"/>
          <w:szCs w:val="24"/>
        </w:rPr>
        <w:tab/>
        <w:t xml:space="preserve">S. Y. Kosyakov, Y. V Minavnina, and E. V Pchelenok, “[The consensus view of the treatment of the retraction pockets of the tympanic membrane].,” </w:t>
      </w:r>
      <w:r w:rsidRPr="00E46C56">
        <w:rPr>
          <w:i/>
          <w:iCs/>
          <w:noProof/>
          <w:sz w:val="24"/>
          <w:szCs w:val="24"/>
        </w:rPr>
        <w:t>Vestn. Otorinolaringol.</w:t>
      </w:r>
      <w:r w:rsidRPr="00E46C56">
        <w:rPr>
          <w:noProof/>
          <w:sz w:val="24"/>
          <w:szCs w:val="24"/>
        </w:rPr>
        <w:t>, vol. 81, no. 1, pp. 78–83, 2016.</w:t>
      </w:r>
    </w:p>
    <w:p w14:paraId="061D9A33"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[12]</w:t>
      </w:r>
      <w:r w:rsidRPr="00E46C56">
        <w:rPr>
          <w:noProof/>
          <w:sz w:val="24"/>
          <w:szCs w:val="24"/>
        </w:rPr>
        <w:tab/>
        <w:t xml:space="preserve">A. Gerritsen </w:t>
      </w:r>
      <w:r w:rsidRPr="00E46C56">
        <w:rPr>
          <w:i/>
          <w:iCs/>
          <w:noProof/>
          <w:sz w:val="24"/>
          <w:szCs w:val="24"/>
        </w:rPr>
        <w:t>et al.</w:t>
      </w:r>
      <w:r w:rsidRPr="00E46C56">
        <w:rPr>
          <w:noProof/>
          <w:sz w:val="24"/>
          <w:szCs w:val="24"/>
        </w:rPr>
        <w:t xml:space="preserve">, “Developing a core set of patient-reported outcomes in pancreatic cancer: A Delphi survey.,” </w:t>
      </w:r>
      <w:r w:rsidRPr="00E46C56">
        <w:rPr>
          <w:i/>
          <w:iCs/>
          <w:noProof/>
          <w:sz w:val="24"/>
          <w:szCs w:val="24"/>
        </w:rPr>
        <w:t>Eur. J. Cancer</w:t>
      </w:r>
      <w:r w:rsidRPr="00E46C56">
        <w:rPr>
          <w:noProof/>
          <w:sz w:val="24"/>
          <w:szCs w:val="24"/>
        </w:rPr>
        <w:t>, vol. 57, pp. 68–77, Apr. 2016.</w:t>
      </w:r>
    </w:p>
    <w:p w14:paraId="38B15132"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[13]</w:t>
      </w:r>
      <w:r w:rsidRPr="00E46C56">
        <w:rPr>
          <w:noProof/>
          <w:sz w:val="24"/>
          <w:szCs w:val="24"/>
        </w:rPr>
        <w:tab/>
        <w:t xml:space="preserve">M. Singer </w:t>
      </w:r>
      <w:r w:rsidRPr="00E46C56">
        <w:rPr>
          <w:i/>
          <w:iCs/>
          <w:noProof/>
          <w:sz w:val="24"/>
          <w:szCs w:val="24"/>
        </w:rPr>
        <w:t>et al.</w:t>
      </w:r>
      <w:r w:rsidRPr="00E46C56">
        <w:rPr>
          <w:noProof/>
          <w:sz w:val="24"/>
          <w:szCs w:val="24"/>
        </w:rPr>
        <w:t xml:space="preserve">, “The Third International Consensus Definitions for Sepsis and Septic Shock (Sepsis-3).,” </w:t>
      </w:r>
      <w:r w:rsidRPr="00E46C56">
        <w:rPr>
          <w:i/>
          <w:iCs/>
          <w:noProof/>
          <w:sz w:val="24"/>
          <w:szCs w:val="24"/>
        </w:rPr>
        <w:t>JAMA</w:t>
      </w:r>
      <w:r w:rsidRPr="00E46C56">
        <w:rPr>
          <w:noProof/>
          <w:sz w:val="24"/>
          <w:szCs w:val="24"/>
        </w:rPr>
        <w:t>, vol. 315, no. 8, pp. 801–10, Feb. 2016.</w:t>
      </w:r>
    </w:p>
    <w:p w14:paraId="0584CDA0"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[14]</w:t>
      </w:r>
      <w:r w:rsidRPr="00E46C56">
        <w:rPr>
          <w:noProof/>
          <w:sz w:val="24"/>
          <w:szCs w:val="24"/>
        </w:rPr>
        <w:tab/>
        <w:t xml:space="preserve">M. A. Rube </w:t>
      </w:r>
      <w:r w:rsidRPr="00E46C56">
        <w:rPr>
          <w:i/>
          <w:iCs/>
          <w:noProof/>
          <w:sz w:val="24"/>
          <w:szCs w:val="24"/>
        </w:rPr>
        <w:t>et al.</w:t>
      </w:r>
      <w:r w:rsidRPr="00E46C56">
        <w:rPr>
          <w:noProof/>
          <w:sz w:val="24"/>
          <w:szCs w:val="24"/>
        </w:rPr>
        <w:t>, “HHS Public Access,” vol. 10, no. 5, pp. 637–650, 2015.</w:t>
      </w:r>
    </w:p>
    <w:p w14:paraId="52D11A29" w14:textId="77777777" w:rsidR="00E46C56" w:rsidRPr="00E46C56" w:rsidRDefault="00E46C56" w:rsidP="00E46C56">
      <w:pPr>
        <w:widowControl w:val="0"/>
        <w:autoSpaceDE w:val="0"/>
        <w:autoSpaceDN w:val="0"/>
        <w:adjustRightInd w:val="0"/>
        <w:spacing w:line="240" w:lineRule="auto"/>
        <w:ind w:left="640" w:hanging="640"/>
        <w:rPr>
          <w:noProof/>
          <w:sz w:val="24"/>
        </w:rPr>
      </w:pPr>
      <w:r w:rsidRPr="00E46C56">
        <w:rPr>
          <w:noProof/>
          <w:sz w:val="24"/>
          <w:szCs w:val="24"/>
        </w:rPr>
        <w:t>[15]</w:t>
      </w:r>
      <w:r w:rsidRPr="00E46C56">
        <w:rPr>
          <w:noProof/>
          <w:sz w:val="24"/>
          <w:szCs w:val="24"/>
        </w:rPr>
        <w:tab/>
        <w:t>K. C. Hsiao, Z. Machaidze, and J. G. Pattaras, “Time Management in the Operating Room : An Analysis of the Dedicated Minimally Invasive Surgery Suite,” pp. 300–303, 2004.</w:t>
      </w:r>
    </w:p>
    <w:p w14:paraId="3AE58916" w14:textId="77777777" w:rsidR="001F5D7C" w:rsidRDefault="005B0170" w:rsidP="00E46C56">
      <w:pPr>
        <w:widowControl w:val="0"/>
        <w:autoSpaceDE w:val="0"/>
        <w:autoSpaceDN w:val="0"/>
        <w:adjustRightInd w:val="0"/>
        <w:spacing w:line="240" w:lineRule="auto"/>
        <w:ind w:left="640" w:hanging="640"/>
        <w:rPr>
          <w:rFonts w:eastAsia="Times New Roman"/>
          <w:sz w:val="24"/>
          <w:szCs w:val="24"/>
        </w:rPr>
      </w:pPr>
      <w:r>
        <w:rPr>
          <w:rFonts w:eastAsia="Times New Roman"/>
          <w:sz w:val="24"/>
          <w:szCs w:val="24"/>
        </w:rPr>
        <w:fldChar w:fldCharType="end"/>
      </w:r>
    </w:p>
    <w:p w14:paraId="12C8E3F1" w14:textId="77777777" w:rsidR="000E3E30" w:rsidRPr="00032A7F" w:rsidRDefault="000E3E30" w:rsidP="00032A7F">
      <w:pPr>
        <w:spacing w:after="240" w:line="240" w:lineRule="auto"/>
        <w:jc w:val="both"/>
        <w:rPr>
          <w:rFonts w:ascii="Times New Roman" w:eastAsia="Times New Roman" w:hAnsi="Times New Roman" w:cs="Times New Roman"/>
          <w:color w:val="auto"/>
          <w:sz w:val="24"/>
          <w:szCs w:val="24"/>
        </w:rPr>
      </w:pPr>
    </w:p>
    <w:sectPr w:rsidR="000E3E30" w:rsidRPr="00032A7F" w:rsidSect="000E3E30">
      <w:foot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ushri Swarup" w:date="2016-11-25T10:04:00Z" w:initials="AS">
    <w:p w14:paraId="2791212C" w14:textId="77777777" w:rsidR="00B0683A" w:rsidRDefault="00B0683A">
      <w:pPr>
        <w:pStyle w:val="CommentText"/>
      </w:pPr>
      <w:r>
        <w:rPr>
          <w:rStyle w:val="CommentReference"/>
        </w:rPr>
        <w:annotationRef/>
      </w:r>
      <w:r>
        <w:t>Take out increasing adoption of TEES by surgeons instead the goal is to facilitate TEES by making better instruments which is better for the patient as they will be reciving minimally invasive care</w:t>
      </w:r>
      <w:bookmarkStart w:id="1" w:name="_GoBack"/>
      <w:bookmarkEnd w:id="1"/>
    </w:p>
  </w:comment>
  <w:comment w:id="10" w:author="Arushri Swarup" w:date="2016-11-17T11:11:00Z" w:initials="AS">
    <w:p w14:paraId="05B2671C" w14:textId="77777777" w:rsidR="0058683C" w:rsidRDefault="0058683C">
      <w:pPr>
        <w:pStyle w:val="CommentText"/>
      </w:pPr>
      <w:r>
        <w:rPr>
          <w:rStyle w:val="CommentReference"/>
        </w:rPr>
        <w:annotationRef/>
      </w:r>
      <w:r>
        <w:t>Will the pilot questionnaire need to be included in the application?</w:t>
      </w:r>
    </w:p>
  </w:comment>
  <w:comment w:id="18" w:author="Arushri Swarup" w:date="2016-11-17T11:43:00Z" w:initials="AS">
    <w:p w14:paraId="282A53A6" w14:textId="77777777" w:rsidR="005B20BF" w:rsidRDefault="005B20BF">
      <w:pPr>
        <w:pStyle w:val="CommentText"/>
      </w:pPr>
      <w:r>
        <w:rPr>
          <w:rStyle w:val="CommentReference"/>
        </w:rPr>
        <w:annotationRef/>
      </w:r>
      <w:r>
        <w:t>Surgeon consent form for the time flow study?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91212C" w15:done="0"/>
  <w15:commentEx w15:paraId="05B2671C" w15:done="0"/>
  <w15:commentEx w15:paraId="282A53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5CAA2" w14:textId="77777777" w:rsidR="00A7094B" w:rsidRDefault="00A7094B" w:rsidP="000E3E30">
      <w:pPr>
        <w:spacing w:line="240" w:lineRule="auto"/>
      </w:pPr>
      <w:r>
        <w:separator/>
      </w:r>
    </w:p>
  </w:endnote>
  <w:endnote w:type="continuationSeparator" w:id="0">
    <w:p w14:paraId="1C2F434A" w14:textId="77777777" w:rsidR="00A7094B" w:rsidRDefault="00A7094B" w:rsidP="000E3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25D75" w14:textId="77777777" w:rsidR="00032A7F" w:rsidRDefault="00032A7F">
    <w:pPr>
      <w:pStyle w:val="Footer"/>
    </w:pPr>
    <w:r>
      <w:t xml:space="preserve">Page: </w:t>
    </w:r>
    <w:sdt>
      <w:sdtPr>
        <w:id w:val="252615743"/>
        <w:docPartObj>
          <w:docPartGallery w:val="Page Numbers (Bottom of Page)"/>
          <w:docPartUnique/>
        </w:docPartObj>
      </w:sdtPr>
      <w:sdtEndPr/>
      <w:sdtContent>
        <w:r w:rsidR="005B0170">
          <w:fldChar w:fldCharType="begin"/>
        </w:r>
        <w:r w:rsidR="00103E8E">
          <w:instrText xml:space="preserve"> PAGE   \* MERGEFORMAT </w:instrText>
        </w:r>
        <w:r w:rsidR="005B0170">
          <w:fldChar w:fldCharType="separate"/>
        </w:r>
        <w:r w:rsidR="00B0683A">
          <w:rPr>
            <w:noProof/>
          </w:rPr>
          <w:t>1</w:t>
        </w:r>
        <w:r w:rsidR="005B0170">
          <w:rPr>
            <w:noProof/>
          </w:rPr>
          <w:fldChar w:fldCharType="end"/>
        </w:r>
        <w:r>
          <w:t xml:space="preserve"> </w:t>
        </w:r>
        <w:r>
          <w:tab/>
        </w:r>
        <w:r>
          <w:tab/>
        </w:r>
        <w:r>
          <w:rPr>
            <w:sz w:val="24"/>
            <w:szCs w:val="24"/>
          </w:rPr>
          <w:t xml:space="preserve">Version date 27th October 2016 </w:t>
        </w:r>
      </w:sdtContent>
    </w:sdt>
  </w:p>
  <w:p w14:paraId="67584AD0" w14:textId="77777777" w:rsidR="000E3E30" w:rsidRDefault="000E3E30">
    <w:pPr>
      <w:pStyle w:val="Normal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0E154" w14:textId="77777777" w:rsidR="00A7094B" w:rsidRDefault="00A7094B" w:rsidP="000E3E30">
      <w:pPr>
        <w:spacing w:line="240" w:lineRule="auto"/>
      </w:pPr>
      <w:r>
        <w:separator/>
      </w:r>
    </w:p>
  </w:footnote>
  <w:footnote w:type="continuationSeparator" w:id="0">
    <w:p w14:paraId="32A22B04" w14:textId="77777777" w:rsidR="00A7094B" w:rsidRDefault="00A7094B" w:rsidP="000E3E3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895B30"/>
    <w:multiLevelType w:val="multilevel"/>
    <w:tmpl w:val="0C1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3E30"/>
    <w:rsid w:val="00032A7F"/>
    <w:rsid w:val="000E3E30"/>
    <w:rsid w:val="00103E8E"/>
    <w:rsid w:val="001F20C5"/>
    <w:rsid w:val="001F5D7C"/>
    <w:rsid w:val="002C7B31"/>
    <w:rsid w:val="003875B9"/>
    <w:rsid w:val="003B638C"/>
    <w:rsid w:val="0049596C"/>
    <w:rsid w:val="005339DD"/>
    <w:rsid w:val="0058683C"/>
    <w:rsid w:val="005B0170"/>
    <w:rsid w:val="005B20BF"/>
    <w:rsid w:val="006227CF"/>
    <w:rsid w:val="006F3B3A"/>
    <w:rsid w:val="007945A2"/>
    <w:rsid w:val="007C1212"/>
    <w:rsid w:val="00804407"/>
    <w:rsid w:val="008A2944"/>
    <w:rsid w:val="00A7094B"/>
    <w:rsid w:val="00B0683A"/>
    <w:rsid w:val="00CA2923"/>
    <w:rsid w:val="00CA4114"/>
    <w:rsid w:val="00D82393"/>
    <w:rsid w:val="00E46C56"/>
    <w:rsid w:val="00E509E1"/>
    <w:rsid w:val="00E717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C0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5A2"/>
  </w:style>
  <w:style w:type="paragraph" w:styleId="Heading1">
    <w:name w:val="heading 1"/>
    <w:basedOn w:val="Normal1"/>
    <w:next w:val="Normal1"/>
    <w:rsid w:val="000E3E30"/>
    <w:pPr>
      <w:keepNext/>
      <w:keepLines/>
      <w:spacing w:before="400" w:after="120"/>
      <w:contextualSpacing/>
      <w:outlineLvl w:val="0"/>
    </w:pPr>
    <w:rPr>
      <w:sz w:val="40"/>
      <w:szCs w:val="40"/>
    </w:rPr>
  </w:style>
  <w:style w:type="paragraph" w:styleId="Heading2">
    <w:name w:val="heading 2"/>
    <w:basedOn w:val="Normal1"/>
    <w:next w:val="Normal1"/>
    <w:rsid w:val="000E3E30"/>
    <w:pPr>
      <w:keepNext/>
      <w:keepLines/>
      <w:spacing w:before="360" w:after="120"/>
      <w:contextualSpacing/>
      <w:outlineLvl w:val="1"/>
    </w:pPr>
    <w:rPr>
      <w:sz w:val="32"/>
      <w:szCs w:val="32"/>
    </w:rPr>
  </w:style>
  <w:style w:type="paragraph" w:styleId="Heading3">
    <w:name w:val="heading 3"/>
    <w:basedOn w:val="Normal1"/>
    <w:next w:val="Normal1"/>
    <w:rsid w:val="000E3E30"/>
    <w:pPr>
      <w:keepNext/>
      <w:keepLines/>
      <w:spacing w:before="320" w:after="80"/>
      <w:contextualSpacing/>
      <w:outlineLvl w:val="2"/>
    </w:pPr>
    <w:rPr>
      <w:color w:val="434343"/>
      <w:sz w:val="28"/>
      <w:szCs w:val="28"/>
    </w:rPr>
  </w:style>
  <w:style w:type="paragraph" w:styleId="Heading4">
    <w:name w:val="heading 4"/>
    <w:basedOn w:val="Normal1"/>
    <w:next w:val="Normal1"/>
    <w:rsid w:val="000E3E30"/>
    <w:pPr>
      <w:keepNext/>
      <w:keepLines/>
      <w:spacing w:before="280" w:after="80"/>
      <w:contextualSpacing/>
      <w:outlineLvl w:val="3"/>
    </w:pPr>
    <w:rPr>
      <w:color w:val="666666"/>
      <w:sz w:val="24"/>
      <w:szCs w:val="24"/>
    </w:rPr>
  </w:style>
  <w:style w:type="paragraph" w:styleId="Heading5">
    <w:name w:val="heading 5"/>
    <w:basedOn w:val="Normal1"/>
    <w:next w:val="Normal1"/>
    <w:rsid w:val="000E3E30"/>
    <w:pPr>
      <w:keepNext/>
      <w:keepLines/>
      <w:spacing w:before="240" w:after="80"/>
      <w:contextualSpacing/>
      <w:outlineLvl w:val="4"/>
    </w:pPr>
    <w:rPr>
      <w:color w:val="666666"/>
    </w:rPr>
  </w:style>
  <w:style w:type="paragraph" w:styleId="Heading6">
    <w:name w:val="heading 6"/>
    <w:basedOn w:val="Normal1"/>
    <w:next w:val="Normal1"/>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3E30"/>
  </w:style>
  <w:style w:type="paragraph" w:styleId="Title">
    <w:name w:val="Title"/>
    <w:basedOn w:val="Normal1"/>
    <w:next w:val="Normal1"/>
    <w:rsid w:val="000E3E30"/>
    <w:pPr>
      <w:keepNext/>
      <w:keepLines/>
      <w:spacing w:after="60"/>
      <w:contextualSpacing/>
    </w:pPr>
    <w:rPr>
      <w:sz w:val="52"/>
      <w:szCs w:val="52"/>
    </w:rPr>
  </w:style>
  <w:style w:type="paragraph" w:styleId="Subtitle">
    <w:name w:val="Subtitle"/>
    <w:basedOn w:val="Normal1"/>
    <w:next w:val="Normal1"/>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32A7F"/>
  </w:style>
  <w:style w:type="paragraph" w:styleId="Header">
    <w:name w:val="header"/>
    <w:basedOn w:val="Normal"/>
    <w:link w:val="HeaderChar"/>
    <w:uiPriority w:val="99"/>
    <w:semiHidden/>
    <w:unhideWhenUsed/>
    <w:rsid w:val="00032A7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32A7F"/>
  </w:style>
  <w:style w:type="paragraph" w:styleId="Footer">
    <w:name w:val="footer"/>
    <w:basedOn w:val="Normal"/>
    <w:link w:val="FooterChar"/>
    <w:uiPriority w:val="99"/>
    <w:unhideWhenUsed/>
    <w:rsid w:val="00032A7F"/>
    <w:pPr>
      <w:tabs>
        <w:tab w:val="center" w:pos="4680"/>
        <w:tab w:val="right" w:pos="9360"/>
      </w:tabs>
      <w:spacing w:line="240" w:lineRule="auto"/>
    </w:pPr>
  </w:style>
  <w:style w:type="character" w:customStyle="1" w:styleId="FooterChar">
    <w:name w:val="Footer Char"/>
    <w:basedOn w:val="DefaultParagraphFont"/>
    <w:link w:val="Footer"/>
    <w:uiPriority w:val="99"/>
    <w:rsid w:val="00032A7F"/>
  </w:style>
  <w:style w:type="paragraph" w:styleId="BalloonText">
    <w:name w:val="Balloon Text"/>
    <w:basedOn w:val="Normal"/>
    <w:link w:val="BalloonTextChar"/>
    <w:uiPriority w:val="99"/>
    <w:semiHidden/>
    <w:unhideWhenUsed/>
    <w:rsid w:val="00CA29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9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683C"/>
    <w:rPr>
      <w:sz w:val="18"/>
      <w:szCs w:val="18"/>
    </w:rPr>
  </w:style>
  <w:style w:type="paragraph" w:styleId="CommentText">
    <w:name w:val="annotation text"/>
    <w:basedOn w:val="Normal"/>
    <w:link w:val="CommentTextChar"/>
    <w:uiPriority w:val="99"/>
    <w:semiHidden/>
    <w:unhideWhenUsed/>
    <w:rsid w:val="0058683C"/>
    <w:pPr>
      <w:spacing w:line="240" w:lineRule="auto"/>
    </w:pPr>
    <w:rPr>
      <w:sz w:val="24"/>
      <w:szCs w:val="24"/>
    </w:rPr>
  </w:style>
  <w:style w:type="character" w:customStyle="1" w:styleId="CommentTextChar">
    <w:name w:val="Comment Text Char"/>
    <w:basedOn w:val="DefaultParagraphFont"/>
    <w:link w:val="CommentText"/>
    <w:uiPriority w:val="99"/>
    <w:semiHidden/>
    <w:rsid w:val="0058683C"/>
    <w:rPr>
      <w:sz w:val="24"/>
      <w:szCs w:val="24"/>
    </w:rPr>
  </w:style>
  <w:style w:type="paragraph" w:styleId="CommentSubject">
    <w:name w:val="annotation subject"/>
    <w:basedOn w:val="CommentText"/>
    <w:next w:val="CommentText"/>
    <w:link w:val="CommentSubjectChar"/>
    <w:uiPriority w:val="99"/>
    <w:semiHidden/>
    <w:unhideWhenUsed/>
    <w:rsid w:val="0058683C"/>
    <w:rPr>
      <w:b/>
      <w:bCs/>
      <w:sz w:val="20"/>
      <w:szCs w:val="20"/>
    </w:rPr>
  </w:style>
  <w:style w:type="character" w:customStyle="1" w:styleId="CommentSubjectChar">
    <w:name w:val="Comment Subject Char"/>
    <w:basedOn w:val="CommentTextChar"/>
    <w:link w:val="CommentSubject"/>
    <w:uiPriority w:val="99"/>
    <w:semiHidden/>
    <w:rsid w:val="005868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 w:id="2040471396">
      <w:bodyDiv w:val="1"/>
      <w:marLeft w:val="0"/>
      <w:marRight w:val="0"/>
      <w:marTop w:val="0"/>
      <w:marBottom w:val="0"/>
      <w:divBdr>
        <w:top w:val="none" w:sz="0" w:space="0" w:color="auto"/>
        <w:left w:val="none" w:sz="0" w:space="0" w:color="auto"/>
        <w:bottom w:val="none" w:sz="0" w:space="0" w:color="auto"/>
        <w:right w:val="none" w:sz="0" w:space="0" w:color="auto"/>
      </w:divBdr>
      <w:divsChild>
        <w:div w:id="1343896039">
          <w:marLeft w:val="0"/>
          <w:marRight w:val="0"/>
          <w:marTop w:val="0"/>
          <w:marBottom w:val="240"/>
          <w:divBdr>
            <w:top w:val="none" w:sz="0" w:space="0" w:color="auto"/>
            <w:left w:val="none" w:sz="0" w:space="0" w:color="auto"/>
            <w:bottom w:val="none" w:sz="0" w:space="0" w:color="auto"/>
            <w:right w:val="none" w:sz="0" w:space="0" w:color="auto"/>
          </w:divBdr>
        </w:div>
        <w:div w:id="619147080">
          <w:marLeft w:val="0"/>
          <w:marRight w:val="0"/>
          <w:marTop w:val="0"/>
          <w:marBottom w:val="240"/>
          <w:divBdr>
            <w:top w:val="none" w:sz="0" w:space="0" w:color="auto"/>
            <w:left w:val="none" w:sz="0" w:space="0" w:color="auto"/>
            <w:bottom w:val="none" w:sz="0" w:space="0" w:color="auto"/>
            <w:right w:val="none" w:sz="0" w:space="0" w:color="auto"/>
          </w:divBdr>
        </w:div>
        <w:div w:id="943923841">
          <w:marLeft w:val="0"/>
          <w:marRight w:val="0"/>
          <w:marTop w:val="0"/>
          <w:marBottom w:val="240"/>
          <w:divBdr>
            <w:top w:val="none" w:sz="0" w:space="0" w:color="auto"/>
            <w:left w:val="none" w:sz="0" w:space="0" w:color="auto"/>
            <w:bottom w:val="none" w:sz="0" w:space="0" w:color="auto"/>
            <w:right w:val="none" w:sz="0" w:space="0" w:color="auto"/>
          </w:divBdr>
        </w:div>
        <w:div w:id="1178736400">
          <w:marLeft w:val="0"/>
          <w:marRight w:val="0"/>
          <w:marTop w:val="0"/>
          <w:marBottom w:val="0"/>
          <w:divBdr>
            <w:top w:val="none" w:sz="0" w:space="0" w:color="auto"/>
            <w:left w:val="none" w:sz="0" w:space="0" w:color="auto"/>
            <w:bottom w:val="none" w:sz="0" w:space="0" w:color="auto"/>
            <w:right w:val="none" w:sz="0" w:space="0" w:color="auto"/>
          </w:divBdr>
        </w:div>
        <w:div w:id="1462843771">
          <w:marLeft w:val="0"/>
          <w:marRight w:val="0"/>
          <w:marTop w:val="0"/>
          <w:marBottom w:val="240"/>
          <w:divBdr>
            <w:top w:val="none" w:sz="0" w:space="0" w:color="auto"/>
            <w:left w:val="none" w:sz="0" w:space="0" w:color="auto"/>
            <w:bottom w:val="none" w:sz="0" w:space="0" w:color="auto"/>
            <w:right w:val="none" w:sz="0" w:space="0" w:color="auto"/>
          </w:divBdr>
        </w:div>
        <w:div w:id="1255433632">
          <w:marLeft w:val="0"/>
          <w:marRight w:val="0"/>
          <w:marTop w:val="0"/>
          <w:marBottom w:val="240"/>
          <w:divBdr>
            <w:top w:val="none" w:sz="0" w:space="0" w:color="auto"/>
            <w:left w:val="none" w:sz="0" w:space="0" w:color="auto"/>
            <w:bottom w:val="none" w:sz="0" w:space="0" w:color="auto"/>
            <w:right w:val="none" w:sz="0" w:space="0" w:color="auto"/>
          </w:divBdr>
        </w:div>
        <w:div w:id="1471095556">
          <w:marLeft w:val="0"/>
          <w:marRight w:val="0"/>
          <w:marTop w:val="0"/>
          <w:marBottom w:val="240"/>
          <w:divBdr>
            <w:top w:val="none" w:sz="0" w:space="0" w:color="auto"/>
            <w:left w:val="none" w:sz="0" w:space="0" w:color="auto"/>
            <w:bottom w:val="none" w:sz="0" w:space="0" w:color="auto"/>
            <w:right w:val="none" w:sz="0" w:space="0" w:color="auto"/>
          </w:divBdr>
        </w:div>
        <w:div w:id="197397247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1E7046-7731-C14E-97AE-6430A7321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7</Pages>
  <Words>8172</Words>
  <Characters>46587</Characters>
  <Application>Microsoft Macintosh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8</cp:revision>
  <cp:lastPrinted>2016-10-28T16:56:00Z</cp:lastPrinted>
  <dcterms:created xsi:type="dcterms:W3CDTF">2016-10-28T15:41:00Z</dcterms:created>
  <dcterms:modified xsi:type="dcterms:W3CDTF">2016-11-25T15:04:00Z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