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BA5" w:rsidRPr="00771BA5" w:rsidRDefault="00771BA5" w:rsidP="00771BA5">
      <w:pPr>
        <w:pBdr>
          <w:bottom w:val="single" w:sz="6" w:space="4" w:color="EAECEF"/>
        </w:pBdr>
        <w:spacing w:before="100" w:beforeAutospacing="1" w:after="240"/>
        <w:outlineLvl w:val="0"/>
        <w:rPr>
          <w:rStyle w:val="Strong"/>
          <w:rFonts w:ascii="Segoe UI" w:eastAsia="Times New Roman" w:hAnsi="Segoe UI" w:cs="Segoe UI"/>
          <w:color w:val="24292E"/>
          <w:kern w:val="36"/>
          <w:sz w:val="48"/>
          <w:szCs w:val="48"/>
        </w:rPr>
      </w:pPr>
      <w:r w:rsidRPr="00771BA5">
        <w:rPr>
          <w:rFonts w:ascii="Segoe UI" w:eastAsia="Times New Roman" w:hAnsi="Segoe UI" w:cs="Segoe UI"/>
          <w:b/>
          <w:bCs/>
          <w:color w:val="24292E"/>
          <w:kern w:val="36"/>
          <w:sz w:val="48"/>
          <w:szCs w:val="48"/>
        </w:rPr>
        <w:t>Capstone Project Proposal 01</w:t>
      </w:r>
    </w:p>
    <w:p w:rsidR="00DA2624" w:rsidRPr="0066640F" w:rsidRDefault="00DA2624" w:rsidP="00DA2624">
      <w:pPr>
        <w:pStyle w:val="Heading1"/>
      </w:pPr>
      <w:r w:rsidRPr="0066640F">
        <w:t>Background</w:t>
      </w:r>
    </w:p>
    <w:p w:rsidR="00DA2624" w:rsidRDefault="00DA2624" w:rsidP="00DA2624"/>
    <w:p w:rsidR="0066640F" w:rsidRDefault="00DA2624" w:rsidP="0066640F">
      <w:pPr>
        <w:rPr>
          <w:rFonts w:ascii="Arial" w:hAnsi="Arial" w:cs="Arial"/>
          <w:color w:val="000000"/>
          <w:sz w:val="20"/>
          <w:szCs w:val="20"/>
        </w:rPr>
      </w:pPr>
      <w:r>
        <w:rPr>
          <w:rFonts w:ascii="Arial" w:hAnsi="Arial" w:cs="Arial"/>
          <w:color w:val="000000"/>
          <w:sz w:val="20"/>
          <w:szCs w:val="20"/>
        </w:rPr>
        <w:t xml:space="preserve">The Introduction provides a brief overview of current trends in American education, highlighting key data -   </w:t>
      </w:r>
      <w:r w:rsidR="0066640F">
        <w:rPr>
          <w:rFonts w:ascii="Arial" w:hAnsi="Arial" w:cs="Arial"/>
          <w:color w:val="000000"/>
          <w:sz w:val="20"/>
          <w:szCs w:val="20"/>
        </w:rPr>
        <w:t>-</w:t>
      </w:r>
      <w:r w:rsidR="000D0BA2">
        <w:rPr>
          <w:rFonts w:ascii="Arial" w:hAnsi="Arial" w:cs="Arial"/>
          <w:color w:val="000000"/>
          <w:sz w:val="20"/>
          <w:szCs w:val="20"/>
        </w:rPr>
        <w:t xml:space="preserve"> </w:t>
      </w:r>
      <w:r>
        <w:rPr>
          <w:rFonts w:ascii="Arial" w:hAnsi="Arial" w:cs="Arial"/>
          <w:color w:val="000000"/>
          <w:sz w:val="20"/>
          <w:szCs w:val="20"/>
        </w:rPr>
        <w:t xml:space="preserve">participation of students, teachers, and faculty in U.S. educational institutions; </w:t>
      </w:r>
      <w:r>
        <w:rPr>
          <w:rFonts w:ascii="Arial" w:hAnsi="Arial" w:cs="Arial"/>
          <w:color w:val="000000"/>
          <w:sz w:val="20"/>
          <w:szCs w:val="20"/>
        </w:rPr>
        <w:br/>
      </w:r>
      <w:r w:rsidR="0066640F">
        <w:rPr>
          <w:rFonts w:ascii="Arial" w:hAnsi="Arial" w:cs="Arial"/>
          <w:color w:val="000000"/>
          <w:sz w:val="20"/>
          <w:szCs w:val="20"/>
        </w:rPr>
        <w:t>-</w:t>
      </w:r>
      <w:r w:rsidR="000D0BA2">
        <w:rPr>
          <w:rFonts w:ascii="Arial" w:hAnsi="Arial" w:cs="Arial"/>
          <w:color w:val="000000"/>
          <w:sz w:val="20"/>
          <w:szCs w:val="20"/>
        </w:rPr>
        <w:t xml:space="preserve"> </w:t>
      </w:r>
      <w:r>
        <w:rPr>
          <w:rFonts w:ascii="Arial" w:hAnsi="Arial" w:cs="Arial"/>
          <w:color w:val="000000"/>
          <w:sz w:val="20"/>
          <w:szCs w:val="20"/>
        </w:rPr>
        <w:t xml:space="preserve">performance of U.S. elementary/secondary students overall; </w:t>
      </w:r>
      <w:r>
        <w:rPr>
          <w:rFonts w:ascii="Arial" w:hAnsi="Arial" w:cs="Arial"/>
          <w:color w:val="000000"/>
          <w:sz w:val="20"/>
          <w:szCs w:val="20"/>
        </w:rPr>
        <w:br/>
      </w:r>
      <w:r w:rsidR="0066640F">
        <w:rPr>
          <w:rFonts w:ascii="Arial" w:hAnsi="Arial" w:cs="Arial"/>
          <w:color w:val="000000"/>
          <w:sz w:val="20"/>
          <w:szCs w:val="20"/>
        </w:rPr>
        <w:t>-</w:t>
      </w:r>
      <w:r w:rsidR="000D0BA2">
        <w:rPr>
          <w:rFonts w:ascii="Arial" w:hAnsi="Arial" w:cs="Arial"/>
          <w:color w:val="000000"/>
          <w:sz w:val="20"/>
          <w:szCs w:val="20"/>
        </w:rPr>
        <w:t xml:space="preserve"> </w:t>
      </w:r>
      <w:r>
        <w:rPr>
          <w:rFonts w:ascii="Arial" w:hAnsi="Arial" w:cs="Arial"/>
          <w:color w:val="000000"/>
          <w:sz w:val="20"/>
          <w:szCs w:val="20"/>
        </w:rPr>
        <w:t xml:space="preserve">numbers of high school graduates and postsecondary degrees; and </w:t>
      </w:r>
      <w:r>
        <w:rPr>
          <w:rFonts w:ascii="Arial" w:hAnsi="Arial" w:cs="Arial"/>
          <w:color w:val="000000"/>
          <w:sz w:val="20"/>
          <w:szCs w:val="20"/>
        </w:rPr>
        <w:br/>
      </w:r>
      <w:r w:rsidR="0066640F">
        <w:rPr>
          <w:rFonts w:ascii="Arial" w:hAnsi="Arial" w:cs="Arial"/>
          <w:color w:val="000000"/>
          <w:sz w:val="20"/>
          <w:szCs w:val="20"/>
        </w:rPr>
        <w:t>-</w:t>
      </w:r>
      <w:r w:rsidR="000D0BA2">
        <w:rPr>
          <w:rFonts w:ascii="Arial" w:hAnsi="Arial" w:cs="Arial"/>
          <w:color w:val="000000"/>
          <w:sz w:val="20"/>
          <w:szCs w:val="20"/>
        </w:rPr>
        <w:t xml:space="preserve"> </w:t>
      </w:r>
      <w:r>
        <w:rPr>
          <w:rFonts w:ascii="Arial" w:hAnsi="Arial" w:cs="Arial"/>
          <w:color w:val="000000"/>
          <w:sz w:val="20"/>
          <w:szCs w:val="20"/>
        </w:rPr>
        <w:t>the amounts of expenditures on education at the elementary/secondary and postsecondary levels.</w:t>
      </w:r>
      <w:r w:rsidR="0066640F">
        <w:rPr>
          <w:rFonts w:ascii="Arial" w:hAnsi="Arial" w:cs="Arial"/>
          <w:color w:val="000000"/>
          <w:sz w:val="20"/>
          <w:szCs w:val="20"/>
        </w:rPr>
        <w:br/>
      </w:r>
      <w:r w:rsidR="0066640F">
        <w:rPr>
          <w:rFonts w:ascii="Arial" w:hAnsi="Arial" w:cs="Arial"/>
          <w:color w:val="000000"/>
          <w:sz w:val="20"/>
          <w:szCs w:val="20"/>
        </w:rPr>
        <w:br/>
      </w:r>
      <w:r w:rsidR="0066640F" w:rsidRPr="0066640F">
        <w:rPr>
          <w:rStyle w:val="Heading1Char"/>
        </w:rPr>
        <w:t>ED Data Inventory</w:t>
      </w:r>
    </w:p>
    <w:p w:rsidR="0066640F" w:rsidRPr="0066640F" w:rsidRDefault="0066640F" w:rsidP="0066640F">
      <w:pPr>
        <w:rPr>
          <w:rFonts w:ascii="Arial" w:hAnsi="Arial" w:cs="Arial"/>
          <w:color w:val="000000"/>
          <w:sz w:val="20"/>
          <w:szCs w:val="20"/>
        </w:rPr>
      </w:pPr>
    </w:p>
    <w:p w:rsidR="00771BA5" w:rsidRPr="00CF4206" w:rsidRDefault="00771BA5" w:rsidP="00EC749A">
      <w:pPr>
        <w:rPr>
          <w:rFonts w:ascii="Arial" w:hAnsi="Arial" w:cs="Arial"/>
          <w:color w:val="333333"/>
          <w:sz w:val="20"/>
          <w:szCs w:val="20"/>
          <w:shd w:val="clear" w:color="auto" w:fill="FFFFFF"/>
        </w:rPr>
      </w:pPr>
      <w:r w:rsidRPr="00CF4206">
        <w:rPr>
          <w:rFonts w:ascii="Arial" w:hAnsi="Arial" w:cs="Arial"/>
          <w:color w:val="333333"/>
          <w:sz w:val="20"/>
          <w:szCs w:val="20"/>
          <w:shd w:val="clear" w:color="auto" w:fill="FFFFFF"/>
        </w:rPr>
        <w:t>The goal of the ED Data Inventory is to describe all data reported to the Department of Education, with the exception of personnel and administrative data. It includes data collected as part of grant activities, along with statistical data collected to allow publication of valuable statistics about the state of education in this country. The ED Data Inventory includes descriptive information about each data collection, along with information on the specific data elements in individual collections.</w:t>
      </w:r>
    </w:p>
    <w:p w:rsidR="0091090A" w:rsidRPr="0091090A" w:rsidRDefault="00CF4206" w:rsidP="00CF4206">
      <w:pPr>
        <w:pStyle w:val="Heading1"/>
        <w:rPr>
          <w:shd w:val="clear" w:color="auto" w:fill="FFFFFF"/>
        </w:rPr>
      </w:pPr>
      <w:r>
        <w:rPr>
          <w:rFonts w:ascii="Arial" w:hAnsi="Arial" w:cs="Arial"/>
          <w:color w:val="333333"/>
          <w:sz w:val="18"/>
          <w:szCs w:val="18"/>
          <w:shd w:val="clear" w:color="auto" w:fill="FFFFFF"/>
        </w:rPr>
        <w:t xml:space="preserve"> </w:t>
      </w:r>
      <w:r w:rsidR="0091090A" w:rsidRPr="0091090A">
        <w:rPr>
          <w:shd w:val="clear" w:color="auto" w:fill="FFFFFF"/>
        </w:rPr>
        <w:t>Selected Criteria</w:t>
      </w:r>
      <w:r>
        <w:rPr>
          <w:shd w:val="clear" w:color="auto" w:fill="FFFFFF"/>
        </w:rPr>
        <w:br/>
      </w:r>
    </w:p>
    <w:tbl>
      <w:tblPr>
        <w:tblW w:w="14085" w:type="dxa"/>
        <w:tblCellMar>
          <w:top w:w="15" w:type="dxa"/>
          <w:left w:w="15" w:type="dxa"/>
          <w:bottom w:w="15" w:type="dxa"/>
          <w:right w:w="15" w:type="dxa"/>
        </w:tblCellMar>
        <w:tblLook w:val="04A0" w:firstRow="1" w:lastRow="0" w:firstColumn="1" w:lastColumn="0" w:noHBand="0" w:noVBand="1"/>
      </w:tblPr>
      <w:tblGrid>
        <w:gridCol w:w="1500"/>
        <w:gridCol w:w="12585"/>
      </w:tblGrid>
      <w:tr w:rsidR="0091090A" w:rsidRPr="0091090A" w:rsidTr="0091090A">
        <w:trPr>
          <w:tblHeader/>
        </w:trPr>
        <w:tc>
          <w:tcPr>
            <w:tcW w:w="0" w:type="auto"/>
            <w:gridSpan w:val="2"/>
            <w:tcBorders>
              <w:top w:val="nil"/>
              <w:left w:val="nil"/>
              <w:bottom w:val="nil"/>
              <w:right w:val="nil"/>
            </w:tcBorders>
            <w:shd w:val="clear" w:color="auto" w:fill="auto"/>
            <w:tcMar>
              <w:top w:w="0" w:type="dxa"/>
              <w:left w:w="0" w:type="dxa"/>
              <w:bottom w:w="0" w:type="dxa"/>
              <w:right w:w="0" w:type="dxa"/>
            </w:tcMar>
            <w:vAlign w:val="center"/>
            <w:hideMark/>
          </w:tcPr>
          <w:p w:rsidR="0091090A" w:rsidRPr="00CF4206" w:rsidRDefault="0091090A" w:rsidP="00FA6D20">
            <w:pPr>
              <w:rPr>
                <w:rFonts w:ascii="Arial" w:hAnsi="Arial" w:cs="Arial"/>
                <w:sz w:val="20"/>
                <w:szCs w:val="20"/>
              </w:rPr>
            </w:pPr>
          </w:p>
        </w:tc>
      </w:tr>
      <w:tr w:rsidR="0091090A" w:rsidRPr="0091090A" w:rsidTr="0091090A">
        <w:trPr>
          <w:tblHeader/>
        </w:trPr>
        <w:tc>
          <w:tcPr>
            <w:tcW w:w="0" w:type="auto"/>
            <w:gridSpan w:val="2"/>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b/>
                <w:bCs/>
                <w:color w:val="333333"/>
                <w:sz w:val="18"/>
                <w:szCs w:val="18"/>
                <w:shd w:val="clear" w:color="auto" w:fill="FFFFFF"/>
              </w:rPr>
            </w:pPr>
            <w:r w:rsidRPr="0091090A">
              <w:rPr>
                <w:rFonts w:ascii="Arial" w:hAnsi="Arial" w:cs="Arial"/>
                <w:b/>
                <w:bCs/>
                <w:color w:val="333333"/>
                <w:sz w:val="18"/>
                <w:szCs w:val="18"/>
                <w:shd w:val="clear" w:color="auto" w:fill="FFFFFF"/>
              </w:rPr>
              <w:t>NAEP (National Assessment of Educational Progress)</w:t>
            </w:r>
          </w:p>
        </w:tc>
      </w:tr>
      <w:tr w:rsidR="0091090A" w:rsidRPr="0091090A" w:rsidTr="0091090A">
        <w:tc>
          <w:tcPr>
            <w:tcW w:w="14085" w:type="dxa"/>
            <w:gridSpan w:val="2"/>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Mathematics, Grade 4, 1990¹, 1992¹, 1996¹, 1996, 2000¹, 2000, 2003, 2005, 2007, 2009, 2011, 2013, 2015, 2017</w:t>
            </w:r>
          </w:p>
        </w:tc>
      </w:tr>
      <w:tr w:rsidR="0091090A" w:rsidRPr="0091090A" w:rsidTr="0091090A">
        <w:tc>
          <w:tcPr>
            <w:tcW w:w="1500" w:type="dxa"/>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Framework:</w:t>
            </w:r>
          </w:p>
        </w:tc>
        <w:tc>
          <w:tcPr>
            <w:tcW w:w="0" w:type="auto"/>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1990 Mathematics</w:t>
            </w:r>
          </w:p>
        </w:tc>
      </w:tr>
      <w:tr w:rsidR="0091090A" w:rsidRPr="0091090A" w:rsidTr="0091090A">
        <w:tc>
          <w:tcPr>
            <w:tcW w:w="1500" w:type="dxa"/>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Scale:</w:t>
            </w:r>
          </w:p>
        </w:tc>
        <w:tc>
          <w:tcPr>
            <w:tcW w:w="0" w:type="auto"/>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Composite scale</w:t>
            </w:r>
          </w:p>
        </w:tc>
      </w:tr>
      <w:tr w:rsidR="0091090A" w:rsidRPr="0091090A" w:rsidTr="0091090A">
        <w:tc>
          <w:tcPr>
            <w:tcW w:w="1500" w:type="dxa"/>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Jurisdiction:</w:t>
            </w:r>
          </w:p>
        </w:tc>
        <w:tc>
          <w:tcPr>
            <w:tcW w:w="0" w:type="auto"/>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National</w:t>
            </w:r>
          </w:p>
        </w:tc>
      </w:tr>
      <w:tr w:rsidR="0091090A" w:rsidRPr="0091090A" w:rsidTr="0066640F">
        <w:trPr>
          <w:trHeight w:val="80"/>
        </w:trPr>
        <w:tc>
          <w:tcPr>
            <w:tcW w:w="1500" w:type="dxa"/>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Variables:</w:t>
            </w:r>
          </w:p>
        </w:tc>
        <w:tc>
          <w:tcPr>
            <w:tcW w:w="0" w:type="auto"/>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All students [TOTAL]</w:t>
            </w:r>
          </w:p>
        </w:tc>
      </w:tr>
      <w:tr w:rsidR="0091090A" w:rsidRPr="0091090A" w:rsidTr="00CF4206">
        <w:trPr>
          <w:trHeight w:val="80"/>
        </w:trPr>
        <w:tc>
          <w:tcPr>
            <w:tcW w:w="1500" w:type="dxa"/>
            <w:shd w:val="clear" w:color="auto" w:fill="auto"/>
            <w:tcMar>
              <w:top w:w="0" w:type="dxa"/>
              <w:left w:w="0" w:type="dxa"/>
              <w:bottom w:w="0" w:type="dxa"/>
              <w:right w:w="15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Statistic:</w:t>
            </w:r>
          </w:p>
        </w:tc>
        <w:tc>
          <w:tcPr>
            <w:tcW w:w="0" w:type="auto"/>
            <w:shd w:val="clear" w:color="auto" w:fill="auto"/>
            <w:tcMar>
              <w:top w:w="0" w:type="dxa"/>
              <w:left w:w="0" w:type="dxa"/>
              <w:bottom w:w="0" w:type="dxa"/>
              <w:right w:w="0" w:type="dxa"/>
            </w:tcMar>
            <w:hideMark/>
          </w:tcPr>
          <w:p w:rsidR="0091090A" w:rsidRPr="0091090A" w:rsidRDefault="0091090A" w:rsidP="0091090A">
            <w:pPr>
              <w:spacing w:after="200"/>
              <w:rPr>
                <w:rFonts w:ascii="Arial" w:hAnsi="Arial" w:cs="Arial"/>
                <w:color w:val="333333"/>
                <w:sz w:val="18"/>
                <w:szCs w:val="18"/>
                <w:shd w:val="clear" w:color="auto" w:fill="FFFFFF"/>
              </w:rPr>
            </w:pPr>
            <w:r w:rsidRPr="0091090A">
              <w:rPr>
                <w:rFonts w:ascii="Arial" w:hAnsi="Arial" w:cs="Arial"/>
                <w:color w:val="333333"/>
                <w:sz w:val="18"/>
                <w:szCs w:val="18"/>
                <w:shd w:val="clear" w:color="auto" w:fill="FFFFFF"/>
              </w:rPr>
              <w:t>Average scale scores</w:t>
            </w:r>
          </w:p>
        </w:tc>
      </w:tr>
    </w:tbl>
    <w:p w:rsidR="0091090A" w:rsidRPr="00CF4206" w:rsidRDefault="0091090A" w:rsidP="00EC749A">
      <w:pPr>
        <w:rPr>
          <w:rFonts w:ascii="Arial" w:hAnsi="Arial" w:cs="Arial"/>
          <w:color w:val="333333"/>
          <w:sz w:val="20"/>
          <w:szCs w:val="20"/>
          <w:shd w:val="clear" w:color="auto" w:fill="FFFFFF"/>
        </w:rPr>
      </w:pPr>
    </w:p>
    <w:p w:rsidR="00771BA5" w:rsidRPr="00CF4206" w:rsidRDefault="001022E3" w:rsidP="00EC749A">
      <w:pPr>
        <w:rPr>
          <w:rFonts w:ascii="Arial" w:hAnsi="Arial" w:cs="Arial"/>
          <w:sz w:val="20"/>
          <w:szCs w:val="20"/>
        </w:rPr>
      </w:pPr>
      <w:hyperlink r:id="rId9" w:history="1">
        <w:r w:rsidR="00771BA5" w:rsidRPr="00CF4206">
          <w:rPr>
            <w:rStyle w:val="Hyperlink"/>
            <w:rFonts w:ascii="Arial" w:hAnsi="Arial" w:cs="Arial"/>
            <w:sz w:val="20"/>
            <w:szCs w:val="20"/>
          </w:rPr>
          <w:t>https://datainventory.ed.gov</w:t>
        </w:r>
      </w:hyperlink>
      <w:r w:rsidR="00771BA5" w:rsidRPr="00CF4206">
        <w:rPr>
          <w:rFonts w:ascii="Arial" w:hAnsi="Arial" w:cs="Arial"/>
          <w:sz w:val="20"/>
          <w:szCs w:val="20"/>
        </w:rPr>
        <w:t xml:space="preserve"> </w:t>
      </w:r>
    </w:p>
    <w:p w:rsidR="00F1528F" w:rsidRPr="00CF4206" w:rsidRDefault="001022E3" w:rsidP="00EC749A">
      <w:pPr>
        <w:rPr>
          <w:rFonts w:ascii="Arial" w:hAnsi="Arial" w:cs="Arial"/>
          <w:sz w:val="20"/>
          <w:szCs w:val="20"/>
        </w:rPr>
      </w:pPr>
      <w:hyperlink r:id="rId10" w:history="1">
        <w:r w:rsidR="00771BA5" w:rsidRPr="00CF4206">
          <w:rPr>
            <w:rStyle w:val="Hyperlink"/>
            <w:rFonts w:ascii="Arial" w:hAnsi="Arial" w:cs="Arial"/>
            <w:sz w:val="20"/>
            <w:szCs w:val="20"/>
          </w:rPr>
          <w:t>https://datainventory.ed.gov/AboutTheInventory</w:t>
        </w:r>
      </w:hyperlink>
      <w:r w:rsidR="00771BA5" w:rsidRPr="00CF4206">
        <w:rPr>
          <w:rFonts w:ascii="Arial" w:hAnsi="Arial" w:cs="Arial"/>
          <w:sz w:val="20"/>
          <w:szCs w:val="20"/>
        </w:rPr>
        <w:t xml:space="preserve"> </w:t>
      </w:r>
    </w:p>
    <w:p w:rsidR="00771BA5" w:rsidRPr="00CF4206" w:rsidRDefault="001022E3" w:rsidP="00EC749A">
      <w:pPr>
        <w:rPr>
          <w:rFonts w:ascii="Arial" w:hAnsi="Arial" w:cs="Arial"/>
          <w:sz w:val="20"/>
          <w:szCs w:val="20"/>
        </w:rPr>
      </w:pPr>
      <w:hyperlink r:id="rId11" w:history="1">
        <w:r w:rsidR="00771BA5" w:rsidRPr="00CF4206">
          <w:rPr>
            <w:rStyle w:val="Hyperlink"/>
            <w:rFonts w:ascii="Arial" w:hAnsi="Arial" w:cs="Arial"/>
            <w:sz w:val="20"/>
            <w:szCs w:val="20"/>
          </w:rPr>
          <w:t>https://nces.ed.gov/surveys/annualreports/</w:t>
        </w:r>
      </w:hyperlink>
      <w:r w:rsidR="00771BA5" w:rsidRPr="00CF4206">
        <w:rPr>
          <w:rFonts w:ascii="Arial" w:hAnsi="Arial" w:cs="Arial"/>
          <w:sz w:val="20"/>
          <w:szCs w:val="20"/>
        </w:rPr>
        <w:t xml:space="preserve"> </w:t>
      </w:r>
    </w:p>
    <w:p w:rsidR="00DF3017" w:rsidRPr="00CF4206" w:rsidRDefault="001022E3" w:rsidP="00EC749A">
      <w:pPr>
        <w:rPr>
          <w:rFonts w:ascii="Arial" w:hAnsi="Arial" w:cs="Arial"/>
          <w:sz w:val="20"/>
          <w:szCs w:val="20"/>
        </w:rPr>
      </w:pPr>
      <w:hyperlink r:id="rId12" w:history="1">
        <w:r w:rsidR="005F2AB9" w:rsidRPr="00CF4206">
          <w:rPr>
            <w:rStyle w:val="Hyperlink"/>
            <w:rFonts w:ascii="Arial" w:hAnsi="Arial" w:cs="Arial"/>
            <w:sz w:val="20"/>
            <w:szCs w:val="20"/>
          </w:rPr>
          <w:t>https://nces.ed.gov/programs/digest/d16/tables/dt16_501.50.asp</w:t>
        </w:r>
      </w:hyperlink>
    </w:p>
    <w:p w:rsidR="005F2AB9" w:rsidRPr="00CF4206" w:rsidRDefault="001022E3" w:rsidP="00EC749A">
      <w:pPr>
        <w:rPr>
          <w:rStyle w:val="Hyperlink"/>
          <w:rFonts w:ascii="Arial" w:hAnsi="Arial" w:cs="Arial"/>
          <w:sz w:val="20"/>
          <w:szCs w:val="20"/>
        </w:rPr>
      </w:pPr>
      <w:hyperlink r:id="rId13" w:history="1">
        <w:r w:rsidR="005F2AB9" w:rsidRPr="00CF4206">
          <w:rPr>
            <w:rStyle w:val="Hyperlink"/>
            <w:rFonts w:ascii="Arial" w:hAnsi="Arial" w:cs="Arial"/>
            <w:sz w:val="20"/>
            <w:szCs w:val="20"/>
          </w:rPr>
          <w:t>https://nces.ed.gov/programs/digest/d16/tables/dt16_318.30.asp?current=yes</w:t>
        </w:r>
      </w:hyperlink>
    </w:p>
    <w:p w:rsidR="0091090A" w:rsidRDefault="0091090A" w:rsidP="00EC749A">
      <w:pPr>
        <w:rPr>
          <w:rStyle w:val="Hyperlink"/>
        </w:rPr>
      </w:pPr>
    </w:p>
    <w:p w:rsidR="00CF4206" w:rsidRPr="0037258A" w:rsidRDefault="00CF4206" w:rsidP="00AB25E7">
      <w:pPr>
        <w:pStyle w:val="Heading1"/>
        <w:rPr>
          <w:rStyle w:val="Heading2Char"/>
          <w:b/>
          <w:bCs/>
          <w:color w:val="365F91" w:themeColor="accent1" w:themeShade="BF"/>
          <w:sz w:val="28"/>
          <w:szCs w:val="28"/>
        </w:rPr>
      </w:pPr>
      <w:r w:rsidRPr="00CF4206">
        <w:lastRenderedPageBreak/>
        <w:t>Approa</w:t>
      </w:r>
      <w:r w:rsidR="0037258A">
        <w:t>ch</w:t>
      </w:r>
      <w:r w:rsidR="0037258A">
        <w:br/>
      </w:r>
      <w:bookmarkStart w:id="0" w:name="_GoBack"/>
      <w:bookmarkEnd w:id="0"/>
      <w:r w:rsidR="0037258A">
        <w:br/>
        <w:t>Files available for this study:</w:t>
      </w:r>
      <w:r w:rsidR="004D644D">
        <w:br/>
      </w:r>
      <w:r w:rsidR="00A70E46">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Excel.Sheet.8" ShapeID="_x0000_i1025" DrawAspect="Icon" ObjectID="_1594056118" r:id="rId15"/>
        </w:object>
      </w:r>
      <w:r w:rsidR="00DA30FB">
        <w:br/>
      </w:r>
      <w:r w:rsidR="00883127">
        <w:rPr>
          <w:rFonts w:ascii="Arial" w:hAnsi="Arial" w:cs="Arial"/>
          <w:sz w:val="20"/>
          <w:szCs w:val="20"/>
        </w:rPr>
        <w:t xml:space="preserve"> </w:t>
      </w:r>
      <w:hyperlink r:id="rId16" w:history="1">
        <w:r w:rsidR="00883127" w:rsidRPr="00972FE3">
          <w:rPr>
            <w:rStyle w:val="Hyperlink"/>
            <w:rFonts w:ascii="Arial" w:hAnsi="Arial" w:cs="Arial"/>
            <w:sz w:val="20"/>
            <w:szCs w:val="20"/>
          </w:rPr>
          <w:t>https://nces.ed.gov/programs/</w:t>
        </w:r>
        <w:r w:rsidR="00883127" w:rsidRPr="00972FE3">
          <w:rPr>
            <w:rStyle w:val="Hyperlink"/>
            <w:rFonts w:ascii="Arial" w:hAnsi="Arial" w:cs="Arial"/>
            <w:sz w:val="20"/>
            <w:szCs w:val="20"/>
          </w:rPr>
          <w:t>d</w:t>
        </w:r>
        <w:r w:rsidR="00883127" w:rsidRPr="00972FE3">
          <w:rPr>
            <w:rStyle w:val="Hyperlink"/>
            <w:rFonts w:ascii="Arial" w:hAnsi="Arial" w:cs="Arial"/>
            <w:sz w:val="20"/>
            <w:szCs w:val="20"/>
          </w:rPr>
          <w:t>igest/d13/tables/dt13_221.10.asp</w:t>
        </w:r>
      </w:hyperlink>
      <w:r w:rsidR="00883127">
        <w:rPr>
          <w:rFonts w:ascii="Arial" w:hAnsi="Arial" w:cs="Arial"/>
          <w:sz w:val="20"/>
          <w:szCs w:val="20"/>
        </w:rPr>
        <w:t xml:space="preserve"> </w:t>
      </w:r>
      <w:r w:rsidR="00DA30FB">
        <w:rPr>
          <w:rFonts w:ascii="Arial" w:hAnsi="Arial" w:cs="Arial"/>
          <w:sz w:val="20"/>
          <w:szCs w:val="20"/>
        </w:rPr>
        <w:br/>
      </w:r>
    </w:p>
    <w:p w:rsidR="004D644D" w:rsidRDefault="004D644D" w:rsidP="004D644D">
      <w:pPr>
        <w:keepNext/>
        <w:keepLines/>
        <w:widowControl w:val="0"/>
        <w:ind w:left="360"/>
        <w:rPr>
          <w:rFonts w:ascii="Arial" w:hAnsi="Arial" w:cs="Arial"/>
          <w:sz w:val="20"/>
          <w:szCs w:val="20"/>
        </w:rPr>
      </w:pPr>
    </w:p>
    <w:p w:rsidR="00AB25E7" w:rsidRPr="004D644D" w:rsidRDefault="00AB25E7" w:rsidP="004D644D">
      <w:pPr>
        <w:pStyle w:val="ListParagraph"/>
        <w:keepNext/>
        <w:keepLines/>
        <w:widowControl w:val="0"/>
        <w:numPr>
          <w:ilvl w:val="0"/>
          <w:numId w:val="1"/>
        </w:numPr>
        <w:rPr>
          <w:rFonts w:ascii="Arial" w:hAnsi="Arial" w:cs="Arial"/>
          <w:sz w:val="20"/>
          <w:szCs w:val="20"/>
        </w:rPr>
      </w:pPr>
      <w:r w:rsidRPr="004D644D">
        <w:rPr>
          <w:rFonts w:ascii="Arial" w:hAnsi="Arial" w:cs="Arial"/>
          <w:sz w:val="20"/>
          <w:szCs w:val="20"/>
        </w:rPr>
        <w:t>Explore and u</w:t>
      </w:r>
      <w:r w:rsidR="00CF4206" w:rsidRPr="004D644D">
        <w:rPr>
          <w:rFonts w:ascii="Arial" w:hAnsi="Arial" w:cs="Arial"/>
          <w:sz w:val="20"/>
          <w:szCs w:val="20"/>
        </w:rPr>
        <w:t xml:space="preserve">nderstand the </w:t>
      </w:r>
      <w:r w:rsidRPr="004D644D">
        <w:rPr>
          <w:rFonts w:ascii="Arial" w:hAnsi="Arial" w:cs="Arial"/>
          <w:sz w:val="20"/>
          <w:szCs w:val="20"/>
        </w:rPr>
        <w:t xml:space="preserve">data along with different fields </w:t>
      </w:r>
      <w:r w:rsidR="009273B3">
        <w:rPr>
          <w:rFonts w:ascii="Arial" w:hAnsi="Arial" w:cs="Arial"/>
          <w:sz w:val="20"/>
          <w:szCs w:val="20"/>
        </w:rPr>
        <w:br/>
      </w:r>
    </w:p>
    <w:p w:rsidR="00AB25E7" w:rsidRDefault="00AB25E7" w:rsidP="00AB25E7">
      <w:pPr>
        <w:keepNext/>
        <w:keepLines/>
        <w:widowControl w:val="0"/>
        <w:numPr>
          <w:ilvl w:val="0"/>
          <w:numId w:val="1"/>
        </w:numPr>
        <w:rPr>
          <w:rFonts w:ascii="Arial" w:hAnsi="Arial" w:cs="Arial"/>
          <w:sz w:val="20"/>
          <w:szCs w:val="20"/>
        </w:rPr>
      </w:pPr>
      <w:r>
        <w:rPr>
          <w:rFonts w:ascii="Arial" w:hAnsi="Arial" w:cs="Arial"/>
          <w:sz w:val="20"/>
          <w:szCs w:val="20"/>
        </w:rPr>
        <w:t xml:space="preserve">Analyze data, </w:t>
      </w:r>
      <w:r w:rsidR="00F90EF3">
        <w:rPr>
          <w:rFonts w:ascii="Arial" w:hAnsi="Arial" w:cs="Arial"/>
          <w:sz w:val="20"/>
          <w:szCs w:val="20"/>
        </w:rPr>
        <w:t xml:space="preserve">and </w:t>
      </w:r>
      <w:r>
        <w:rPr>
          <w:rFonts w:ascii="Arial" w:hAnsi="Arial" w:cs="Arial"/>
          <w:sz w:val="20"/>
          <w:szCs w:val="20"/>
        </w:rPr>
        <w:t xml:space="preserve"> wrangling </w:t>
      </w:r>
      <w:r w:rsidR="00F90EF3">
        <w:rPr>
          <w:rFonts w:ascii="Arial" w:hAnsi="Arial" w:cs="Arial"/>
          <w:sz w:val="20"/>
          <w:szCs w:val="20"/>
        </w:rPr>
        <w:t>as applicable</w:t>
      </w:r>
      <w:r w:rsidR="00FA6D20">
        <w:rPr>
          <w:rFonts w:ascii="Arial" w:hAnsi="Arial" w:cs="Arial"/>
          <w:sz w:val="20"/>
          <w:szCs w:val="20"/>
        </w:rPr>
        <w:t>; basic statistics will be performed  - calculate the min, max, mean</w:t>
      </w:r>
      <w:r w:rsidR="004D644D">
        <w:rPr>
          <w:rFonts w:ascii="Arial" w:hAnsi="Arial" w:cs="Arial"/>
          <w:sz w:val="20"/>
          <w:szCs w:val="20"/>
        </w:rPr>
        <w:t xml:space="preserve"> percentage of a series</w:t>
      </w:r>
      <w:r w:rsidR="00C76AC7">
        <w:rPr>
          <w:rFonts w:ascii="Arial" w:hAnsi="Arial" w:cs="Arial"/>
          <w:sz w:val="20"/>
          <w:szCs w:val="20"/>
        </w:rPr>
        <w:t xml:space="preserve"> across grades</w:t>
      </w:r>
      <w:r w:rsidR="004D644D">
        <w:rPr>
          <w:rFonts w:ascii="Arial" w:hAnsi="Arial" w:cs="Arial"/>
          <w:sz w:val="20"/>
          <w:szCs w:val="20"/>
        </w:rPr>
        <w:t xml:space="preserve">; Define and display average percentage per year </w:t>
      </w:r>
      <w:r w:rsidR="0037258A">
        <w:rPr>
          <w:rFonts w:ascii="Arial" w:hAnsi="Arial" w:cs="Arial"/>
          <w:sz w:val="20"/>
          <w:szCs w:val="20"/>
        </w:rPr>
        <w:t>plot across  disaggregated groups - sex, Race/ethnicity, Percentage of students in school eligible for F</w:t>
      </w:r>
      <w:r w:rsidR="00CB796E">
        <w:rPr>
          <w:rFonts w:ascii="Arial" w:hAnsi="Arial" w:cs="Arial"/>
          <w:sz w:val="20"/>
          <w:szCs w:val="20"/>
        </w:rPr>
        <w:t>RM (Free and Reduced Meal); ELL/</w:t>
      </w:r>
      <w:r w:rsidR="0037258A">
        <w:rPr>
          <w:rFonts w:ascii="Arial" w:hAnsi="Arial" w:cs="Arial"/>
          <w:sz w:val="20"/>
          <w:szCs w:val="20"/>
        </w:rPr>
        <w:t xml:space="preserve"> </w:t>
      </w:r>
      <w:proofErr w:type="spellStart"/>
      <w:r w:rsidR="0037258A">
        <w:rPr>
          <w:rFonts w:ascii="Arial" w:hAnsi="Arial" w:cs="Arial"/>
          <w:sz w:val="20"/>
          <w:szCs w:val="20"/>
        </w:rPr>
        <w:t>NonELLs</w:t>
      </w:r>
      <w:proofErr w:type="spellEnd"/>
      <w:r w:rsidR="0037258A">
        <w:rPr>
          <w:rFonts w:ascii="Arial" w:hAnsi="Arial" w:cs="Arial"/>
          <w:sz w:val="20"/>
          <w:szCs w:val="20"/>
        </w:rPr>
        <w:t xml:space="preserve">; for </w:t>
      </w:r>
      <w:r w:rsidR="00CB796E">
        <w:rPr>
          <w:rFonts w:ascii="Arial" w:hAnsi="Arial" w:cs="Arial"/>
          <w:sz w:val="20"/>
          <w:szCs w:val="20"/>
        </w:rPr>
        <w:t>4</w:t>
      </w:r>
      <w:r w:rsidR="00CB796E" w:rsidRPr="00CB796E">
        <w:rPr>
          <w:rFonts w:ascii="Arial" w:hAnsi="Arial" w:cs="Arial"/>
          <w:sz w:val="20"/>
          <w:szCs w:val="20"/>
          <w:vertAlign w:val="superscript"/>
        </w:rPr>
        <w:t>th</w:t>
      </w:r>
      <w:r w:rsidR="00CB796E">
        <w:rPr>
          <w:rFonts w:ascii="Arial" w:hAnsi="Arial" w:cs="Arial"/>
          <w:sz w:val="20"/>
          <w:szCs w:val="20"/>
        </w:rPr>
        <w:t>; 8</w:t>
      </w:r>
      <w:r w:rsidR="00CB796E" w:rsidRPr="00CB796E">
        <w:rPr>
          <w:rFonts w:ascii="Arial" w:hAnsi="Arial" w:cs="Arial"/>
          <w:sz w:val="20"/>
          <w:szCs w:val="20"/>
          <w:vertAlign w:val="superscript"/>
        </w:rPr>
        <w:t>th</w:t>
      </w:r>
      <w:r w:rsidR="00CB796E">
        <w:rPr>
          <w:rFonts w:ascii="Arial" w:hAnsi="Arial" w:cs="Arial"/>
          <w:sz w:val="20"/>
          <w:szCs w:val="20"/>
        </w:rPr>
        <w:t xml:space="preserve"> and 12</w:t>
      </w:r>
      <w:r w:rsidR="00CB796E" w:rsidRPr="00CB796E">
        <w:rPr>
          <w:rFonts w:ascii="Arial" w:hAnsi="Arial" w:cs="Arial"/>
          <w:sz w:val="20"/>
          <w:szCs w:val="20"/>
          <w:vertAlign w:val="superscript"/>
        </w:rPr>
        <w:t>th</w:t>
      </w:r>
      <w:r w:rsidR="00CB796E">
        <w:rPr>
          <w:rFonts w:ascii="Arial" w:hAnsi="Arial" w:cs="Arial"/>
          <w:sz w:val="20"/>
          <w:szCs w:val="20"/>
        </w:rPr>
        <w:t xml:space="preserve"> grade students.</w:t>
      </w:r>
      <w:r w:rsidR="009273B3">
        <w:rPr>
          <w:rFonts w:ascii="Arial" w:hAnsi="Arial" w:cs="Arial"/>
          <w:sz w:val="20"/>
          <w:szCs w:val="20"/>
        </w:rPr>
        <w:br/>
      </w:r>
    </w:p>
    <w:p w:rsidR="00CF4206" w:rsidRDefault="00AB25E7" w:rsidP="00AB25E7">
      <w:pPr>
        <w:keepNext/>
        <w:keepLines/>
        <w:widowControl w:val="0"/>
        <w:numPr>
          <w:ilvl w:val="0"/>
          <w:numId w:val="1"/>
        </w:numPr>
        <w:spacing w:after="200" w:line="276" w:lineRule="auto"/>
        <w:rPr>
          <w:rFonts w:ascii="Arial" w:hAnsi="Arial" w:cs="Arial"/>
          <w:sz w:val="20"/>
          <w:szCs w:val="20"/>
        </w:rPr>
      </w:pPr>
      <w:r>
        <w:rPr>
          <w:rFonts w:ascii="Arial" w:hAnsi="Arial" w:cs="Arial"/>
          <w:sz w:val="20"/>
          <w:szCs w:val="20"/>
        </w:rPr>
        <w:t xml:space="preserve">Investigate statistics </w:t>
      </w:r>
      <w:r w:rsidR="00F90EF3">
        <w:rPr>
          <w:rFonts w:ascii="Arial" w:hAnsi="Arial" w:cs="Arial"/>
          <w:sz w:val="20"/>
          <w:szCs w:val="20"/>
        </w:rPr>
        <w:t>of the percentage of Boys and Girls g</w:t>
      </w:r>
      <w:r w:rsidR="00FA6D20">
        <w:rPr>
          <w:rFonts w:ascii="Arial" w:hAnsi="Arial" w:cs="Arial"/>
          <w:sz w:val="20"/>
          <w:szCs w:val="20"/>
        </w:rPr>
        <w:t>raduated for the selected years. The NAEP Data Explorer (</w:t>
      </w:r>
      <w:hyperlink r:id="rId17" w:history="1">
        <w:r w:rsidR="00FA6D20" w:rsidRPr="00CF4206">
          <w:rPr>
            <w:rStyle w:val="Hyperlink"/>
            <w:rFonts w:ascii="Arial" w:hAnsi="Arial" w:cs="Arial"/>
            <w:sz w:val="20"/>
            <w:szCs w:val="20"/>
          </w:rPr>
          <w:t>https://www.nationsreportcard.gov/ndecore/xplore/nde</w:t>
        </w:r>
      </w:hyperlink>
      <w:r w:rsidR="00FA6D20">
        <w:rPr>
          <w:rFonts w:ascii="Arial" w:hAnsi="Arial" w:cs="Arial"/>
          <w:sz w:val="20"/>
          <w:szCs w:val="20"/>
        </w:rPr>
        <w:t>) provides national and state results for all main subject areas assessed, including mathematics, reading, writing and science by grade and school characteristics</w:t>
      </w:r>
    </w:p>
    <w:p w:rsidR="0066640F" w:rsidRPr="0066640F" w:rsidRDefault="00883127" w:rsidP="0066640F">
      <w:pPr>
        <w:keepNext/>
        <w:keepLines/>
        <w:widowControl w:val="0"/>
        <w:numPr>
          <w:ilvl w:val="0"/>
          <w:numId w:val="1"/>
        </w:numPr>
        <w:spacing w:after="200" w:line="276" w:lineRule="auto"/>
        <w:rPr>
          <w:rFonts w:ascii="Arial" w:hAnsi="Arial" w:cs="Arial"/>
          <w:sz w:val="20"/>
          <w:szCs w:val="20"/>
        </w:rPr>
      </w:pPr>
      <w:r>
        <w:rPr>
          <w:rFonts w:ascii="Arial" w:hAnsi="Arial" w:cs="Arial"/>
          <w:sz w:val="20"/>
          <w:szCs w:val="20"/>
        </w:rPr>
        <w:t>Analyze the data for Average NAEP reading scale score of 4</w:t>
      </w:r>
      <w:r w:rsidRPr="00883127">
        <w:rPr>
          <w:rFonts w:ascii="Arial" w:hAnsi="Arial" w:cs="Arial"/>
          <w:sz w:val="20"/>
          <w:szCs w:val="20"/>
          <w:vertAlign w:val="superscript"/>
        </w:rPr>
        <w:t>th</w:t>
      </w:r>
      <w:r>
        <w:rPr>
          <w:rFonts w:ascii="Arial" w:hAnsi="Arial" w:cs="Arial"/>
          <w:sz w:val="20"/>
          <w:szCs w:val="20"/>
        </w:rPr>
        <w:t xml:space="preserve"> </w:t>
      </w:r>
      <w:proofErr w:type="gramStart"/>
      <w:r>
        <w:rPr>
          <w:rFonts w:ascii="Arial" w:hAnsi="Arial" w:cs="Arial"/>
          <w:sz w:val="20"/>
          <w:szCs w:val="20"/>
        </w:rPr>
        <w:t>grade  public</w:t>
      </w:r>
      <w:proofErr w:type="gramEnd"/>
      <w:r>
        <w:rPr>
          <w:rFonts w:ascii="Arial" w:hAnsi="Arial" w:cs="Arial"/>
          <w:sz w:val="20"/>
          <w:szCs w:val="20"/>
        </w:rPr>
        <w:t xml:space="preserve"> school </w:t>
      </w:r>
      <w:proofErr w:type="spellStart"/>
      <w:r>
        <w:rPr>
          <w:rFonts w:ascii="Arial" w:hAnsi="Arial" w:cs="Arial"/>
          <w:sz w:val="20"/>
          <w:szCs w:val="20"/>
        </w:rPr>
        <w:t>studentsand</w:t>
      </w:r>
      <w:proofErr w:type="spellEnd"/>
      <w:r>
        <w:rPr>
          <w:rFonts w:ascii="Arial" w:hAnsi="Arial" w:cs="Arial"/>
          <w:sz w:val="20"/>
          <w:szCs w:val="20"/>
        </w:rPr>
        <w:t xml:space="preserve"> percentage attaining reading achievement levels, by states: S</w:t>
      </w:r>
      <w:r w:rsidR="0066640F">
        <w:rPr>
          <w:rFonts w:ascii="Arial" w:hAnsi="Arial" w:cs="Arial"/>
          <w:sz w:val="20"/>
          <w:szCs w:val="20"/>
        </w:rPr>
        <w:t>elected years.</w:t>
      </w:r>
      <w:r w:rsidR="0066640F">
        <w:rPr>
          <w:rFonts w:ascii="Arial" w:hAnsi="Arial" w:cs="Arial"/>
          <w:sz w:val="20"/>
          <w:szCs w:val="20"/>
        </w:rPr>
        <w:br/>
      </w:r>
      <w:hyperlink r:id="rId18" w:history="1">
        <w:r w:rsidR="0066640F" w:rsidRPr="00972FE3">
          <w:rPr>
            <w:rStyle w:val="Hyperlink"/>
            <w:rFonts w:ascii="Arial" w:hAnsi="Arial" w:cs="Arial"/>
            <w:sz w:val="20"/>
            <w:szCs w:val="20"/>
          </w:rPr>
          <w:t>https://nces.ed.gov/programs/digest/d16/tables/dt16_221.40.asp?referrer=report</w:t>
        </w:r>
      </w:hyperlink>
      <w:r w:rsidR="0066640F">
        <w:rPr>
          <w:rFonts w:ascii="Arial" w:hAnsi="Arial" w:cs="Arial"/>
          <w:sz w:val="20"/>
          <w:szCs w:val="20"/>
        </w:rPr>
        <w:t xml:space="preserve"> </w:t>
      </w:r>
    </w:p>
    <w:p w:rsidR="009273B3" w:rsidRDefault="0066640F" w:rsidP="009273B3">
      <w:pPr>
        <w:pStyle w:val="Heading1"/>
      </w:pPr>
      <w:r>
        <w:br/>
      </w:r>
      <w:r w:rsidR="00CF4206" w:rsidRPr="00CF4206">
        <w:t>Deliverables</w:t>
      </w:r>
    </w:p>
    <w:p w:rsidR="009273B3" w:rsidRDefault="009273B3" w:rsidP="009273B3">
      <w:pPr>
        <w:ind w:left="360"/>
      </w:pPr>
    </w:p>
    <w:p w:rsidR="009273B3" w:rsidRPr="009273B3" w:rsidRDefault="00CF4206" w:rsidP="00883127">
      <w:pPr>
        <w:pStyle w:val="ListParagraph"/>
        <w:numPr>
          <w:ilvl w:val="0"/>
          <w:numId w:val="5"/>
        </w:numPr>
        <w:rPr>
          <w:rFonts w:asciiTheme="majorHAnsi" w:hAnsiTheme="majorHAnsi" w:cstheme="majorBidi"/>
          <w:sz w:val="28"/>
          <w:szCs w:val="28"/>
        </w:rPr>
      </w:pPr>
      <w:r w:rsidRPr="00AB25E7">
        <w:t>Report/Paper</w:t>
      </w:r>
      <w:r w:rsidR="00883127">
        <w:t xml:space="preserve"> that produces something like </w:t>
      </w:r>
      <w:hyperlink r:id="rId19" w:anchor="nation/scores?grade=4" w:history="1">
        <w:r w:rsidR="00883127" w:rsidRPr="00972FE3">
          <w:rPr>
            <w:rStyle w:val="Hyperlink"/>
          </w:rPr>
          <w:t>https://www.nationsreportcard.gov/math_2017/#nation/scores?grade=4</w:t>
        </w:r>
      </w:hyperlink>
      <w:r w:rsidR="00883127">
        <w:t xml:space="preserve"> </w:t>
      </w:r>
      <w:r w:rsidR="009273B3">
        <w:rPr>
          <w:rFonts w:asciiTheme="majorHAnsi" w:hAnsiTheme="majorHAnsi" w:cstheme="majorBidi"/>
          <w:sz w:val="28"/>
          <w:szCs w:val="28"/>
        </w:rPr>
        <w:br/>
      </w:r>
    </w:p>
    <w:p w:rsidR="00CF4206" w:rsidRPr="009273B3" w:rsidRDefault="00CF4206" w:rsidP="009273B3">
      <w:pPr>
        <w:pStyle w:val="ListParagraph"/>
        <w:numPr>
          <w:ilvl w:val="0"/>
          <w:numId w:val="5"/>
        </w:numPr>
        <w:rPr>
          <w:rFonts w:asciiTheme="majorHAnsi" w:hAnsiTheme="majorHAnsi" w:cstheme="majorBidi"/>
          <w:sz w:val="28"/>
          <w:szCs w:val="28"/>
        </w:rPr>
      </w:pPr>
      <w:proofErr w:type="spellStart"/>
      <w:r w:rsidRPr="009273B3">
        <w:t>Jupyter</w:t>
      </w:r>
      <w:proofErr w:type="spellEnd"/>
      <w:r w:rsidRPr="009273B3">
        <w:t xml:space="preserve"> Notebooks with intermediate data analysis</w:t>
      </w:r>
    </w:p>
    <w:p w:rsidR="00CF4206" w:rsidRDefault="00CF4206" w:rsidP="00EC749A"/>
    <w:p w:rsidR="005F2AB9" w:rsidRDefault="005F2AB9">
      <w:r>
        <w:br w:type="page"/>
      </w:r>
    </w:p>
    <w:p w:rsidR="005F2AB9" w:rsidRDefault="005F2AB9" w:rsidP="00EC749A"/>
    <w:p w:rsidR="005F2AB9" w:rsidRDefault="005F2AB9" w:rsidP="00EC749A"/>
    <w:sectPr w:rsidR="005F2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E3" w:rsidRDefault="001022E3" w:rsidP="00CF4206">
      <w:r>
        <w:separator/>
      </w:r>
    </w:p>
  </w:endnote>
  <w:endnote w:type="continuationSeparator" w:id="0">
    <w:p w:rsidR="001022E3" w:rsidRDefault="001022E3" w:rsidP="00CF4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E3" w:rsidRDefault="001022E3" w:rsidP="00CF4206">
      <w:r>
        <w:separator/>
      </w:r>
    </w:p>
  </w:footnote>
  <w:footnote w:type="continuationSeparator" w:id="0">
    <w:p w:rsidR="001022E3" w:rsidRDefault="001022E3" w:rsidP="00CF42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8CE"/>
    <w:multiLevelType w:val="hybridMultilevel"/>
    <w:tmpl w:val="484E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361"/>
    <w:multiLevelType w:val="hybridMultilevel"/>
    <w:tmpl w:val="6DEEBA44"/>
    <w:lvl w:ilvl="0" w:tplc="0798A8D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C599A"/>
    <w:multiLevelType w:val="multilevel"/>
    <w:tmpl w:val="3F3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6C11FE"/>
    <w:multiLevelType w:val="hybridMultilevel"/>
    <w:tmpl w:val="15DC21BE"/>
    <w:lvl w:ilvl="0" w:tplc="0A1C4A6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E2B80"/>
    <w:multiLevelType w:val="multilevel"/>
    <w:tmpl w:val="03FE7B0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9A"/>
    <w:rsid w:val="000267E4"/>
    <w:rsid w:val="000456AD"/>
    <w:rsid w:val="00052633"/>
    <w:rsid w:val="000538FC"/>
    <w:rsid w:val="00062434"/>
    <w:rsid w:val="00091C56"/>
    <w:rsid w:val="00093CED"/>
    <w:rsid w:val="000D0BA2"/>
    <w:rsid w:val="000E1E2C"/>
    <w:rsid w:val="000E2B90"/>
    <w:rsid w:val="000E5D8E"/>
    <w:rsid w:val="001022E3"/>
    <w:rsid w:val="00103168"/>
    <w:rsid w:val="00114803"/>
    <w:rsid w:val="00185D68"/>
    <w:rsid w:val="001A7BA4"/>
    <w:rsid w:val="001E49CB"/>
    <w:rsid w:val="00233047"/>
    <w:rsid w:val="00235CBF"/>
    <w:rsid w:val="002465A8"/>
    <w:rsid w:val="00293DCF"/>
    <w:rsid w:val="002D165C"/>
    <w:rsid w:val="0032068B"/>
    <w:rsid w:val="0032070E"/>
    <w:rsid w:val="00341C32"/>
    <w:rsid w:val="00344A4A"/>
    <w:rsid w:val="0037258A"/>
    <w:rsid w:val="003A1C22"/>
    <w:rsid w:val="003A2B33"/>
    <w:rsid w:val="003F25FA"/>
    <w:rsid w:val="00433DAC"/>
    <w:rsid w:val="00457468"/>
    <w:rsid w:val="00480A11"/>
    <w:rsid w:val="0049334F"/>
    <w:rsid w:val="004D644D"/>
    <w:rsid w:val="00505CFA"/>
    <w:rsid w:val="0050762F"/>
    <w:rsid w:val="00543EC8"/>
    <w:rsid w:val="005666B8"/>
    <w:rsid w:val="0059298A"/>
    <w:rsid w:val="005D0CDE"/>
    <w:rsid w:val="005E58BD"/>
    <w:rsid w:val="005F2AB9"/>
    <w:rsid w:val="00607D1B"/>
    <w:rsid w:val="006266C0"/>
    <w:rsid w:val="0064347C"/>
    <w:rsid w:val="00662427"/>
    <w:rsid w:val="0066640F"/>
    <w:rsid w:val="006842C6"/>
    <w:rsid w:val="006B2F89"/>
    <w:rsid w:val="006E76AF"/>
    <w:rsid w:val="006F5BD6"/>
    <w:rsid w:val="00705AFB"/>
    <w:rsid w:val="00762B4A"/>
    <w:rsid w:val="00771984"/>
    <w:rsid w:val="00771BA5"/>
    <w:rsid w:val="007B16AD"/>
    <w:rsid w:val="007D0AD2"/>
    <w:rsid w:val="007D11B2"/>
    <w:rsid w:val="00800212"/>
    <w:rsid w:val="00853CC4"/>
    <w:rsid w:val="00883127"/>
    <w:rsid w:val="008A4DB7"/>
    <w:rsid w:val="008B3A90"/>
    <w:rsid w:val="008E1DC3"/>
    <w:rsid w:val="008F6018"/>
    <w:rsid w:val="00901303"/>
    <w:rsid w:val="009015CF"/>
    <w:rsid w:val="0091090A"/>
    <w:rsid w:val="00924831"/>
    <w:rsid w:val="00926369"/>
    <w:rsid w:val="009273B3"/>
    <w:rsid w:val="009417D4"/>
    <w:rsid w:val="009548D9"/>
    <w:rsid w:val="009B5D63"/>
    <w:rsid w:val="00A0376E"/>
    <w:rsid w:val="00A1063F"/>
    <w:rsid w:val="00A35602"/>
    <w:rsid w:val="00A435E6"/>
    <w:rsid w:val="00A70E46"/>
    <w:rsid w:val="00A8529F"/>
    <w:rsid w:val="00AA1BD5"/>
    <w:rsid w:val="00AB1D0D"/>
    <w:rsid w:val="00AB25E7"/>
    <w:rsid w:val="00AC1B64"/>
    <w:rsid w:val="00B010C0"/>
    <w:rsid w:val="00B355F4"/>
    <w:rsid w:val="00B46C25"/>
    <w:rsid w:val="00B51444"/>
    <w:rsid w:val="00B732A4"/>
    <w:rsid w:val="00B92359"/>
    <w:rsid w:val="00BA37C1"/>
    <w:rsid w:val="00BA5893"/>
    <w:rsid w:val="00BE354F"/>
    <w:rsid w:val="00BE63FD"/>
    <w:rsid w:val="00C3322A"/>
    <w:rsid w:val="00C45B7F"/>
    <w:rsid w:val="00C76AC7"/>
    <w:rsid w:val="00CA1F5A"/>
    <w:rsid w:val="00CB796E"/>
    <w:rsid w:val="00CC406B"/>
    <w:rsid w:val="00CF4206"/>
    <w:rsid w:val="00D167B3"/>
    <w:rsid w:val="00D22A21"/>
    <w:rsid w:val="00D330BA"/>
    <w:rsid w:val="00D73B32"/>
    <w:rsid w:val="00D8203F"/>
    <w:rsid w:val="00D95ED2"/>
    <w:rsid w:val="00DA2624"/>
    <w:rsid w:val="00DA30FB"/>
    <w:rsid w:val="00DB6833"/>
    <w:rsid w:val="00DC3E6B"/>
    <w:rsid w:val="00DF3017"/>
    <w:rsid w:val="00E137C6"/>
    <w:rsid w:val="00E23B1B"/>
    <w:rsid w:val="00E24B6A"/>
    <w:rsid w:val="00E52B26"/>
    <w:rsid w:val="00E65362"/>
    <w:rsid w:val="00E766CF"/>
    <w:rsid w:val="00EC392C"/>
    <w:rsid w:val="00EC749A"/>
    <w:rsid w:val="00EE0B27"/>
    <w:rsid w:val="00EE19BE"/>
    <w:rsid w:val="00F070EF"/>
    <w:rsid w:val="00F1528F"/>
    <w:rsid w:val="00F45F06"/>
    <w:rsid w:val="00F574D7"/>
    <w:rsid w:val="00F67000"/>
    <w:rsid w:val="00F71664"/>
    <w:rsid w:val="00F82197"/>
    <w:rsid w:val="00F90EF3"/>
    <w:rsid w:val="00FA6D20"/>
    <w:rsid w:val="00FB54AF"/>
    <w:rsid w:val="00FB6266"/>
    <w:rsid w:val="00FD39BF"/>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4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2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109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9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71BA5"/>
    <w:rPr>
      <w:b/>
      <w:bCs/>
    </w:rPr>
  </w:style>
  <w:style w:type="character" w:styleId="Hyperlink">
    <w:name w:val="Hyperlink"/>
    <w:basedOn w:val="DefaultParagraphFont"/>
    <w:uiPriority w:val="99"/>
    <w:unhideWhenUsed/>
    <w:rsid w:val="00771BA5"/>
    <w:rPr>
      <w:color w:val="0000FF" w:themeColor="hyperlink"/>
      <w:u w:val="single"/>
    </w:rPr>
  </w:style>
  <w:style w:type="character" w:customStyle="1" w:styleId="Heading4Char">
    <w:name w:val="Heading 4 Char"/>
    <w:basedOn w:val="DefaultParagraphFont"/>
    <w:link w:val="Heading4"/>
    <w:uiPriority w:val="9"/>
    <w:semiHidden/>
    <w:rsid w:val="0091090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CF42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4206"/>
    <w:pPr>
      <w:tabs>
        <w:tab w:val="center" w:pos="4680"/>
        <w:tab w:val="right" w:pos="9360"/>
      </w:tabs>
    </w:pPr>
  </w:style>
  <w:style w:type="character" w:customStyle="1" w:styleId="HeaderChar">
    <w:name w:val="Header Char"/>
    <w:basedOn w:val="DefaultParagraphFont"/>
    <w:link w:val="Header"/>
    <w:uiPriority w:val="99"/>
    <w:rsid w:val="00CF4206"/>
  </w:style>
  <w:style w:type="paragraph" w:styleId="Footer">
    <w:name w:val="footer"/>
    <w:basedOn w:val="Normal"/>
    <w:link w:val="FooterChar"/>
    <w:uiPriority w:val="99"/>
    <w:unhideWhenUsed/>
    <w:rsid w:val="00CF4206"/>
    <w:pPr>
      <w:tabs>
        <w:tab w:val="center" w:pos="4680"/>
        <w:tab w:val="right" w:pos="9360"/>
      </w:tabs>
    </w:pPr>
  </w:style>
  <w:style w:type="character" w:customStyle="1" w:styleId="FooterChar">
    <w:name w:val="Footer Char"/>
    <w:basedOn w:val="DefaultParagraphFont"/>
    <w:link w:val="Footer"/>
    <w:uiPriority w:val="99"/>
    <w:rsid w:val="00CF4206"/>
  </w:style>
  <w:style w:type="character" w:styleId="BookTitle">
    <w:name w:val="Book Title"/>
    <w:basedOn w:val="DefaultParagraphFont"/>
    <w:uiPriority w:val="33"/>
    <w:qFormat/>
    <w:rsid w:val="004D644D"/>
    <w:rPr>
      <w:b/>
      <w:bCs/>
      <w:smallCaps/>
      <w:spacing w:val="5"/>
    </w:rPr>
  </w:style>
  <w:style w:type="paragraph" w:styleId="ListParagraph">
    <w:name w:val="List Paragraph"/>
    <w:basedOn w:val="Normal"/>
    <w:uiPriority w:val="34"/>
    <w:qFormat/>
    <w:rsid w:val="004D644D"/>
    <w:pPr>
      <w:ind w:left="720"/>
      <w:contextualSpacing/>
    </w:pPr>
  </w:style>
  <w:style w:type="character" w:styleId="FollowedHyperlink">
    <w:name w:val="FollowedHyperlink"/>
    <w:basedOn w:val="DefaultParagraphFont"/>
    <w:uiPriority w:val="99"/>
    <w:semiHidden/>
    <w:unhideWhenUsed/>
    <w:rsid w:val="00A70E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4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2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109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9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71BA5"/>
    <w:rPr>
      <w:b/>
      <w:bCs/>
    </w:rPr>
  </w:style>
  <w:style w:type="character" w:styleId="Hyperlink">
    <w:name w:val="Hyperlink"/>
    <w:basedOn w:val="DefaultParagraphFont"/>
    <w:uiPriority w:val="99"/>
    <w:unhideWhenUsed/>
    <w:rsid w:val="00771BA5"/>
    <w:rPr>
      <w:color w:val="0000FF" w:themeColor="hyperlink"/>
      <w:u w:val="single"/>
    </w:rPr>
  </w:style>
  <w:style w:type="character" w:customStyle="1" w:styleId="Heading4Char">
    <w:name w:val="Heading 4 Char"/>
    <w:basedOn w:val="DefaultParagraphFont"/>
    <w:link w:val="Heading4"/>
    <w:uiPriority w:val="9"/>
    <w:semiHidden/>
    <w:rsid w:val="0091090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CF42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F4206"/>
    <w:pPr>
      <w:tabs>
        <w:tab w:val="center" w:pos="4680"/>
        <w:tab w:val="right" w:pos="9360"/>
      </w:tabs>
    </w:pPr>
  </w:style>
  <w:style w:type="character" w:customStyle="1" w:styleId="HeaderChar">
    <w:name w:val="Header Char"/>
    <w:basedOn w:val="DefaultParagraphFont"/>
    <w:link w:val="Header"/>
    <w:uiPriority w:val="99"/>
    <w:rsid w:val="00CF4206"/>
  </w:style>
  <w:style w:type="paragraph" w:styleId="Footer">
    <w:name w:val="footer"/>
    <w:basedOn w:val="Normal"/>
    <w:link w:val="FooterChar"/>
    <w:uiPriority w:val="99"/>
    <w:unhideWhenUsed/>
    <w:rsid w:val="00CF4206"/>
    <w:pPr>
      <w:tabs>
        <w:tab w:val="center" w:pos="4680"/>
        <w:tab w:val="right" w:pos="9360"/>
      </w:tabs>
    </w:pPr>
  </w:style>
  <w:style w:type="character" w:customStyle="1" w:styleId="FooterChar">
    <w:name w:val="Footer Char"/>
    <w:basedOn w:val="DefaultParagraphFont"/>
    <w:link w:val="Footer"/>
    <w:uiPriority w:val="99"/>
    <w:rsid w:val="00CF4206"/>
  </w:style>
  <w:style w:type="character" w:styleId="BookTitle">
    <w:name w:val="Book Title"/>
    <w:basedOn w:val="DefaultParagraphFont"/>
    <w:uiPriority w:val="33"/>
    <w:qFormat/>
    <w:rsid w:val="004D644D"/>
    <w:rPr>
      <w:b/>
      <w:bCs/>
      <w:smallCaps/>
      <w:spacing w:val="5"/>
    </w:rPr>
  </w:style>
  <w:style w:type="paragraph" w:styleId="ListParagraph">
    <w:name w:val="List Paragraph"/>
    <w:basedOn w:val="Normal"/>
    <w:uiPriority w:val="34"/>
    <w:qFormat/>
    <w:rsid w:val="004D644D"/>
    <w:pPr>
      <w:ind w:left="720"/>
      <w:contextualSpacing/>
    </w:pPr>
  </w:style>
  <w:style w:type="character" w:styleId="FollowedHyperlink">
    <w:name w:val="FollowedHyperlink"/>
    <w:basedOn w:val="DefaultParagraphFont"/>
    <w:uiPriority w:val="99"/>
    <w:semiHidden/>
    <w:unhideWhenUsed/>
    <w:rsid w:val="00A70E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535">
      <w:bodyDiv w:val="1"/>
      <w:marLeft w:val="0"/>
      <w:marRight w:val="0"/>
      <w:marTop w:val="0"/>
      <w:marBottom w:val="0"/>
      <w:divBdr>
        <w:top w:val="none" w:sz="0" w:space="0" w:color="auto"/>
        <w:left w:val="none" w:sz="0" w:space="0" w:color="auto"/>
        <w:bottom w:val="none" w:sz="0" w:space="0" w:color="auto"/>
        <w:right w:val="none" w:sz="0" w:space="0" w:color="auto"/>
      </w:divBdr>
    </w:div>
    <w:div w:id="1205362958">
      <w:bodyDiv w:val="1"/>
      <w:marLeft w:val="0"/>
      <w:marRight w:val="0"/>
      <w:marTop w:val="0"/>
      <w:marBottom w:val="0"/>
      <w:divBdr>
        <w:top w:val="none" w:sz="0" w:space="0" w:color="auto"/>
        <w:left w:val="none" w:sz="0" w:space="0" w:color="auto"/>
        <w:bottom w:val="none" w:sz="0" w:space="0" w:color="auto"/>
        <w:right w:val="none" w:sz="0" w:space="0" w:color="auto"/>
      </w:divBdr>
    </w:div>
    <w:div w:id="1718508727">
      <w:bodyDiv w:val="1"/>
      <w:marLeft w:val="0"/>
      <w:marRight w:val="0"/>
      <w:marTop w:val="0"/>
      <w:marBottom w:val="0"/>
      <w:divBdr>
        <w:top w:val="none" w:sz="0" w:space="0" w:color="auto"/>
        <w:left w:val="none" w:sz="0" w:space="0" w:color="auto"/>
        <w:bottom w:val="none" w:sz="0" w:space="0" w:color="auto"/>
        <w:right w:val="none" w:sz="0" w:space="0" w:color="auto"/>
      </w:divBdr>
    </w:div>
    <w:div w:id="1885827643">
      <w:bodyDiv w:val="1"/>
      <w:marLeft w:val="0"/>
      <w:marRight w:val="0"/>
      <w:marTop w:val="0"/>
      <w:marBottom w:val="0"/>
      <w:divBdr>
        <w:top w:val="none" w:sz="0" w:space="0" w:color="auto"/>
        <w:left w:val="none" w:sz="0" w:space="0" w:color="auto"/>
        <w:bottom w:val="none" w:sz="0" w:space="0" w:color="auto"/>
        <w:right w:val="none" w:sz="0" w:space="0" w:color="auto"/>
      </w:divBdr>
    </w:div>
    <w:div w:id="2057505764">
      <w:bodyDiv w:val="1"/>
      <w:marLeft w:val="0"/>
      <w:marRight w:val="0"/>
      <w:marTop w:val="0"/>
      <w:marBottom w:val="0"/>
      <w:divBdr>
        <w:top w:val="none" w:sz="0" w:space="0" w:color="auto"/>
        <w:left w:val="none" w:sz="0" w:space="0" w:color="auto"/>
        <w:bottom w:val="none" w:sz="0" w:space="0" w:color="auto"/>
        <w:right w:val="none" w:sz="0" w:space="0" w:color="auto"/>
      </w:divBdr>
    </w:div>
    <w:div w:id="20594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ces.ed.gov/programs/digest/d16/tables/dt16_318.30.asp?current=yes" TargetMode="External"/><Relationship Id="rId18" Type="http://schemas.openxmlformats.org/officeDocument/2006/relationships/hyperlink" Target="https://nces.ed.gov/programs/digest/d16/tables/dt16_221.40.asp?referrer=re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ces.ed.gov/programs/digest/d16/tables/dt16_501.50.asp" TargetMode="External"/><Relationship Id="rId17" Type="http://schemas.openxmlformats.org/officeDocument/2006/relationships/hyperlink" Target="https://www.nationsreportcard.gov/ndecore/xplore/nde" TargetMode="External"/><Relationship Id="rId2" Type="http://schemas.openxmlformats.org/officeDocument/2006/relationships/numbering" Target="numbering.xml"/><Relationship Id="rId16" Type="http://schemas.openxmlformats.org/officeDocument/2006/relationships/hyperlink" Target="https://nces.ed.gov/programs/digest/d13/tables/dt13_221.10.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es.ed.gov/surveys/annualreports/" TargetMode="External"/><Relationship Id="rId5" Type="http://schemas.openxmlformats.org/officeDocument/2006/relationships/settings" Target="settings.xml"/><Relationship Id="rId15" Type="http://schemas.openxmlformats.org/officeDocument/2006/relationships/oleObject" Target="embeddings/Microsoft_Excel_97-2003_Worksheet1.xls"/><Relationship Id="rId10" Type="http://schemas.openxmlformats.org/officeDocument/2006/relationships/hyperlink" Target="https://datainventory.ed.gov/AboutTheInventory" TargetMode="External"/><Relationship Id="rId19" Type="http://schemas.openxmlformats.org/officeDocument/2006/relationships/hyperlink" Target="https://www.nationsreportcard.gov/math_2017/" TargetMode="External"/><Relationship Id="rId4" Type="http://schemas.microsoft.com/office/2007/relationships/stylesWithEffects" Target="stylesWithEffects.xml"/><Relationship Id="rId9" Type="http://schemas.openxmlformats.org/officeDocument/2006/relationships/hyperlink" Target="https://datainventory.ed.gov"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079E-844C-481C-A2A2-EB837E69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2018-07-23T03:03:00Z</dcterms:created>
  <dcterms:modified xsi:type="dcterms:W3CDTF">2018-07-26T00:36:00Z</dcterms:modified>
</cp:coreProperties>
</file>