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ETHOS — Bioethics Simulator Design &amp; Iteration Manual</w:t>
      </w:r>
    </w:p>
    <w:p>
      <w:pPr>
        <w:pStyle w:val="Subtitle"/>
      </w:pPr>
      <w:r>
        <w:t>A reusable guide for building and teaching interactive bioethics consultations</w:t>
      </w:r>
    </w:p>
    <w:p>
      <w:r>
        <w:t>ETHOS places students in the role of an ethics consultation team. Students work through a case, listen to stakeholders, interpret new evidence, make a recommendation, and explain how their judgment developed. The educational product is the reasoning students can defend at the end of that process.</w:t>
      </w:r>
    </w:p>
    <w:p>
      <w:r>
        <w:t>Use this manual to develop additional cases while preserving a recognizable instructional structure. It connects case writing, interface design, technical behavior, classroom facilitation, and assessment. The six-stage sequence is the organizing framework; the case narrative and presentation can change around it.</w:t>
      </w:r>
    </w:p>
    <w:p>
      <w:pPr>
        <w:pStyle w:val="Heading2"/>
      </w:pPr>
      <w:r>
        <w:t>How to use this manual</w:t>
      </w:r>
    </w:p>
    <w:p>
      <w:r>
        <w:t>Begin with the learning goals and stage map. Draft the entire case before adding interactive features. Use the specification and templates near the end to brief a developer, then evaluate the finished simulation with the release checklist.</w:t>
      </w:r>
    </w:p>
    <w:p>
      <w:pPr>
        <w:pStyle w:val="Heading2"/>
      </w:pPr>
      <w:r>
        <w:t>Contents</w:t>
      </w:r>
    </w:p>
    <w:tbl>
      <w:tblPr>
        <w:tblW w:type="auto" w:w="0"/>
        <w:jc w:val="center"/>
        <w:tblLayout w:type="fixed"/>
        <w:tblLook w:firstColumn="1" w:firstRow="1" w:lastColumn="0" w:lastRow="0" w:noHBand="0" w:noVBand="1" w:val="04A0"/>
      </w:tblPr>
      <w:tblGrid>
        <w:gridCol w:w="9144"/>
        <w:gridCol w:w="936"/>
      </w:tblGrid>
      <w:tr>
        <w:trPr>
          <w:cantSplit/>
          <w:tblHeader/>
        </w:trPr>
        <w:tc>
          <w:tcPr>
            <w:tcW w:type="dxa" w:w="9144"/>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253746"/>
          </w:tcPr>
          <w:p>
            <w:pPr>
              <w:spacing w:after="0" w:line="247" w:lineRule="auto"/>
            </w:pPr>
            <w:r>
              <w:rPr>
                <w:b/>
                <w:color w:val="FFFFFF"/>
                <w:sz w:val="18"/>
              </w:rPr>
              <w:t>Section</w:t>
            </w:r>
          </w:p>
        </w:tc>
        <w:tc>
          <w:tcPr>
            <w:tcW w:type="dxa" w:w="936"/>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253746"/>
          </w:tcPr>
          <w:p>
            <w:pPr>
              <w:spacing w:after="0" w:line="247" w:lineRule="auto"/>
            </w:pPr>
            <w:r>
              <w:rPr>
                <w:b/>
                <w:color w:val="FFFFFF"/>
                <w:sz w:val="18"/>
              </w:rPr>
              <w:t>Page</w:t>
            </w:r>
          </w:p>
        </w:tc>
      </w:tr>
      <w:tr>
        <w:trPr>
          <w:cantSplit/>
        </w:trPr>
        <w:tc>
          <w:tcPr>
            <w:tcW w:type="dxa" w:w="9144"/>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8"/>
              </w:rPr>
              <w:t>Pedagogical framework</w:t>
            </w:r>
          </w:p>
        </w:tc>
        <w:tc>
          <w:tcPr>
            <w:tcW w:type="dxa" w:w="936"/>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8"/>
              </w:rPr>
              <w:t>2</w:t>
            </w:r>
          </w:p>
        </w:tc>
      </w:tr>
      <w:tr>
        <w:trPr>
          <w:cantSplit/>
        </w:trPr>
        <w:tc>
          <w:tcPr>
            <w:tcW w:type="dxa" w:w="9144"/>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8"/>
              </w:rPr>
              <w:t>Six stage consultation structure</w:t>
            </w:r>
          </w:p>
        </w:tc>
        <w:tc>
          <w:tcPr>
            <w:tcW w:type="dxa" w:w="936"/>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8"/>
              </w:rPr>
              <w:t>3</w:t>
            </w:r>
          </w:p>
        </w:tc>
      </w:tr>
      <w:tr>
        <w:trPr>
          <w:cantSplit/>
        </w:trPr>
        <w:tc>
          <w:tcPr>
            <w:tcW w:type="dxa" w:w="9144"/>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8"/>
              </w:rPr>
              <w:t>Prototype architecture and feature baseline</w:t>
            </w:r>
          </w:p>
        </w:tc>
        <w:tc>
          <w:tcPr>
            <w:tcW w:type="dxa" w:w="936"/>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8"/>
              </w:rPr>
              <w:t>4</w:t>
            </w:r>
          </w:p>
        </w:tc>
      </w:tr>
      <w:tr>
        <w:trPr>
          <w:cantSplit/>
        </w:trPr>
        <w:tc>
          <w:tcPr>
            <w:tcW w:type="dxa" w:w="9144"/>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8"/>
              </w:rPr>
              <w:t>Reusable case engine specification</w:t>
            </w:r>
          </w:p>
        </w:tc>
        <w:tc>
          <w:tcPr>
            <w:tcW w:type="dxa" w:w="936"/>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8"/>
              </w:rPr>
              <w:t>5</w:t>
            </w:r>
          </w:p>
        </w:tc>
      </w:tr>
      <w:tr>
        <w:trPr>
          <w:cantSplit/>
        </w:trPr>
        <w:tc>
          <w:tcPr>
            <w:tcW w:type="dxa" w:w="9144"/>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8"/>
              </w:rPr>
              <w:t>Visual design system</w:t>
            </w:r>
          </w:p>
        </w:tc>
        <w:tc>
          <w:tcPr>
            <w:tcW w:type="dxa" w:w="936"/>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8"/>
              </w:rPr>
              <w:t>6</w:t>
            </w:r>
          </w:p>
        </w:tc>
      </w:tr>
      <w:tr>
        <w:trPr>
          <w:cantSplit/>
        </w:trPr>
        <w:tc>
          <w:tcPr>
            <w:tcW w:type="dxa" w:w="9144"/>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8"/>
              </w:rPr>
              <w:t>Interaction and accessibility</w:t>
            </w:r>
          </w:p>
        </w:tc>
        <w:tc>
          <w:tcPr>
            <w:tcW w:type="dxa" w:w="936"/>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8"/>
              </w:rPr>
              <w:t>7</w:t>
            </w:r>
          </w:p>
        </w:tc>
      </w:tr>
      <w:tr>
        <w:trPr>
          <w:cantSplit/>
        </w:trPr>
        <w:tc>
          <w:tcPr>
            <w:tcW w:type="dxa" w:w="9144"/>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8"/>
              </w:rPr>
              <w:t>Developing a new case</w:t>
            </w:r>
          </w:p>
        </w:tc>
        <w:tc>
          <w:tcPr>
            <w:tcW w:type="dxa" w:w="936"/>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8"/>
              </w:rPr>
              <w:t>8</w:t>
            </w:r>
          </w:p>
        </w:tc>
      </w:tr>
      <w:tr>
        <w:trPr>
          <w:cantSplit/>
        </w:trPr>
        <w:tc>
          <w:tcPr>
            <w:tcW w:type="dxa" w:w="9144"/>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8"/>
              </w:rPr>
              <w:t>Stakeholders and evidence reveals</w:t>
            </w:r>
          </w:p>
        </w:tc>
        <w:tc>
          <w:tcPr>
            <w:tcW w:type="dxa" w:w="936"/>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8"/>
              </w:rPr>
              <w:t>9</w:t>
            </w:r>
          </w:p>
        </w:tc>
      </w:tr>
      <w:tr>
        <w:trPr>
          <w:cantSplit/>
        </w:trPr>
        <w:tc>
          <w:tcPr>
            <w:tcW w:type="dxa" w:w="9144"/>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8"/>
              </w:rPr>
              <w:t>Decisions feedback and consultation reports</w:t>
            </w:r>
          </w:p>
        </w:tc>
        <w:tc>
          <w:tcPr>
            <w:tcW w:type="dxa" w:w="936"/>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8"/>
              </w:rPr>
              <w:t>10</w:t>
            </w:r>
          </w:p>
        </w:tc>
      </w:tr>
      <w:tr>
        <w:trPr>
          <w:cantSplit/>
        </w:trPr>
        <w:tc>
          <w:tcPr>
            <w:tcW w:type="dxa" w:w="9144"/>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8"/>
              </w:rPr>
              <w:t>Classroom implementation</w:t>
            </w:r>
          </w:p>
        </w:tc>
        <w:tc>
          <w:tcPr>
            <w:tcW w:type="dxa" w:w="936"/>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8"/>
              </w:rPr>
              <w:t>11</w:t>
            </w:r>
          </w:p>
        </w:tc>
      </w:tr>
      <w:tr>
        <w:trPr>
          <w:cantSplit/>
        </w:trPr>
        <w:tc>
          <w:tcPr>
            <w:tcW w:type="dxa" w:w="9144"/>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8"/>
              </w:rPr>
              <w:t>Assessment and grading</w:t>
            </w:r>
          </w:p>
        </w:tc>
        <w:tc>
          <w:tcPr>
            <w:tcW w:type="dxa" w:w="936"/>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8"/>
              </w:rPr>
              <w:t>12</w:t>
            </w:r>
          </w:p>
        </w:tc>
      </w:tr>
      <w:tr>
        <w:trPr>
          <w:cantSplit/>
        </w:trPr>
        <w:tc>
          <w:tcPr>
            <w:tcW w:type="dxa" w:w="9144"/>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8"/>
              </w:rPr>
              <w:t>Specification for a coding agent</w:t>
            </w:r>
          </w:p>
        </w:tc>
        <w:tc>
          <w:tcPr>
            <w:tcW w:type="dxa" w:w="936"/>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8"/>
              </w:rPr>
              <w:t>13</w:t>
            </w:r>
          </w:p>
        </w:tc>
      </w:tr>
      <w:tr>
        <w:trPr>
          <w:cantSplit/>
        </w:trPr>
        <w:tc>
          <w:tcPr>
            <w:tcW w:type="dxa" w:w="9144"/>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8"/>
              </w:rPr>
              <w:t>Reusable authoring templates</w:t>
            </w:r>
          </w:p>
        </w:tc>
        <w:tc>
          <w:tcPr>
            <w:tcW w:type="dxa" w:w="936"/>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8"/>
              </w:rPr>
              <w:t>14</w:t>
            </w:r>
          </w:p>
        </w:tc>
      </w:tr>
      <w:tr>
        <w:trPr>
          <w:cantSplit/>
        </w:trPr>
        <w:tc>
          <w:tcPr>
            <w:tcW w:type="dxa" w:w="9144"/>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8"/>
              </w:rPr>
              <w:t>Iteration testing and release checklist</w:t>
            </w:r>
          </w:p>
        </w:tc>
        <w:tc>
          <w:tcPr>
            <w:tcW w:type="dxa" w:w="936"/>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8"/>
              </w:rPr>
              <w:t>15</w:t>
            </w:r>
          </w:p>
        </w:tc>
      </w:tr>
    </w:tbl>
    <w:p>
      <w:pPr>
        <w:spacing w:after="0"/>
      </w:pPr>
    </w:p>
    <w:p>
      <w:r>
        <w:br w:type="page"/>
      </w:r>
    </w:p>
    <w:p>
      <w:pPr>
        <w:pStyle w:val="Heading1"/>
      </w:pPr>
      <w:r>
        <w:t>01 Pedagogical framework</w:t>
      </w:r>
    </w:p>
    <w:p>
      <w:r>
        <w:t>The central design goal is to make ethical reasoning visible. A student should leave a case able to identify the conflict, explain whose interests matter, distinguish evidence from assumptions, compare reasonable alternatives, and justify a recommendation that acknowledges its costs.</w:t>
      </w:r>
    </w:p>
    <w:p>
      <w:pPr>
        <w:pStyle w:val="Heading2"/>
      </w:pPr>
      <w:r>
        <w:t>Learning through a consultation</w:t>
      </w:r>
    </w:p>
    <w:p>
      <w:r>
        <w:t>A consultation gives students a practical role without asking them to impersonate a treating clinician. Their task is to clarify an ethical question and recommend a process or course of action. That role supports discussion of competing values while keeping clinical facts, institutional procedures, and ethical judgments conceptually distinct.</w:t>
      </w:r>
    </w:p>
    <w:p>
      <w:r>
        <w:t>Information should arrive in a deliberate sequence. An initial position gives students something to revisit. Stakeholder interviews complicate that position, and a later evidence reveal creates a reason to revise it. Revision should remain visible in the final report so that changing one’s mind can count as thoughtful work.</w:t>
      </w:r>
    </w:p>
    <w:p>
      <w:pPr>
        <w:pStyle w:val="Heading2"/>
      </w:pPr>
      <w:r>
        <w:t>Learning outcomes to write before the case</w:t>
      </w:r>
    </w:p>
    <w:p>
      <w:pPr>
        <w:pStyle w:val="ListBullet"/>
      </w:pPr>
      <w:r>
        <w:t>Frame a specific ethical question that the consultation can address.</w:t>
      </w:r>
    </w:p>
    <w:p>
      <w:pPr>
        <w:pStyle w:val="ListBullet"/>
      </w:pPr>
      <w:r>
        <w:t>Represent the interests and stated values of affected people accurately.</w:t>
      </w:r>
    </w:p>
    <w:p>
      <w:pPr>
        <w:pStyle w:val="ListBullet"/>
      </w:pPr>
      <w:r>
        <w:t>Apply relevant ethical concepts to particular facts rather than merely naming theories.</w:t>
      </w:r>
    </w:p>
    <w:p>
      <w:pPr>
        <w:pStyle w:val="ListBullet"/>
      </w:pPr>
      <w:r>
        <w:t>Compare at least two feasible options and articulate a serious objection to the preferred option.</w:t>
      </w:r>
    </w:p>
    <w:p>
      <w:pPr>
        <w:pStyle w:val="ListBullet"/>
      </w:pPr>
      <w:r>
        <w:t>Explain how new information changes the recommendation or its conditions.</w:t>
      </w:r>
    </w:p>
    <w:p>
      <w:pPr>
        <w:pStyle w:val="Heading2"/>
      </w:pPr>
      <w:r>
        <w:t>What remains consistent across cases</w:t>
      </w:r>
    </w:p>
    <w:tbl>
      <w:tblPr>
        <w:tblW w:type="auto" w:w="0"/>
        <w:jc w:val="center"/>
        <w:tblLayout w:type="fixed"/>
        <w:tblLook w:firstColumn="1" w:firstRow="1" w:lastColumn="0" w:lastRow="0" w:noHBand="0" w:noVBand="1" w:val="04A0"/>
      </w:tblPr>
      <w:tblGrid>
        <w:gridCol w:w="5040"/>
        <w:gridCol w:w="5040"/>
      </w:tblGrid>
      <w:tr>
        <w:trPr>
          <w:cantSplit/>
          <w:tblHeader/>
        </w:trPr>
        <w:tc>
          <w:tcPr>
            <w:tcW w:type="dxa" w:w="50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253746"/>
          </w:tcPr>
          <w:p>
            <w:pPr>
              <w:spacing w:after="0" w:line="247" w:lineRule="auto"/>
            </w:pPr>
            <w:r>
              <w:rPr>
                <w:b/>
                <w:color w:val="FFFFFF"/>
                <w:sz w:val="19"/>
              </w:rPr>
              <w:t>Keep consistent</w:t>
            </w:r>
          </w:p>
        </w:tc>
        <w:tc>
          <w:tcPr>
            <w:tcW w:type="dxa" w:w="50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253746"/>
          </w:tcPr>
          <w:p>
            <w:pPr>
              <w:spacing w:after="0" w:line="247" w:lineRule="auto"/>
            </w:pPr>
            <w:r>
              <w:rPr>
                <w:b/>
                <w:color w:val="FFFFFF"/>
                <w:sz w:val="19"/>
              </w:rPr>
              <w:t>Allow to vary</w:t>
            </w:r>
          </w:p>
        </w:tc>
      </w:tr>
      <w:tr>
        <w:trPr>
          <w:cantSplit/>
        </w:trPr>
        <w:tc>
          <w:tcPr>
            <w:tcW w:type="dxa" w:w="50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Six-stage progression and a visible route to completion</w:t>
            </w:r>
          </w:p>
        </w:tc>
        <w:tc>
          <w:tcPr>
            <w:tcW w:type="dxa" w:w="50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Setting, central conflict, case length, and narrative voice</w:t>
            </w:r>
          </w:p>
        </w:tc>
      </w:tr>
      <w:tr>
        <w:trPr>
          <w:cantSplit/>
        </w:trPr>
        <w:tc>
          <w:tcPr>
            <w:tcW w:type="dxa" w:w="50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Evidence linked to reasoning and a written justification</w:t>
            </w:r>
          </w:p>
        </w:tc>
        <w:tc>
          <w:tcPr>
            <w:tcW w:type="dxa" w:w="50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Stakeholder identities, reveal timing, and question types</w:t>
            </w:r>
          </w:p>
        </w:tc>
      </w:tr>
      <w:tr>
        <w:trPr>
          <w:cantSplit/>
        </w:trPr>
        <w:tc>
          <w:tcPr>
            <w:tcW w:type="dxa" w:w="50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A recommendation, objection, uncertainty, and reflection</w:t>
            </w:r>
          </w:p>
        </w:tc>
        <w:tc>
          <w:tcPr>
            <w:tcW w:type="dxa" w:w="50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Visual theme, media, optional extensions, and difficulty</w:t>
            </w:r>
          </w:p>
        </w:tc>
      </w:tr>
      <w:tr>
        <w:trPr>
          <w:cantSplit/>
        </w:trPr>
        <w:tc>
          <w:tcPr>
            <w:tcW w:type="dxa" w:w="50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Assessment of the quality of the argument</w:t>
            </w:r>
          </w:p>
        </w:tc>
        <w:tc>
          <w:tcPr>
            <w:tcW w:type="dxa" w:w="50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Which ethically defensible conclusion students select</w:t>
            </w:r>
          </w:p>
        </w:tc>
      </w:tr>
    </w:tbl>
    <w:p>
      <w:pPr>
        <w:spacing w:after="0"/>
      </w:pPr>
    </w:p>
    <w:p>
      <w:pPr>
        <w:pStyle w:val="Heading2"/>
      </w:pPr>
      <w:r>
        <w:t>Keep the difficulty in the ethical problem</w:t>
      </w:r>
    </w:p>
    <w:p>
      <w:r>
        <w:t>Students should struggle with uncertainty, competing obligations, and the limits of their own assumptions. They should not struggle to find the start button, understand an instruction, or discover what to submit. Write interface instructions in concrete verbs and reserve ambiguity for the case itself. Avoid a hidden “correct” moral answer unless the activity explicitly assesses a factual or conceptual distinction.</w:t>
      </w:r>
    </w:p>
    <w:p>
      <w:r>
        <w:br w:type="page"/>
      </w:r>
    </w:p>
    <w:p>
      <w:pPr>
        <w:pStyle w:val="Heading1"/>
      </w:pPr>
      <w:r>
        <w:t>02 Six stage consultation structure</w:t>
      </w:r>
    </w:p>
    <w:p>
      <w:r>
        <w:t>Use the following stage labels as a reusable authoring model. Each stage has a distinct learning task, a student artifact, and a clear condition for continuing. Cases may change the labels while retaining these functions.</w:t>
      </w:r>
    </w:p>
    <w:tbl>
      <w:tblPr>
        <w:tblW w:type="auto" w:w="0"/>
        <w:jc w:val="center"/>
        <w:tblLayout w:type="fixed"/>
        <w:tblLook w:firstColumn="1" w:firstRow="1" w:lastColumn="0" w:lastRow="0" w:noHBand="0" w:noVBand="1" w:val="04A0"/>
      </w:tblPr>
      <w:tblGrid>
        <w:gridCol w:w="2189"/>
        <w:gridCol w:w="4219"/>
        <w:gridCol w:w="3672"/>
      </w:tblGrid>
      <w:tr>
        <w:trPr>
          <w:cantSplit/>
          <w:tblHeader/>
        </w:trPr>
        <w:tc>
          <w:tcPr>
            <w:tcW w:type="dxa" w:w="2189"/>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253746"/>
          </w:tcPr>
          <w:p>
            <w:pPr>
              <w:spacing w:after="0" w:line="247" w:lineRule="auto"/>
            </w:pPr>
            <w:r>
              <w:rPr>
                <w:b/>
                <w:color w:val="FFFFFF"/>
                <w:sz w:val="19"/>
              </w:rPr>
              <w:t>Stage</w:t>
            </w:r>
          </w:p>
        </w:tc>
        <w:tc>
          <w:tcPr>
            <w:tcW w:type="dxa" w:w="4219"/>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253746"/>
          </w:tcPr>
          <w:p>
            <w:pPr>
              <w:spacing w:after="0" w:line="247" w:lineRule="auto"/>
            </w:pPr>
            <w:r>
              <w:rPr>
                <w:b/>
                <w:color w:val="FFFFFF"/>
                <w:sz w:val="19"/>
              </w:rPr>
              <w:t>Student task</w:t>
            </w:r>
          </w:p>
        </w:tc>
        <w:tc>
          <w:tcPr>
            <w:tcW w:type="dxa" w:w="367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253746"/>
          </w:tcPr>
          <w:p>
            <w:pPr>
              <w:spacing w:after="0" w:line="247" w:lineRule="auto"/>
            </w:pPr>
            <w:r>
              <w:rPr>
                <w:b/>
                <w:color w:val="FFFFFF"/>
                <w:sz w:val="19"/>
              </w:rPr>
              <w:t>Saved artifact</w:t>
            </w:r>
          </w:p>
        </w:tc>
      </w:tr>
      <w:tr>
        <w:trPr>
          <w:cantSplit/>
        </w:trPr>
        <w:tc>
          <w:tcPr>
            <w:tcW w:type="dxa" w:w="2189"/>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1  Intake and framing</w:t>
            </w:r>
          </w:p>
        </w:tc>
        <w:tc>
          <w:tcPr>
            <w:tcW w:type="dxa" w:w="4219"/>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Read the referral and state the ethical question.</w:t>
            </w:r>
          </w:p>
        </w:tc>
        <w:tc>
          <w:tcPr>
            <w:tcW w:type="dxa" w:w="367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Initial issue statement and provisional view</w:t>
            </w:r>
          </w:p>
        </w:tc>
      </w:tr>
      <w:tr>
        <w:trPr>
          <w:cantSplit/>
        </w:trPr>
        <w:tc>
          <w:tcPr>
            <w:tcW w:type="dxa" w:w="2189"/>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2  Stakeholder inquiry</w:t>
            </w:r>
          </w:p>
        </w:tc>
        <w:tc>
          <w:tcPr>
            <w:tcW w:type="dxa" w:w="4219"/>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Hear competing accounts and identify relevant values.</w:t>
            </w:r>
          </w:p>
        </w:tc>
        <w:tc>
          <w:tcPr>
            <w:tcW w:type="dxa" w:w="367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Interview notes and stakeholder concerns</w:t>
            </w:r>
          </w:p>
        </w:tc>
      </w:tr>
      <w:tr>
        <w:trPr>
          <w:cantSplit/>
        </w:trPr>
        <w:tc>
          <w:tcPr>
            <w:tcW w:type="dxa" w:w="2189"/>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3  Evidence and complication</w:t>
            </w:r>
          </w:p>
        </w:tc>
        <w:tc>
          <w:tcPr>
            <w:tcW w:type="dxa" w:w="4219"/>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Examine a new fact and reassess assumptions.</w:t>
            </w:r>
          </w:p>
        </w:tc>
        <w:tc>
          <w:tcPr>
            <w:tcW w:type="dxa" w:w="367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Evidence interpretation and revision note</w:t>
            </w:r>
          </w:p>
        </w:tc>
      </w:tr>
      <w:tr>
        <w:trPr>
          <w:cantSplit/>
        </w:trPr>
        <w:tc>
          <w:tcPr>
            <w:tcW w:type="dxa" w:w="2189"/>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4  Ethical analysis</w:t>
            </w:r>
          </w:p>
        </w:tc>
        <w:tc>
          <w:tcPr>
            <w:tcW w:type="dxa" w:w="4219"/>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Apply concepts and compare feasible options.</w:t>
            </w:r>
          </w:p>
        </w:tc>
        <w:tc>
          <w:tcPr>
            <w:tcW w:type="dxa" w:w="367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Reasoned comparison and strongest objection</w:t>
            </w:r>
          </w:p>
        </w:tc>
      </w:tr>
      <w:tr>
        <w:trPr>
          <w:cantSplit/>
        </w:trPr>
        <w:tc>
          <w:tcPr>
            <w:tcW w:type="dxa" w:w="2189"/>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5  Recommendation</w:t>
            </w:r>
          </w:p>
        </w:tc>
        <w:tc>
          <w:tcPr>
            <w:tcW w:type="dxa" w:w="4219"/>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Choose and justify an action or consultation process.</w:t>
            </w:r>
          </w:p>
        </w:tc>
        <w:tc>
          <w:tcPr>
            <w:tcW w:type="dxa" w:w="367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Recommendation with conditions and next steps</w:t>
            </w:r>
          </w:p>
        </w:tc>
      </w:tr>
      <w:tr>
        <w:trPr>
          <w:cantSplit/>
        </w:trPr>
        <w:tc>
          <w:tcPr>
            <w:tcW w:type="dxa" w:w="2189"/>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6  Debrief and reflection</w:t>
            </w:r>
          </w:p>
        </w:tc>
        <w:tc>
          <w:tcPr>
            <w:tcW w:type="dxa" w:w="4219"/>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Review the reasoning and explain what changed.</w:t>
            </w:r>
          </w:p>
        </w:tc>
        <w:tc>
          <w:tcPr>
            <w:tcW w:type="dxa" w:w="367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Final consultation report and reflection</w:t>
            </w:r>
          </w:p>
        </w:tc>
      </w:tr>
    </w:tbl>
    <w:p>
      <w:pPr>
        <w:spacing w:after="0"/>
      </w:pPr>
    </w:p>
    <w:p>
      <w:pPr>
        <w:pStyle w:val="Heading2"/>
      </w:pPr>
      <w:r>
        <w:t>Design the transitions</w:t>
      </w:r>
    </w:p>
    <w:p>
      <w:r>
        <w:t>Each transition should answer two questions: what has the student completed, and what will the next stage ask them to do? A short sentence can connect the stages: “You have heard the family’s account. Next, examine information that may affect how you interpret that account.” Avoid announcing the preferred interpretation before students have done the work.</w:t>
      </w:r>
    </w:p>
    <w:p>
      <w:r>
        <w:t>Require only the responses that are necessary for the learning goals. If a written justification is missing, identify the field and explain the requirement next to it. Keep the student’s existing work. A completed stage should remain reviewable, and editing an earlier response should not silently erase later reasoning.</w:t>
      </w:r>
    </w:p>
    <w:p>
      <w:pPr>
        <w:pStyle w:val="Heading2"/>
      </w:pPr>
      <w:r>
        <w:t>Use uncertainty deliberately</w:t>
      </w:r>
    </w:p>
    <w:p>
      <w:r>
        <w:t>Do not release every fact at intake. Decide which facts students need to form an initial view and which can productively arrive later. A reveal should affect an ethical inference, such as whose account is credible or which option is feasible. Arbitrary surprises encourage guessing rather than careful inquiry.</w:t>
      </w:r>
    </w:p>
    <w:p>
      <w:pPr>
        <w:pStyle w:val="Heading2"/>
      </w:pPr>
      <w:r>
        <w:t>Completion means a defensible record</w:t>
      </w:r>
    </w:p>
    <w:p>
      <w:r>
        <w:t>Finishing the simulation means producing a coherent account of the consultation. A sequence of clicks alone does not establish completion. The final stage should help students connect their initial view, stakeholder analysis, response to the reveal, and recommendation. Include an opportunity to name an unresolved question and identify what additional information would matter.</w:t>
      </w:r>
    </w:p>
    <w:p>
      <w:r>
        <w:br w:type="page"/>
      </w:r>
    </w:p>
    <w:p>
      <w:pPr>
        <w:pStyle w:val="Heading1"/>
      </w:pPr>
      <w:r>
        <w:t>03 Prototype architecture and feature baseline</w:t>
      </w:r>
    </w:p>
    <w:p>
      <w:r>
        <w:t>The prototype baseline is a downloadable HTML simulation with JavaScript interactions. Its documented instructional elements include a six-stage case, stakeholder interviews, evidence reveals, student decisions, and a downloadable final report. These features define the minimum experience to preserve when the implementation changes.</w:t>
      </w:r>
    </w:p>
    <w:p>
      <w:pPr>
        <w:pStyle w:val="Heading2"/>
      </w:pPr>
      <w:r>
        <w:t>Separate the responsibilities</w:t>
      </w:r>
    </w:p>
    <w:tbl>
      <w:tblPr>
        <w:tblW w:type="auto" w:w="0"/>
        <w:jc w:val="center"/>
        <w:tblLayout w:type="fixed"/>
        <w:tblLook w:firstColumn="1" w:firstRow="1" w:lastColumn="0" w:lastRow="0" w:noHBand="0" w:noVBand="1" w:val="04A0"/>
      </w:tblPr>
      <w:tblGrid>
        <w:gridCol w:w="1440"/>
        <w:gridCol w:w="3168"/>
        <w:gridCol w:w="5472"/>
      </w:tblGrid>
      <w:tr>
        <w:trPr>
          <w:cantSplit/>
          <w:tblHeader/>
        </w:trPr>
        <w:tc>
          <w:tcPr>
            <w:tcW w:type="dxa" w:w="14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253746"/>
          </w:tcPr>
          <w:p>
            <w:pPr>
              <w:spacing w:after="0" w:line="247" w:lineRule="auto"/>
            </w:pPr>
            <w:r>
              <w:rPr>
                <w:b/>
                <w:color w:val="FFFFFF"/>
                <w:sz w:val="19"/>
              </w:rPr>
              <w:t>Layer</w:t>
            </w:r>
          </w:p>
        </w:tc>
        <w:tc>
          <w:tcPr>
            <w:tcW w:type="dxa" w:w="3168"/>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253746"/>
          </w:tcPr>
          <w:p>
            <w:pPr>
              <w:spacing w:after="0" w:line="247" w:lineRule="auto"/>
            </w:pPr>
            <w:r>
              <w:rPr>
                <w:b/>
                <w:color w:val="FFFFFF"/>
                <w:sz w:val="19"/>
              </w:rPr>
              <w:t>Responsibility</w:t>
            </w:r>
          </w:p>
        </w:tc>
        <w:tc>
          <w:tcPr>
            <w:tcW w:type="dxa" w:w="547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253746"/>
          </w:tcPr>
          <w:p>
            <w:pPr>
              <w:spacing w:after="0" w:line="247" w:lineRule="auto"/>
            </w:pPr>
            <w:r>
              <w:rPr>
                <w:b/>
                <w:color w:val="FFFFFF"/>
                <w:sz w:val="19"/>
              </w:rPr>
              <w:t>Typical content or behavior</w:t>
            </w:r>
          </w:p>
        </w:tc>
      </w:tr>
      <w:tr>
        <w:trPr>
          <w:cantSplit/>
        </w:trPr>
        <w:tc>
          <w:tcPr>
            <w:tcW w:type="dxa" w:w="14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HTML</w:t>
            </w:r>
          </w:p>
        </w:tc>
        <w:tc>
          <w:tcPr>
            <w:tcW w:type="dxa" w:w="3168"/>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Document structure and controls</w:t>
            </w:r>
          </w:p>
        </w:tc>
        <w:tc>
          <w:tcPr>
            <w:tcW w:type="dxa" w:w="547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Headings, case panels, interview buttons, response fields</w:t>
            </w:r>
          </w:p>
        </w:tc>
      </w:tr>
      <w:tr>
        <w:trPr>
          <w:cantSplit/>
        </w:trPr>
        <w:tc>
          <w:tcPr>
            <w:tcW w:type="dxa" w:w="14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CSS</w:t>
            </w:r>
          </w:p>
        </w:tc>
        <w:tc>
          <w:tcPr>
            <w:tcW w:type="dxa" w:w="3168"/>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Presentation and responsive layout</w:t>
            </w:r>
          </w:p>
        </w:tc>
        <w:tc>
          <w:tcPr>
            <w:tcW w:type="dxa" w:w="547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Typography, spacing, colors, cards, navigation states</w:t>
            </w:r>
          </w:p>
        </w:tc>
      </w:tr>
      <w:tr>
        <w:trPr>
          <w:cantSplit/>
        </w:trPr>
        <w:tc>
          <w:tcPr>
            <w:tcW w:type="dxa" w:w="14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JavaScript</w:t>
            </w:r>
          </w:p>
        </w:tc>
        <w:tc>
          <w:tcPr>
            <w:tcW w:type="dxa" w:w="3168"/>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State and interaction</w:t>
            </w:r>
          </w:p>
        </w:tc>
        <w:tc>
          <w:tcPr>
            <w:tcW w:type="dxa" w:w="547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Stage changes, reveals, validation, report generation</w:t>
            </w:r>
          </w:p>
        </w:tc>
      </w:tr>
      <w:tr>
        <w:trPr>
          <w:cantSplit/>
        </w:trPr>
        <w:tc>
          <w:tcPr>
            <w:tcW w:type="dxa" w:w="14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Case content</w:t>
            </w:r>
          </w:p>
        </w:tc>
        <w:tc>
          <w:tcPr>
            <w:tcW w:type="dxa" w:w="3168"/>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Instructional meaning</w:t>
            </w:r>
          </w:p>
        </w:tc>
        <w:tc>
          <w:tcPr>
            <w:tcW w:type="dxa" w:w="547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Narrative, stakeholder testimony, prompts, feedback</w:t>
            </w:r>
          </w:p>
        </w:tc>
      </w:tr>
    </w:tbl>
    <w:p>
      <w:pPr>
        <w:spacing w:after="0"/>
      </w:pPr>
    </w:p>
    <w:p>
      <w:pPr>
        <w:pStyle w:val="Heading2"/>
      </w:pPr>
      <w:r>
        <w:t>A practical interaction cycle</w:t>
      </w:r>
    </w:p>
    <w:p>
      <w:r>
        <w:t>The student activates a control or edits a response. The program records that change in a state object, checks whether the next action is available, and renders the appropriate view. The report reads from the same saved state. This prevents the screen and exported account from drifting apart.</w:t>
      </w:r>
    </w:p>
    <w:p>
      <w:r>
        <w:t>For example, opening an interview records the stakeholder identifier as visited. Saving a reflection records the text under a stable prompt identifier. Revealing evidence records its identifier and preserves the earlier answer so that revision can be discussed. These are implementation patterns for the reusable engine, rather than required names for existing functions.</w:t>
      </w:r>
    </w:p>
    <w:p>
      <w:pPr>
        <w:pStyle w:val="Heading2"/>
      </w:pPr>
      <w:r>
        <w:t>Preserve the opening correction</w:t>
      </w:r>
    </w:p>
    <w:p>
      <w:r>
        <w:t xml:space="preserve">The recorded usability correction added an obvious </w:t>
      </w:r>
      <w:r>
        <w:rPr>
          <w:b/>
        </w:rPr>
        <w:t>Start Consultation</w:t>
      </w:r>
      <w:r>
        <w:t xml:space="preserve"> button on the opening screen. The earlier entry action was buried below a long intake form. Every future case should expose its first meaningful action immediately. Put optional details after the start action or collect them when they become relevant.</w:t>
      </w:r>
    </w:p>
    <w:p>
      <w:pPr>
        <w:pStyle w:val="Heading2"/>
      </w:pPr>
      <w:r>
        <w:t>Do not assume additional capabilities</w:t>
      </w:r>
    </w:p>
    <w:p>
      <w:r>
        <w:t>A downloadable prototype does not by itself establish that answers survive a reload, that report exports use a particular file format, or that the program supports multiple cases. Treat persistence, a reusable case schema, dashboards, learning-management-system integration, analytics, and automated scoring as separate features to specify and test.</w:t>
      </w:r>
    </w:p>
    <w:p>
      <w:r>
        <w:t>Before modifying a working file, retain a copy and record the observed behavior. Keep a short feature inventory with three statuses: implemented and verified, planned, or intentionally excluded. Update that inventory when a change is released, so instructors can describe the actual classroom experience accurately.</w:t>
      </w:r>
    </w:p>
    <w:p>
      <w:r>
        <w:br w:type="page"/>
      </w:r>
    </w:p>
    <w:p>
      <w:pPr>
        <w:pStyle w:val="Heading1"/>
      </w:pPr>
      <w:r>
        <w:t>04 Reusable case engine specification</w:t>
      </w:r>
    </w:p>
    <w:p>
      <w:r>
        <w:t>The next architectural step is to separate case content from application behavior. A reusable engine should render different cases from a consistent data structure while retaining the six-stage learning sequence. The engine should not need a new set of navigation functions for each scenario.</w:t>
      </w:r>
    </w:p>
    <w:p>
      <w:pPr>
        <w:pStyle w:val="Heading2"/>
      </w:pPr>
      <w:r>
        <w:t>Recommended data model</w:t>
      </w:r>
    </w:p>
    <w:tbl>
      <w:tblPr>
        <w:tblW w:type="auto" w:w="0"/>
        <w:jc w:val="center"/>
        <w:tblLayout w:type="fixed"/>
        <w:tblLook w:firstColumn="1" w:firstRow="1" w:lastColumn="0" w:lastRow="0" w:noHBand="0" w:noVBand="1" w:val="04A0"/>
      </w:tblPr>
      <w:tblGrid>
        <w:gridCol w:w="1872"/>
        <w:gridCol w:w="8208"/>
      </w:tblGrid>
      <w:tr>
        <w:trPr>
          <w:cantSplit/>
          <w:tblHeader/>
        </w:trPr>
        <w:tc>
          <w:tcPr>
            <w:tcW w:type="dxa" w:w="187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253746"/>
          </w:tcPr>
          <w:p>
            <w:pPr>
              <w:spacing w:after="0" w:line="247" w:lineRule="auto"/>
            </w:pPr>
            <w:r>
              <w:rPr>
                <w:b/>
                <w:color w:val="FFFFFF"/>
                <w:sz w:val="19"/>
              </w:rPr>
              <w:t>Record</w:t>
            </w:r>
          </w:p>
        </w:tc>
        <w:tc>
          <w:tcPr>
            <w:tcW w:type="dxa" w:w="8208"/>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253746"/>
          </w:tcPr>
          <w:p>
            <w:pPr>
              <w:spacing w:after="0" w:line="247" w:lineRule="auto"/>
            </w:pPr>
            <w:r>
              <w:rPr>
                <w:b/>
                <w:color w:val="FFFFFF"/>
                <w:sz w:val="19"/>
              </w:rPr>
              <w:t>Required fields</w:t>
            </w:r>
          </w:p>
        </w:tc>
      </w:tr>
      <w:tr>
        <w:trPr>
          <w:cantSplit/>
        </w:trPr>
        <w:tc>
          <w:tcPr>
            <w:tcW w:type="dxa" w:w="187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Case</w:t>
            </w:r>
          </w:p>
        </w:tc>
        <w:tc>
          <w:tcPr>
            <w:tcW w:type="dxa" w:w="8208"/>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id, version, title, audience, learningObjectives, referral, stageOrder</w:t>
            </w:r>
          </w:p>
        </w:tc>
      </w:tr>
      <w:tr>
        <w:trPr>
          <w:cantSplit/>
        </w:trPr>
        <w:tc>
          <w:tcPr>
            <w:tcW w:type="dxa" w:w="187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Stage</w:t>
            </w:r>
          </w:p>
        </w:tc>
        <w:tc>
          <w:tcPr>
            <w:tcW w:type="dxa" w:w="8208"/>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id, title, introduction, prompts, requiredResponseIds, nextStageId</w:t>
            </w:r>
          </w:p>
        </w:tc>
      </w:tr>
      <w:tr>
        <w:trPr>
          <w:cantSplit/>
        </w:trPr>
        <w:tc>
          <w:tcPr>
            <w:tcW w:type="dxa" w:w="187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Stakeholder</w:t>
            </w:r>
          </w:p>
        </w:tc>
        <w:tc>
          <w:tcPr>
            <w:tcW w:type="dxa" w:w="8208"/>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id, name, role, introduction, questions, answers, teachingNotes</w:t>
            </w:r>
          </w:p>
        </w:tc>
      </w:tr>
      <w:tr>
        <w:trPr>
          <w:cantSplit/>
        </w:trPr>
        <w:tc>
          <w:tcPr>
            <w:tcW w:type="dxa" w:w="187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Evidence item</w:t>
            </w:r>
          </w:p>
        </w:tc>
        <w:tc>
          <w:tcPr>
            <w:tcW w:type="dxa" w:w="8208"/>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id, title, content, availableAtStage, sourceLabel, debriefNotes</w:t>
            </w:r>
          </w:p>
        </w:tc>
      </w:tr>
      <w:tr>
        <w:trPr>
          <w:cantSplit/>
        </w:trPr>
        <w:tc>
          <w:tcPr>
            <w:tcW w:type="dxa" w:w="187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Decision prompt</w:t>
            </w:r>
          </w:p>
        </w:tc>
        <w:tc>
          <w:tcPr>
            <w:tcW w:type="dxa" w:w="8208"/>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id, question, options, rationalePrompt, feedbackRule</w:t>
            </w:r>
          </w:p>
        </w:tc>
      </w:tr>
      <w:tr>
        <w:trPr>
          <w:cantSplit/>
        </w:trPr>
        <w:tc>
          <w:tcPr>
            <w:tcW w:type="dxa" w:w="187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Report definition</w:t>
            </w:r>
          </w:p>
        </w:tc>
        <w:tc>
          <w:tcPr>
            <w:tcW w:type="dxa" w:w="8208"/>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sections, responseIds, revisionPairs, reflectionPrompts</w:t>
            </w:r>
          </w:p>
        </w:tc>
      </w:tr>
    </w:tbl>
    <w:p>
      <w:pPr>
        <w:spacing w:after="0"/>
      </w:pPr>
    </w:p>
    <w:p>
      <w:pPr>
        <w:pStyle w:val="Heading2"/>
      </w:pPr>
      <w:r>
        <w:t>Recommended student state</w:t>
      </w:r>
    </w:p>
    <w:p>
      <w:r>
        <w:t>Keep the case identifier and version, current stage, completed stages, visited interviews, revealed evidence, selected options, written responses, and revision history. Use stable identifiers rather than visible titles as keys. A title can change without breaking saved answers or export mappings.</w:t>
      </w:r>
    </w:p>
    <w:p>
      <w:r>
        <w:t>Represent the initial answer and revised answer as separate values. If the application stores only the newest text, it cannot later show how a student’s judgment developed. Make the meaning of “complete” explicit for each stage and compute it from the required responses.</w:t>
      </w:r>
    </w:p>
    <w:p>
      <w:pPr>
        <w:pStyle w:val="Heading2"/>
      </w:pPr>
      <w:r>
        <w:t>Recommended application modules</w:t>
      </w:r>
    </w:p>
    <w:p>
      <w:pPr>
        <w:pStyle w:val="ListBullet"/>
      </w:pPr>
      <w:r>
        <w:t>A content loader checks required fields and resolves references between records.</w:t>
      </w:r>
    </w:p>
    <w:p>
      <w:pPr>
        <w:pStyle w:val="ListBullet"/>
      </w:pPr>
      <w:r>
        <w:t>A state manager records responses and implements any chosen save and reset behavior.</w:t>
      </w:r>
    </w:p>
    <w:p>
      <w:pPr>
        <w:pStyle w:val="ListBullet"/>
      </w:pPr>
      <w:r>
        <w:t>A stage renderer displays content using shared components and accessible controls.</w:t>
      </w:r>
    </w:p>
    <w:p>
      <w:pPr>
        <w:pStyle w:val="ListBullet"/>
      </w:pPr>
      <w:r>
        <w:t>A navigation controller checks stage requirements and supports returning to prior work.</w:t>
      </w:r>
    </w:p>
    <w:p>
      <w:pPr>
        <w:pStyle w:val="ListBullet"/>
      </w:pPr>
      <w:r>
        <w:t>A report generator converts saved responses into an organized consultation record.</w:t>
      </w:r>
    </w:p>
    <w:p>
      <w:pPr>
        <w:pStyle w:val="Heading2"/>
      </w:pPr>
      <w:r>
        <w:t>Scope features before building them</w:t>
      </w:r>
    </w:p>
    <w:p>
      <w:r>
        <w:t>A local single-file version can be a useful distribution target. Keep essential assets local if offline use is a requirement. Persistent storage, import and export of progress, instructor views, and server accounts should each have an explicit requirement and acceptance test. Add them only when they solve a defined teaching or distribution problem.</w:t>
      </w:r>
    </w:p>
    <w:p>
      <w:r>
        <w:t>Use a small schema version in addition to the case version. If saved state is incompatible with a changed case, explain the mismatch and offer a safe restart or export of the older work. Never silently attach an earlier response to a different prompt.</w:t>
      </w:r>
    </w:p>
    <w:p>
      <w:r>
        <w:br w:type="page"/>
      </w:r>
    </w:p>
    <w:p>
      <w:pPr>
        <w:pStyle w:val="Heading1"/>
      </w:pPr>
      <w:r>
        <w:t>05 Visual design system</w:t>
      </w:r>
    </w:p>
    <w:p>
      <w:r>
        <w:t>A consistent visual system helps students recognize the consultation structure across cases. Use a restrained interface with readable case text, clearly labeled actions, and a stable progress display. The following values are a recommended baseline for future builds and visual experiments.</w:t>
      </w:r>
    </w:p>
    <w:p>
      <w:pPr>
        <w:pStyle w:val="Heading2"/>
      </w:pPr>
      <w:r>
        <w:t>Reference palette</w:t>
      </w:r>
    </w:p>
    <w:tbl>
      <w:tblPr>
        <w:tblW w:type="auto" w:w="0"/>
        <w:jc w:val="center"/>
        <w:tblLayout w:type="fixed"/>
        <w:tblLook w:firstColumn="1" w:firstRow="1" w:lastColumn="0" w:lastRow="0" w:noHBand="0" w:noVBand="1" w:val="04A0"/>
      </w:tblPr>
      <w:tblGrid>
        <w:gridCol w:w="2160"/>
        <w:gridCol w:w="1440"/>
        <w:gridCol w:w="6480"/>
      </w:tblGrid>
      <w:tr>
        <w:trPr>
          <w:cantSplit/>
          <w:tblHeader/>
        </w:trPr>
        <w:tc>
          <w:tcPr>
            <w:tcW w:type="dxa" w:w="216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253746"/>
          </w:tcPr>
          <w:p>
            <w:pPr>
              <w:spacing w:after="0" w:line="247" w:lineRule="auto"/>
            </w:pPr>
            <w:r>
              <w:rPr>
                <w:b/>
                <w:color w:val="FFFFFF"/>
                <w:sz w:val="19"/>
              </w:rPr>
              <w:t>Role</w:t>
            </w:r>
          </w:p>
        </w:tc>
        <w:tc>
          <w:tcPr>
            <w:tcW w:type="dxa" w:w="14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253746"/>
          </w:tcPr>
          <w:p>
            <w:pPr>
              <w:spacing w:after="0" w:line="247" w:lineRule="auto"/>
            </w:pPr>
            <w:r>
              <w:rPr>
                <w:b/>
                <w:color w:val="FFFFFF"/>
                <w:sz w:val="19"/>
              </w:rPr>
              <w:t>Value</w:t>
            </w:r>
          </w:p>
        </w:tc>
        <w:tc>
          <w:tcPr>
            <w:tcW w:type="dxa" w:w="648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253746"/>
          </w:tcPr>
          <w:p>
            <w:pPr>
              <w:spacing w:after="0" w:line="247" w:lineRule="auto"/>
            </w:pPr>
            <w:r>
              <w:rPr>
                <w:b/>
                <w:color w:val="FFFFFF"/>
                <w:sz w:val="19"/>
              </w:rPr>
              <w:t>Use</w:t>
            </w:r>
          </w:p>
        </w:tc>
      </w:tr>
      <w:tr>
        <w:trPr>
          <w:cantSplit/>
        </w:trPr>
        <w:tc>
          <w:tcPr>
            <w:tcW w:type="dxa" w:w="216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Page background</w:t>
            </w:r>
          </w:p>
        </w:tc>
        <w:tc>
          <w:tcPr>
            <w:tcW w:type="dxa" w:w="14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#F4F6F8</w:t>
            </w:r>
          </w:p>
        </w:tc>
        <w:tc>
          <w:tcPr>
            <w:tcW w:type="dxa" w:w="648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Neutral background behind the reading surface</w:t>
            </w:r>
          </w:p>
        </w:tc>
      </w:tr>
      <w:tr>
        <w:trPr>
          <w:cantSplit/>
        </w:trPr>
        <w:tc>
          <w:tcPr>
            <w:tcW w:type="dxa" w:w="216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Content surface</w:t>
            </w:r>
          </w:p>
        </w:tc>
        <w:tc>
          <w:tcPr>
            <w:tcW w:type="dxa" w:w="14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#FFFFFF</w:t>
            </w:r>
          </w:p>
        </w:tc>
        <w:tc>
          <w:tcPr>
            <w:tcW w:type="dxa" w:w="648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Case narrative, forms, interview panels</w:t>
            </w:r>
          </w:p>
        </w:tc>
      </w:tr>
      <w:tr>
        <w:trPr>
          <w:cantSplit/>
        </w:trPr>
        <w:tc>
          <w:tcPr>
            <w:tcW w:type="dxa" w:w="216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Primary text</w:t>
            </w:r>
          </w:p>
        </w:tc>
        <w:tc>
          <w:tcPr>
            <w:tcW w:type="dxa" w:w="14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#17212B</w:t>
            </w:r>
          </w:p>
        </w:tc>
        <w:tc>
          <w:tcPr>
            <w:tcW w:type="dxa" w:w="648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Body text and prominent labels</w:t>
            </w:r>
          </w:p>
        </w:tc>
      </w:tr>
      <w:tr>
        <w:trPr>
          <w:cantSplit/>
        </w:trPr>
        <w:tc>
          <w:tcPr>
            <w:tcW w:type="dxa" w:w="216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Secondary text</w:t>
            </w:r>
          </w:p>
        </w:tc>
        <w:tc>
          <w:tcPr>
            <w:tcW w:type="dxa" w:w="14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#4B5563</w:t>
            </w:r>
          </w:p>
        </w:tc>
        <w:tc>
          <w:tcPr>
            <w:tcW w:type="dxa" w:w="648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Supporting instructions and metadata</w:t>
            </w:r>
          </w:p>
        </w:tc>
      </w:tr>
      <w:tr>
        <w:trPr>
          <w:cantSplit/>
        </w:trPr>
        <w:tc>
          <w:tcPr>
            <w:tcW w:type="dxa" w:w="216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Primary action</w:t>
            </w:r>
          </w:p>
        </w:tc>
        <w:tc>
          <w:tcPr>
            <w:tcW w:type="dxa" w:w="14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#174D68</w:t>
            </w:r>
          </w:p>
        </w:tc>
        <w:tc>
          <w:tcPr>
            <w:tcW w:type="dxa" w:w="648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Start, Continue, and Download Report</w:t>
            </w:r>
          </w:p>
        </w:tc>
      </w:tr>
      <w:tr>
        <w:trPr>
          <w:cantSplit/>
        </w:trPr>
        <w:tc>
          <w:tcPr>
            <w:tcW w:type="dxa" w:w="216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Border</w:t>
            </w:r>
          </w:p>
        </w:tc>
        <w:tc>
          <w:tcPr>
            <w:tcW w:type="dxa" w:w="14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#D1D8E0</w:t>
            </w:r>
          </w:p>
        </w:tc>
        <w:tc>
          <w:tcPr>
            <w:tcW w:type="dxa" w:w="648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Input outlines and separation between regions</w:t>
            </w:r>
          </w:p>
        </w:tc>
      </w:tr>
      <w:tr>
        <w:trPr>
          <w:cantSplit/>
        </w:trPr>
        <w:tc>
          <w:tcPr>
            <w:tcW w:type="dxa" w:w="216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Success</w:t>
            </w:r>
          </w:p>
        </w:tc>
        <w:tc>
          <w:tcPr>
            <w:tcW w:type="dxa" w:w="14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#226546</w:t>
            </w:r>
          </w:p>
        </w:tc>
        <w:tc>
          <w:tcPr>
            <w:tcW w:type="dxa" w:w="648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Completed status with an explicit text label</w:t>
            </w:r>
          </w:p>
        </w:tc>
      </w:tr>
      <w:tr>
        <w:trPr>
          <w:cantSplit/>
        </w:trPr>
        <w:tc>
          <w:tcPr>
            <w:tcW w:type="dxa" w:w="216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Attention</w:t>
            </w:r>
          </w:p>
        </w:tc>
        <w:tc>
          <w:tcPr>
            <w:tcW w:type="dxa" w:w="14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#7A4B00</w:t>
            </w:r>
          </w:p>
        </w:tc>
        <w:tc>
          <w:tcPr>
            <w:tcW w:type="dxa" w:w="648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Information needing review with an explicit label</w:t>
            </w:r>
          </w:p>
        </w:tc>
      </w:tr>
    </w:tbl>
    <w:p>
      <w:pPr>
        <w:spacing w:after="0"/>
      </w:pPr>
    </w:p>
    <w:p>
      <w:r>
        <w:t>Check actual foreground and background combinations in the rendered interface. A token name does not establish sufficient contrast. Never communicate completion, warnings, or stakeholder categories through color alone.</w:t>
      </w:r>
    </w:p>
    <w:p>
      <w:pPr>
        <w:pStyle w:val="Heading2"/>
      </w:pPr>
      <w:r>
        <w:t>Typography and spacing</w:t>
      </w:r>
    </w:p>
    <w:p>
      <w:r>
        <w:t>Use a system sans-serif stack such as system-ui, Segoe UI, and Arial. Begin with 16–18 px body text and a line height around 1.5. Keep long case passages near 65–75 characters per line. Use a small heading scale and an 8 px spacing base; for example, 8, 16, 24, and 32 px for progressively larger separations.</w:t>
      </w:r>
    </w:p>
    <w:p>
      <w:pPr>
        <w:pStyle w:val="Heading2"/>
      </w:pPr>
      <w:r>
        <w:t>Layout and component conventions</w:t>
      </w:r>
    </w:p>
    <w:p>
      <w:r>
        <w:t>Use a centered reading area with a visible case title and stage heading. On larger screens, a progress column can sit beside the active content. On small screens, move progress above the content and keep the primary action easy to find. Preserve a logical reading order when the layout collapses.</w:t>
      </w:r>
    </w:p>
    <w:p>
      <w:r>
        <w:t>Give recurring components the same appearance and behavior: stakeholder cards open interviews; evidence cards identify the new information; response fields include their prompt and requirement; action rows identify the next step. Reserve visual emphasis for the task students need to complete.</w:t>
      </w:r>
    </w:p>
    <w:p>
      <w:pPr>
        <w:pStyle w:val="Heading2"/>
      </w:pPr>
      <w:r>
        <w:t>Make visual experiments reversible</w:t>
      </w:r>
    </w:p>
    <w:p>
      <w:r>
        <w:t>Store reusable values as CSS variables. Change a small group of tokens in one iteration and keep the content and task sequence stable while evaluating the effect. Compare readability, start success, navigation errors, and completion behavior before adopting a new theme. Preserve a known working theme as a fallback.</w:t>
      </w:r>
    </w:p>
    <w:p>
      <w:r>
        <w:br w:type="page"/>
      </w:r>
    </w:p>
    <w:p>
      <w:pPr>
        <w:pStyle w:val="Heading1"/>
      </w:pPr>
      <w:r>
        <w:t>06 Interaction and accessibility</w:t>
      </w:r>
    </w:p>
    <w:p>
      <w:r>
        <w:t>Students should be able to understand and complete the consultation using a keyboard, a small screen, or assistive technology. Build accessibility into the shared components so that each new case inherits the same interaction quality.</w:t>
      </w:r>
    </w:p>
    <w:p>
      <w:pPr>
        <w:pStyle w:val="Heading2"/>
      </w:pPr>
      <w:r>
        <w:t>Entry and navigation</w:t>
      </w:r>
    </w:p>
    <w:p>
      <w:pPr>
        <w:pStyle w:val="ListBullet"/>
      </w:pPr>
      <w:r>
        <w:t>Show the case purpose, expected work, and a clearly visible Start Consultation button before any long form.</w:t>
      </w:r>
    </w:p>
    <w:p>
      <w:pPr>
        <w:pStyle w:val="ListBullet"/>
      </w:pPr>
      <w:r>
        <w:t>Display the current stage in text and show the six-stage sequence without relying on color.</w:t>
      </w:r>
    </w:p>
    <w:p>
      <w:pPr>
        <w:pStyle w:val="ListBullet"/>
      </w:pPr>
      <w:r>
        <w:t>Use descriptive actions such as Continue to Ethical Analysis rather than unexplained arrows.</w:t>
      </w:r>
    </w:p>
    <w:p>
      <w:pPr>
        <w:pStyle w:val="ListBullet"/>
      </w:pPr>
      <w:r>
        <w:t>Allow students to review completed work and preserve responses when they move between stages.</w:t>
      </w:r>
    </w:p>
    <w:p>
      <w:pPr>
        <w:pStyle w:val="Heading2"/>
      </w:pPr>
      <w:r>
        <w:t>Inputs and feedback</w:t>
      </w:r>
    </w:p>
    <w:p>
      <w:r>
        <w:t>Give every field a persistent label. Explain required responses before submission and place errors beside the relevant field. When validation fails, retain entered text and move focus to an error summary or the first invalid field. Use native buttons, radio groups, and text areas wherever possible.</w:t>
      </w:r>
    </w:p>
    <w:p>
      <w:r>
        <w:t>A response should save according to a clear rule: automatically, when the student leaves the field, or through a labeled Save action. If progress persists across reloads, say so only after verifying that behavior in the intended browser and distribution environment. Explain what a reset clears before it happens.</w:t>
      </w:r>
    </w:p>
    <w:p>
      <w:pPr>
        <w:pStyle w:val="Heading2"/>
      </w:pPr>
      <w:r>
        <w:t>Keyboard and screen reader behavior</w:t>
      </w:r>
    </w:p>
    <w:p>
      <w:r>
        <w:t>Keep a visible focus indicator on every interactive element. Use a logical heading hierarchy and tab order. When a new stage replaces the old one, move focus to its heading or another meaningful starting point. Give dynamic completion and download feedback a concise accessible announcement.</w:t>
      </w:r>
    </w:p>
    <w:p>
      <w:r>
        <w:t>An interview can use an expandable panel with a button that communicates its expanded state. If a modal is necessary, it needs an accessible title, contained keyboard focus, an obvious close control, Escape behavior, and focus returned to the opening control. Prefer simpler inline disclosure when it serves the task.</w:t>
      </w:r>
    </w:p>
    <w:p>
      <w:pPr>
        <w:pStyle w:val="Heading2"/>
      </w:pPr>
      <w:r>
        <w:t>Reading and device checks</w:t>
      </w:r>
    </w:p>
    <w:p>
      <w:r>
        <w:t>Provide text equivalents for meaningful images and transcripts for essential audio. Do not place essential case facts only inside an image. Test enlarged text, narrow viewports, and zoom for hidden controls or horizontal scrolling. Give buttons comfortable touch targets and enough separation to reduce accidental activation.</w:t>
      </w:r>
    </w:p>
    <w:p>
      <w:pPr>
        <w:pStyle w:val="Heading2"/>
      </w:pPr>
      <w:r>
        <w:t>Downloads and recovery</w:t>
      </w:r>
    </w:p>
    <w:p>
      <w:r>
        <w:t>After report generation, show a clear success or failure message and a way to try again. Make the report readable with ordinary software. If the browser cannot save the chosen format, offer a documented alternative such as a print view or copyable report. Verify each promised alternative before including it in student instructions.</w:t>
      </w:r>
    </w:p>
    <w:p>
      <w:r>
        <w:br w:type="page"/>
      </w:r>
    </w:p>
    <w:p>
      <w:pPr>
        <w:pStyle w:val="Heading1"/>
      </w:pPr>
      <w:r>
        <w:t>07 Developing a new case</w:t>
      </w:r>
    </w:p>
    <w:p>
      <w:r>
        <w:t>Write a case around a conflict that students can investigate and reason about within the available time. Start with the learning problem. A dramatic story is useful only when its details support that problem and give students grounds for comparing possible responses.</w:t>
      </w:r>
    </w:p>
    <w:p>
      <w:pPr>
        <w:pStyle w:val="Heading2"/>
      </w:pPr>
      <w:r>
        <w:t>Step 1 Define the instructional brief</w:t>
      </w:r>
    </w:p>
    <w:p>
      <w:r>
        <w:t>Specify the audience, prior concepts, available class time, central ethical question, and final student product. Select two or three learning outcomes that can be observed in the report. Decide which concepts students should already know and which the simulation will introduce.</w:t>
      </w:r>
    </w:p>
    <w:p>
      <w:pPr>
        <w:pStyle w:val="Heading2"/>
      </w:pPr>
      <w:r>
        <w:t>Step 2 Write the referral</w:t>
      </w:r>
    </w:p>
    <w:p>
      <w:r>
        <w:t>Create a concise opening that explains who requested consultation, why the issue has become urgent, and what decision or process requires advice. Include enough factual context to begin. Avoid wording that assigns blame before students hear the stakeholders. A useful referral ends with a question the team can actually address.</w:t>
      </w:r>
    </w:p>
    <w:p>
      <w:pPr>
        <w:pStyle w:val="Heading2"/>
      </w:pPr>
      <w:r>
        <w:t>Step 3 Map the conflict before scripting dialogue</w:t>
      </w:r>
    </w:p>
    <w:p>
      <w:r>
        <w:t>List the affected people, their stated concerns, the important uncertainties, and the feasible options. Identify at least one serious reason for each leading option. Remove incidental details that create reading load without changing the ethical analysis. Keep clinical and institutional context comprehensible to the intended students.</w:t>
      </w:r>
    </w:p>
    <w:p>
      <w:pPr>
        <w:pStyle w:val="Heading2"/>
      </w:pPr>
      <w:r>
        <w:t>Step 4 Plan the six stages</w:t>
      </w:r>
    </w:p>
    <w:p>
      <w:r>
        <w:t>Draft the prompt and saved artifact for every stage. Write the initial position prompt before the reveal and the revision prompt after it. Decide which interviews are required and why. Ensure that students encounter the evidence they need before making the final recommendation.</w:t>
      </w:r>
    </w:p>
    <w:p>
      <w:pPr>
        <w:pStyle w:val="Heading2"/>
      </w:pPr>
      <w:r>
        <w:t>Step 5 Write the complication</w:t>
      </w:r>
    </w:p>
    <w:p>
      <w:r>
        <w:t>Choose a reveal that changes a relevant fact, interpretation, or constraint. Explain in the author notes exactly which earlier inference it should put under pressure. A useful reveal gives students a reason to reconsider; it need not force everyone toward the same conclusion.</w:t>
      </w:r>
    </w:p>
    <w:p>
      <w:pPr>
        <w:pStyle w:val="Heading2"/>
      </w:pPr>
      <w:r>
        <w:t>Step 6 Build the debrief and review the whole case</w:t>
      </w:r>
    </w:p>
    <w:p>
      <w:r>
        <w:t>Write the debrief while drafting the case so that every required interaction has an educational purpose. Include defensible alternative arguments and common misunderstandings. Ask a colleague to identify leading language, missing information, and unfair portrayals before implementation.</w:t>
      </w:r>
    </w:p>
    <w:p>
      <w:pPr>
        <w:pStyle w:val="Heading2"/>
      </w:pPr>
      <w:r>
        <w:t>Illustrative case seed</w:t>
      </w:r>
    </w:p>
    <w:p>
      <w:r>
        <w:t>A fictional consultation concerns disagreement about a treatment plan. The referral presents conflicting accounts of the person’s priorities. Interviews reveal that stakeholders interpret the same statement differently; a later record adds context. Students must explain what remains uncertain and recommend an appropriate next step. This is a writing example, not a clinical protocol or a prescribed case conclusion.</w:t>
      </w:r>
    </w:p>
    <w:p>
      <w:r>
        <w:br w:type="page"/>
      </w:r>
    </w:p>
    <w:p>
      <w:pPr>
        <w:pStyle w:val="Heading1"/>
      </w:pPr>
      <w:r>
        <w:t>08 Stakeholders and evidence reveals</w:t>
      </w:r>
    </w:p>
    <w:p>
      <w:r>
        <w:t>Stakeholder interviews should help students understand reasons, relationships, and constraints. Each person needs a coherent perspective. Avoid assigning one character all the relevant facts or making disagreement depend on ignorance, hostility, or a stereotype.</w:t>
      </w:r>
    </w:p>
    <w:p>
      <w:pPr>
        <w:pStyle w:val="Heading2"/>
      </w:pPr>
      <w:r>
        <w:t>Write a stakeholder profile</w:t>
      </w:r>
    </w:p>
    <w:tbl>
      <w:tblPr>
        <w:tblW w:type="auto" w:w="0"/>
        <w:jc w:val="center"/>
        <w:tblLayout w:type="fixed"/>
        <w:tblLook w:firstColumn="1" w:firstRow="1" w:lastColumn="0" w:lastRow="0" w:noHBand="0" w:noVBand="1" w:val="04A0"/>
      </w:tblPr>
      <w:tblGrid>
        <w:gridCol w:w="2376"/>
        <w:gridCol w:w="7704"/>
      </w:tblGrid>
      <w:tr>
        <w:trPr>
          <w:cantSplit/>
          <w:tblHeader/>
        </w:trPr>
        <w:tc>
          <w:tcPr>
            <w:tcW w:type="dxa" w:w="2376"/>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253746"/>
          </w:tcPr>
          <w:p>
            <w:pPr>
              <w:spacing w:after="0" w:line="247" w:lineRule="auto"/>
            </w:pPr>
            <w:r>
              <w:rPr>
                <w:b/>
                <w:color w:val="FFFFFF"/>
                <w:sz w:val="19"/>
              </w:rPr>
              <w:t>Field</w:t>
            </w:r>
          </w:p>
        </w:tc>
        <w:tc>
          <w:tcPr>
            <w:tcW w:type="dxa" w:w="7704"/>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253746"/>
          </w:tcPr>
          <w:p>
            <w:pPr>
              <w:spacing w:after="0" w:line="247" w:lineRule="auto"/>
            </w:pPr>
            <w:r>
              <w:rPr>
                <w:b/>
                <w:color w:val="FFFFFF"/>
                <w:sz w:val="19"/>
              </w:rPr>
              <w:t>Authoring question</w:t>
            </w:r>
          </w:p>
        </w:tc>
      </w:tr>
      <w:tr>
        <w:trPr>
          <w:cantSplit/>
        </w:trPr>
        <w:tc>
          <w:tcPr>
            <w:tcW w:type="dxa" w:w="2376"/>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Role and relationship</w:t>
            </w:r>
          </w:p>
        </w:tc>
        <w:tc>
          <w:tcPr>
            <w:tcW w:type="dxa" w:w="7704"/>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Why is this person affected or involved in the consultation?</w:t>
            </w:r>
          </w:p>
        </w:tc>
      </w:tr>
      <w:tr>
        <w:trPr>
          <w:cantSplit/>
        </w:trPr>
        <w:tc>
          <w:tcPr>
            <w:tcW w:type="dxa" w:w="2376"/>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Stated concern</w:t>
            </w:r>
          </w:p>
        </w:tc>
        <w:tc>
          <w:tcPr>
            <w:tcW w:type="dxa" w:w="7704"/>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What does the person say matters most, in their own language?</w:t>
            </w:r>
          </w:p>
        </w:tc>
      </w:tr>
      <w:tr>
        <w:trPr>
          <w:cantSplit/>
        </w:trPr>
        <w:tc>
          <w:tcPr>
            <w:tcW w:type="dxa" w:w="2376"/>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Knowledge and limits</w:t>
            </w:r>
          </w:p>
        </w:tc>
        <w:tc>
          <w:tcPr>
            <w:tcW w:type="dxa" w:w="7704"/>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What can this person report, and what remains an inference?</w:t>
            </w:r>
          </w:p>
        </w:tc>
      </w:tr>
      <w:tr>
        <w:trPr>
          <w:cantSplit/>
        </w:trPr>
        <w:tc>
          <w:tcPr>
            <w:tcW w:type="dxa" w:w="2376"/>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Underlying values</w:t>
            </w:r>
          </w:p>
        </w:tc>
        <w:tc>
          <w:tcPr>
            <w:tcW w:type="dxa" w:w="7704"/>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Which values help explain the concern without reducing the person to a theory?</w:t>
            </w:r>
          </w:p>
        </w:tc>
      </w:tr>
      <w:tr>
        <w:trPr>
          <w:cantSplit/>
        </w:trPr>
        <w:tc>
          <w:tcPr>
            <w:tcW w:type="dxa" w:w="2376"/>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Interview contribution</w:t>
            </w:r>
          </w:p>
        </w:tc>
        <w:tc>
          <w:tcPr>
            <w:tcW w:type="dxa" w:w="7704"/>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What new fact or perspective does this interview add?</w:t>
            </w:r>
          </w:p>
        </w:tc>
      </w:tr>
      <w:tr>
        <w:trPr>
          <w:cantSplit/>
        </w:trPr>
        <w:tc>
          <w:tcPr>
            <w:tcW w:type="dxa" w:w="2376"/>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Tension or vulnerability</w:t>
            </w:r>
          </w:p>
        </w:tc>
        <w:tc>
          <w:tcPr>
            <w:tcW w:type="dxa" w:w="7704"/>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What might complicate the person’s account or preferred option?</w:t>
            </w:r>
          </w:p>
        </w:tc>
      </w:tr>
    </w:tbl>
    <w:p>
      <w:pPr>
        <w:spacing w:after="0"/>
      </w:pPr>
    </w:p>
    <w:p>
      <w:pPr>
        <w:pStyle w:val="Heading2"/>
      </w:pPr>
      <w:r>
        <w:t>Build purposeful interview questions</w:t>
      </w:r>
    </w:p>
    <w:p>
      <w:r>
        <w:t>A small number of distinct questions is usually more useful than many repetitive ones. Ask about understanding, priorities, reasons, and concerns about other options. Let answers reveal uncertainty and internal tension. Do not make every character speak in textbook terminology; students should connect ordinary language to ethical concepts themselves.</w:t>
      </w:r>
    </w:p>
    <w:p>
      <w:r>
        <w:t>Distinguish a stakeholder’s report from an established fact. “I understood the plan this way” and “the record states this” do different work. Give students a place to record which claims need clarification. If two accounts conflict, the debrief should address how that conflict affects reasoning.</w:t>
      </w:r>
    </w:p>
    <w:p>
      <w:pPr>
        <w:pStyle w:val="Heading2"/>
      </w:pPr>
      <w:r>
        <w:t>Design an evidence reveal</w:t>
      </w:r>
    </w:p>
    <w:p>
      <w:pPr>
        <w:pStyle w:val="ListNumber"/>
        <w:numPr>
          <w:ilvl w:val="0"/>
          <w:numId w:val="10"/>
        </w:numPr>
      </w:pPr>
      <w:r>
        <w:t>Identify the earlier assumption or inference that the evidence may affect.</w:t>
      </w:r>
    </w:p>
    <w:p>
      <w:pPr>
        <w:pStyle w:val="ListNumber"/>
        <w:numPr>
          <w:ilvl w:val="0"/>
          <w:numId w:val="10"/>
        </w:numPr>
      </w:pPr>
      <w:r>
        <w:t>Specify the evidence source inside the fictional case and its limits.</w:t>
      </w:r>
    </w:p>
    <w:p>
      <w:pPr>
        <w:pStyle w:val="ListNumber"/>
        <w:numPr>
          <w:ilvl w:val="0"/>
          <w:numId w:val="10"/>
        </w:numPr>
      </w:pPr>
      <w:r>
        <w:t>Choose a release point after students have recorded an initial view.</w:t>
      </w:r>
    </w:p>
    <w:p>
      <w:pPr>
        <w:pStyle w:val="ListNumber"/>
        <w:numPr>
          <w:ilvl w:val="0"/>
          <w:numId w:val="10"/>
        </w:numPr>
      </w:pPr>
      <w:r>
        <w:t>Ask students what changed, what did not, and what remains uncertain.</w:t>
      </w:r>
    </w:p>
    <w:p>
      <w:pPr>
        <w:pStyle w:val="ListNumber"/>
        <w:numPr>
          <w:ilvl w:val="0"/>
          <w:numId w:val="10"/>
        </w:numPr>
      </w:pPr>
      <w:r>
        <w:t>Record the reveal and revision in the report without overwriting the earlier response.</w:t>
      </w:r>
    </w:p>
    <w:p>
      <w:pPr>
        <w:pStyle w:val="Heading2"/>
      </w:pPr>
      <w:r>
        <w:t>Audit for fairness</w:t>
      </w:r>
    </w:p>
    <w:p>
      <w:r>
        <w:t>Check whether students can recognize a reasonable argument before encountering the debrief. Do not reward opening every card unless each card serves a learning purpose. Remove gratuitous distressing details. When sensitive topics matter to the case, provide an appropriate advance description and a classroom participation plan. Review names, identities, and narrative roles for patterns that unfairly associate a group with error or misconduct.</w:t>
      </w:r>
    </w:p>
    <w:p>
      <w:r>
        <w:br w:type="page"/>
      </w:r>
    </w:p>
    <w:p>
      <w:pPr>
        <w:pStyle w:val="Heading1"/>
      </w:pPr>
      <w:r>
        <w:t>09 Decisions feedback and consultation reports</w:t>
      </w:r>
    </w:p>
    <w:p>
      <w:r>
        <w:t>The simulation should collect reasons as well as choices. Selecting an option tells the instructor what a student prefers; a justification explains whether the preference follows from the evidence and ethical analysis. Design both parts together.</w:t>
      </w:r>
    </w:p>
    <w:p>
      <w:pPr>
        <w:pStyle w:val="Heading2"/>
      </w:pPr>
      <w:r>
        <w:t>Construct meaningful options</w:t>
      </w:r>
    </w:p>
    <w:p>
      <w:r>
        <w:t>Offer alternatives that are understandable, feasible within the fictional case, and distinguishable in their consequences or process. Avoid a polished “good” option beside obviously careless distractors. When a custom recommendation is allowed, require the student to explain its practical steps and relationship to the listed options.</w:t>
      </w:r>
    </w:p>
    <w:p>
      <w:r>
        <w:t>Ask students to identify the strongest objection to their recommendation and respond to it. Also ask what additional information could change their view. These prompts reveal whether students can evaluate their own position rather than merely defend it after choosing.</w:t>
      </w:r>
    </w:p>
    <w:p>
      <w:pPr>
        <w:pStyle w:val="Heading2"/>
      </w:pPr>
      <w:r>
        <w:t>Use feedback at the right moment</w:t>
      </w:r>
    </w:p>
    <w:p>
      <w:r>
        <w:t>Immediate feedback can clarify a missed instruction or a factual misunderstanding. More interpretive feedback is often better placed after students commit to a position. Explain which consideration the response addresses and what it leaves unresolved. Do not label a contested recommendation correct merely because it matches the author’s preference.</w:t>
      </w:r>
    </w:p>
    <w:p>
      <w:pPr>
        <w:pStyle w:val="Heading2"/>
      </w:pPr>
      <w:r>
        <w:t>Report structure</w:t>
      </w:r>
    </w:p>
    <w:tbl>
      <w:tblPr>
        <w:tblW w:type="auto" w:w="0"/>
        <w:jc w:val="center"/>
        <w:tblLayout w:type="fixed"/>
        <w:tblLook w:firstColumn="1" w:firstRow="1" w:lastColumn="0" w:lastRow="0" w:noHBand="0" w:noVBand="1" w:val="04A0"/>
      </w:tblPr>
      <w:tblGrid>
        <w:gridCol w:w="2520"/>
        <w:gridCol w:w="7560"/>
      </w:tblGrid>
      <w:tr>
        <w:trPr>
          <w:cantSplit/>
          <w:tblHeader/>
        </w:trPr>
        <w:tc>
          <w:tcPr>
            <w:tcW w:type="dxa" w:w="252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253746"/>
          </w:tcPr>
          <w:p>
            <w:pPr>
              <w:spacing w:after="0" w:line="247" w:lineRule="auto"/>
            </w:pPr>
            <w:r>
              <w:rPr>
                <w:b/>
                <w:color w:val="FFFFFF"/>
                <w:sz w:val="19"/>
              </w:rPr>
              <w:t>Section</w:t>
            </w:r>
          </w:p>
        </w:tc>
        <w:tc>
          <w:tcPr>
            <w:tcW w:type="dxa" w:w="756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253746"/>
          </w:tcPr>
          <w:p>
            <w:pPr>
              <w:spacing w:after="0" w:line="247" w:lineRule="auto"/>
            </w:pPr>
            <w:r>
              <w:rPr>
                <w:b/>
                <w:color w:val="FFFFFF"/>
                <w:sz w:val="19"/>
              </w:rPr>
              <w:t>Evidence to include</w:t>
            </w:r>
          </w:p>
        </w:tc>
      </w:tr>
      <w:tr>
        <w:trPr>
          <w:cantSplit/>
        </w:trPr>
        <w:tc>
          <w:tcPr>
            <w:tcW w:type="dxa" w:w="252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Consultation context</w:t>
            </w:r>
          </w:p>
        </w:tc>
        <w:tc>
          <w:tcPr>
            <w:tcW w:type="dxa" w:w="756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Case title and version, team label if used, ethical question</w:t>
            </w:r>
          </w:p>
        </w:tc>
      </w:tr>
      <w:tr>
        <w:trPr>
          <w:cantSplit/>
        </w:trPr>
        <w:tc>
          <w:tcPr>
            <w:tcW w:type="dxa" w:w="252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Initial view</w:t>
            </w:r>
          </w:p>
        </w:tc>
        <w:tc>
          <w:tcPr>
            <w:tcW w:type="dxa" w:w="756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Provisional position and the reasons available at intake</w:t>
            </w:r>
          </w:p>
        </w:tc>
      </w:tr>
      <w:tr>
        <w:trPr>
          <w:cantSplit/>
        </w:trPr>
        <w:tc>
          <w:tcPr>
            <w:tcW w:type="dxa" w:w="252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Stakeholder analysis</w:t>
            </w:r>
          </w:p>
        </w:tc>
        <w:tc>
          <w:tcPr>
            <w:tcW w:type="dxa" w:w="756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Relevant concerns, competing values, and unresolved claims</w:t>
            </w:r>
          </w:p>
        </w:tc>
      </w:tr>
      <w:tr>
        <w:trPr>
          <w:cantSplit/>
        </w:trPr>
        <w:tc>
          <w:tcPr>
            <w:tcW w:type="dxa" w:w="252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Evidence and revision</w:t>
            </w:r>
          </w:p>
        </w:tc>
        <w:tc>
          <w:tcPr>
            <w:tcW w:type="dxa" w:w="756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New information, its interpretation, and any change of view</w:t>
            </w:r>
          </w:p>
        </w:tc>
      </w:tr>
      <w:tr>
        <w:trPr>
          <w:cantSplit/>
        </w:trPr>
        <w:tc>
          <w:tcPr>
            <w:tcW w:type="dxa" w:w="252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Options and recommendation</w:t>
            </w:r>
          </w:p>
        </w:tc>
        <w:tc>
          <w:tcPr>
            <w:tcW w:type="dxa" w:w="756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Alternatives considered, justification, objection, response</w:t>
            </w:r>
          </w:p>
        </w:tc>
      </w:tr>
      <w:tr>
        <w:trPr>
          <w:cantSplit/>
        </w:trPr>
        <w:tc>
          <w:tcPr>
            <w:tcW w:type="dxa" w:w="252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Conditions and reflection</w:t>
            </w:r>
          </w:p>
        </w:tc>
        <w:tc>
          <w:tcPr>
            <w:tcW w:type="dxa" w:w="756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Next steps, limits, further questions, and learning reflection</w:t>
            </w:r>
          </w:p>
        </w:tc>
      </w:tr>
    </w:tbl>
    <w:p>
      <w:pPr>
        <w:spacing w:after="0"/>
      </w:pPr>
    </w:p>
    <w:p>
      <w:pPr>
        <w:pStyle w:val="Heading2"/>
      </w:pPr>
      <w:r>
        <w:t>Generate the report from saved responses</w:t>
      </w:r>
    </w:p>
    <w:p>
      <w:r>
        <w:t>Use one reporting function that maps stable prompt identifiers to report sections. Include incomplete items as clearly labeled omissions or prevent final completion with a helpful explanation. Preserve paragraph breaks and punctuation, escape inserted text safely, and use a readable filename that identifies the case.</w:t>
      </w:r>
    </w:p>
    <w:p>
      <w:r>
        <w:t>The student should be able to review the assembled report before downloading it. Test the export with short and long responses, quotations, apostrophes, and non-ASCII names. Compare exported text with the visible answers. Do not claim report formats, automatic submission, identity capture, or private storage unless those features are implemented and verified.</w:t>
      </w:r>
    </w:p>
    <w:p>
      <w:r>
        <w:br w:type="page"/>
      </w:r>
    </w:p>
    <w:p>
      <w:pPr>
        <w:pStyle w:val="Heading1"/>
      </w:pPr>
      <w:r>
        <w:t>10 Classroom implementation</w:t>
      </w:r>
    </w:p>
    <w:p>
      <w:r>
        <w:t>Introduce ETHOS as a structured consultation exercise. Explain the learning goals, the final report, and how reasoning will be assessed before students begin. Demonstrate the start action and one navigation step, then allow students to encounter the ethical problem without previewing the reveal.</w:t>
      </w:r>
    </w:p>
    <w:p>
      <w:pPr>
        <w:pStyle w:val="Heading2"/>
      </w:pPr>
      <w:r>
        <w:t>Suggested 75 minute session</w:t>
      </w:r>
    </w:p>
    <w:tbl>
      <w:tblPr>
        <w:tblW w:type="auto" w:w="0"/>
        <w:jc w:val="center"/>
        <w:tblLayout w:type="fixed"/>
        <w:tblLook w:firstColumn="1" w:firstRow="1" w:lastColumn="0" w:lastRow="0" w:noHBand="0" w:noVBand="1" w:val="04A0"/>
      </w:tblPr>
      <w:tblGrid>
        <w:gridCol w:w="1440"/>
        <w:gridCol w:w="3600"/>
        <w:gridCol w:w="5040"/>
      </w:tblGrid>
      <w:tr>
        <w:trPr>
          <w:cantSplit/>
          <w:tblHeader/>
        </w:trPr>
        <w:tc>
          <w:tcPr>
            <w:tcW w:type="dxa" w:w="14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253746"/>
          </w:tcPr>
          <w:p>
            <w:pPr>
              <w:spacing w:after="0" w:line="247" w:lineRule="auto"/>
            </w:pPr>
            <w:r>
              <w:rPr>
                <w:b/>
                <w:color w:val="FFFFFF"/>
                <w:sz w:val="19"/>
              </w:rPr>
              <w:t>Time</w:t>
            </w:r>
          </w:p>
        </w:tc>
        <w:tc>
          <w:tcPr>
            <w:tcW w:type="dxa" w:w="360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253746"/>
          </w:tcPr>
          <w:p>
            <w:pPr>
              <w:spacing w:after="0" w:line="247" w:lineRule="auto"/>
            </w:pPr>
            <w:r>
              <w:rPr>
                <w:b/>
                <w:color w:val="FFFFFF"/>
                <w:sz w:val="19"/>
              </w:rPr>
              <w:t>Activity</w:t>
            </w:r>
          </w:p>
        </w:tc>
        <w:tc>
          <w:tcPr>
            <w:tcW w:type="dxa" w:w="50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253746"/>
          </w:tcPr>
          <w:p>
            <w:pPr>
              <w:spacing w:after="0" w:line="247" w:lineRule="auto"/>
            </w:pPr>
            <w:r>
              <w:rPr>
                <w:b/>
                <w:color w:val="FFFFFF"/>
                <w:sz w:val="19"/>
              </w:rPr>
              <w:t>Instructor task</w:t>
            </w:r>
          </w:p>
        </w:tc>
      </w:tr>
      <w:tr>
        <w:trPr>
          <w:cantSplit/>
        </w:trPr>
        <w:tc>
          <w:tcPr>
            <w:tcW w:type="dxa" w:w="14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0–8 min</w:t>
            </w:r>
          </w:p>
        </w:tc>
        <w:tc>
          <w:tcPr>
            <w:tcW w:type="dxa" w:w="360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Orientation and group formation</w:t>
            </w:r>
          </w:p>
        </w:tc>
        <w:tc>
          <w:tcPr>
            <w:tcW w:type="dxa" w:w="50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Explain outcomes, expectations, roles, and submission.</w:t>
            </w:r>
          </w:p>
        </w:tc>
      </w:tr>
      <w:tr>
        <w:trPr>
          <w:cantSplit/>
        </w:trPr>
        <w:tc>
          <w:tcPr>
            <w:tcW w:type="dxa" w:w="14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8–18 min</w:t>
            </w:r>
          </w:p>
        </w:tc>
        <w:tc>
          <w:tcPr>
            <w:tcW w:type="dxa" w:w="360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Intake and initial position</w:t>
            </w:r>
          </w:p>
        </w:tc>
        <w:tc>
          <w:tcPr>
            <w:tcW w:type="dxa" w:w="50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Check that teams have framed a specific ethical question.</w:t>
            </w:r>
          </w:p>
        </w:tc>
      </w:tr>
      <w:tr>
        <w:trPr>
          <w:cantSplit/>
        </w:trPr>
        <w:tc>
          <w:tcPr>
            <w:tcW w:type="dxa" w:w="14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18–35 min</w:t>
            </w:r>
          </w:p>
        </w:tc>
        <w:tc>
          <w:tcPr>
            <w:tcW w:type="dxa" w:w="360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Stakeholder inquiry and evidence</w:t>
            </w:r>
          </w:p>
        </w:tc>
        <w:tc>
          <w:tcPr>
            <w:tcW w:type="dxa" w:w="50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Ask whose account or concern has been overlooked.</w:t>
            </w:r>
          </w:p>
        </w:tc>
      </w:tr>
      <w:tr>
        <w:trPr>
          <w:cantSplit/>
        </w:trPr>
        <w:tc>
          <w:tcPr>
            <w:tcW w:type="dxa" w:w="14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35–50 min</w:t>
            </w:r>
          </w:p>
        </w:tc>
        <w:tc>
          <w:tcPr>
            <w:tcW w:type="dxa" w:w="360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Analysis and recommendation</w:t>
            </w:r>
          </w:p>
        </w:tc>
        <w:tc>
          <w:tcPr>
            <w:tcW w:type="dxa" w:w="50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Press for alternatives, objections, and practical conditions.</w:t>
            </w:r>
          </w:p>
        </w:tc>
      </w:tr>
      <w:tr>
        <w:trPr>
          <w:cantSplit/>
        </w:trPr>
        <w:tc>
          <w:tcPr>
            <w:tcW w:type="dxa" w:w="14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50–60 min</w:t>
            </w:r>
          </w:p>
        </w:tc>
        <w:tc>
          <w:tcPr>
            <w:tcW w:type="dxa" w:w="360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Report review and download</w:t>
            </w:r>
          </w:p>
        </w:tc>
        <w:tc>
          <w:tcPr>
            <w:tcW w:type="dxa" w:w="50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Verify that every team can retain and submit its work.</w:t>
            </w:r>
          </w:p>
        </w:tc>
      </w:tr>
      <w:tr>
        <w:trPr>
          <w:cantSplit/>
        </w:trPr>
        <w:tc>
          <w:tcPr>
            <w:tcW w:type="dxa" w:w="14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60–75 min</w:t>
            </w:r>
          </w:p>
        </w:tc>
        <w:tc>
          <w:tcPr>
            <w:tcW w:type="dxa" w:w="360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Whole-class debrief</w:t>
            </w:r>
          </w:p>
        </w:tc>
        <w:tc>
          <w:tcPr>
            <w:tcW w:type="dxa" w:w="5040"/>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Compare arguments and examine changes in judgment.</w:t>
            </w:r>
          </w:p>
        </w:tc>
      </w:tr>
    </w:tbl>
    <w:p>
      <w:pPr>
        <w:spacing w:after="0"/>
      </w:pPr>
    </w:p>
    <w:p>
      <w:pPr>
        <w:pStyle w:val="Heading2"/>
      </w:pPr>
      <w:r>
        <w:t>Small group roles</w:t>
      </w:r>
    </w:p>
    <w:p>
      <w:r>
        <w:t>For teams of three or four, assign a facilitator, an evidence recorder, an objection reviewer, and, when useful, a report editor. The facilitator keeps the group on task; the recorder distinguishes facts from interpretations; the reviewer tests the preferred recommendation. Rotate roles across cases so that one student does not always control the interface or write the final response.</w:t>
      </w:r>
    </w:p>
    <w:p>
      <w:pPr>
        <w:pStyle w:val="Heading2"/>
      </w:pPr>
      <w:r>
        <w:t>Facilitation questions</w:t>
      </w:r>
    </w:p>
    <w:p>
      <w:pPr>
        <w:pStyle w:val="ListBullet"/>
      </w:pPr>
      <w:r>
        <w:t>What is the precise ethical question, and who has framed it that way?</w:t>
      </w:r>
    </w:p>
    <w:p>
      <w:pPr>
        <w:pStyle w:val="ListBullet"/>
      </w:pPr>
      <w:r>
        <w:t>Which stakeholder concern is hardest for your current recommendation to accommodate?</w:t>
      </w:r>
    </w:p>
    <w:p>
      <w:pPr>
        <w:pStyle w:val="ListBullet"/>
      </w:pPr>
      <w:r>
        <w:t>What fact supports that inference, and what are you assuming?</w:t>
      </w:r>
    </w:p>
    <w:p>
      <w:pPr>
        <w:pStyle w:val="ListBullet"/>
      </w:pPr>
      <w:r>
        <w:t>What would someone who disagrees say is the strongest reason for their option?</w:t>
      </w:r>
    </w:p>
    <w:p>
      <w:pPr>
        <w:pStyle w:val="ListBullet"/>
      </w:pPr>
      <w:r>
        <w:t>What changed after the reveal, and what would justify changing your view again?</w:t>
      </w:r>
    </w:p>
    <w:p>
      <w:pPr>
        <w:pStyle w:val="Heading2"/>
      </w:pPr>
      <w:r>
        <w:t>Debrief and alternate formats</w:t>
      </w:r>
    </w:p>
    <w:p>
      <w:r>
        <w:t>Begin the debrief with differences in reasoning rather than a vote on the preferred option. Invite teams to identify one revision and one unresolved question. Compare how the same evidence can support different judgments when students weigh concerns differently.</w:t>
      </w:r>
    </w:p>
    <w:p>
      <w:r>
        <w:t>For a shorter class, assign intake beforehand and reserve class time for inquiry and revision. For asynchronous work, require an individual initial response before group discussion. Confirm that every student can access the file and retain their report. Keep a readable case transcript and response worksheet available as an alternative if the interactive file cannot run.</w:t>
      </w:r>
    </w:p>
    <w:p>
      <w:r>
        <w:br w:type="page"/>
      </w:r>
    </w:p>
    <w:p>
      <w:pPr>
        <w:pStyle w:val="Heading1"/>
      </w:pPr>
      <w:r>
        <w:t>11 Assessment and grading</w:t>
      </w:r>
    </w:p>
    <w:p>
      <w:r>
        <w:t>Assess the quality of the consultation record against published criteria. A defensible recommendation may differ from the instructor’s view. The rubric should reward accurate interpretation, reasons tied to evidence, fair treatment of disagreement, and reflection on uncertainty.</w:t>
      </w:r>
    </w:p>
    <w:p>
      <w:pPr>
        <w:pStyle w:val="Heading2"/>
      </w:pPr>
      <w:r>
        <w:t>Suggested 100 point rubric</w:t>
      </w:r>
    </w:p>
    <w:tbl>
      <w:tblPr>
        <w:tblW w:type="auto" w:w="0"/>
        <w:jc w:val="center"/>
        <w:tblLayout w:type="fixed"/>
        <w:tblLook w:firstColumn="1" w:firstRow="1" w:lastColumn="0" w:lastRow="0" w:noHBand="0" w:noVBand="1" w:val="04A0"/>
      </w:tblPr>
      <w:tblGrid>
        <w:gridCol w:w="2232"/>
        <w:gridCol w:w="792"/>
        <w:gridCol w:w="7056"/>
      </w:tblGrid>
      <w:tr>
        <w:trPr>
          <w:cantSplit/>
          <w:tblHeader/>
        </w:trPr>
        <w:tc>
          <w:tcPr>
            <w:tcW w:type="dxa" w:w="223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253746"/>
          </w:tcPr>
          <w:p>
            <w:pPr>
              <w:spacing w:after="0" w:line="247" w:lineRule="auto"/>
            </w:pPr>
            <w:r>
              <w:rPr>
                <w:b/>
                <w:color w:val="FFFFFF"/>
                <w:sz w:val="19"/>
              </w:rPr>
              <w:t>Criterion</w:t>
            </w:r>
          </w:p>
        </w:tc>
        <w:tc>
          <w:tcPr>
            <w:tcW w:type="dxa" w:w="79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253746"/>
          </w:tcPr>
          <w:p>
            <w:pPr>
              <w:spacing w:after="0" w:line="247" w:lineRule="auto"/>
            </w:pPr>
            <w:r>
              <w:rPr>
                <w:b/>
                <w:color w:val="FFFFFF"/>
                <w:sz w:val="19"/>
              </w:rPr>
              <w:t>Points</w:t>
            </w:r>
          </w:p>
        </w:tc>
        <w:tc>
          <w:tcPr>
            <w:tcW w:type="dxa" w:w="7056"/>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253746"/>
          </w:tcPr>
          <w:p>
            <w:pPr>
              <w:spacing w:after="0" w:line="247" w:lineRule="auto"/>
            </w:pPr>
            <w:r>
              <w:rPr>
                <w:b/>
                <w:color w:val="FFFFFF"/>
                <w:sz w:val="19"/>
              </w:rPr>
              <w:t>Strong performance</w:t>
            </w:r>
          </w:p>
        </w:tc>
      </w:tr>
      <w:tr>
        <w:trPr>
          <w:cantSplit/>
        </w:trPr>
        <w:tc>
          <w:tcPr>
            <w:tcW w:type="dxa" w:w="223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Ethical framing</w:t>
            </w:r>
          </w:p>
        </w:tc>
        <w:tc>
          <w:tcPr>
            <w:tcW w:type="dxa" w:w="79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15</w:t>
            </w:r>
          </w:p>
        </w:tc>
        <w:tc>
          <w:tcPr>
            <w:tcW w:type="dxa" w:w="7056"/>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States a focused ethical question and separates it from factual or procedural questions.</w:t>
            </w:r>
          </w:p>
        </w:tc>
      </w:tr>
      <w:tr>
        <w:trPr>
          <w:cantSplit/>
        </w:trPr>
        <w:tc>
          <w:tcPr>
            <w:tcW w:type="dxa" w:w="223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Stakeholder analysis</w:t>
            </w:r>
          </w:p>
        </w:tc>
        <w:tc>
          <w:tcPr>
            <w:tcW w:type="dxa" w:w="79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20</w:t>
            </w:r>
          </w:p>
        </w:tc>
        <w:tc>
          <w:tcPr>
            <w:tcW w:type="dxa" w:w="7056"/>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Represents relevant perspectives accurately and explains the values and tensions involved.</w:t>
            </w:r>
          </w:p>
        </w:tc>
      </w:tr>
      <w:tr>
        <w:trPr>
          <w:cantSplit/>
        </w:trPr>
        <w:tc>
          <w:tcPr>
            <w:tcW w:type="dxa" w:w="223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Evidence and revision</w:t>
            </w:r>
          </w:p>
        </w:tc>
        <w:tc>
          <w:tcPr>
            <w:tcW w:type="dxa" w:w="79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15</w:t>
            </w:r>
          </w:p>
        </w:tc>
        <w:tc>
          <w:tcPr>
            <w:tcW w:type="dxa" w:w="7056"/>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Uses case evidence carefully, identifies assumptions, and explains the effect of the reveal.</w:t>
            </w:r>
          </w:p>
        </w:tc>
      </w:tr>
      <w:tr>
        <w:trPr>
          <w:cantSplit/>
        </w:trPr>
        <w:tc>
          <w:tcPr>
            <w:tcW w:type="dxa" w:w="223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Ethical reasoning</w:t>
            </w:r>
          </w:p>
        </w:tc>
        <w:tc>
          <w:tcPr>
            <w:tcW w:type="dxa" w:w="79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20</w:t>
            </w:r>
          </w:p>
        </w:tc>
        <w:tc>
          <w:tcPr>
            <w:tcW w:type="dxa" w:w="7056"/>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Applies relevant concepts to particular facts and compares feasible alternatives.</w:t>
            </w:r>
          </w:p>
        </w:tc>
      </w:tr>
      <w:tr>
        <w:trPr>
          <w:cantSplit/>
        </w:trPr>
        <w:tc>
          <w:tcPr>
            <w:tcW w:type="dxa" w:w="223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Recommendation and objection</w:t>
            </w:r>
          </w:p>
        </w:tc>
        <w:tc>
          <w:tcPr>
            <w:tcW w:type="dxa" w:w="79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20</w:t>
            </w:r>
          </w:p>
        </w:tc>
        <w:tc>
          <w:tcPr>
            <w:tcW w:type="dxa" w:w="7056"/>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FFFFF"/>
          </w:tcPr>
          <w:p>
            <w:pPr>
              <w:spacing w:after="0" w:line="247" w:lineRule="auto"/>
            </w:pPr>
            <w:r>
              <w:rPr>
                <w:b w:val="0"/>
                <w:color w:val="000000"/>
                <w:sz w:val="19"/>
              </w:rPr>
              <w:t>Justifies an actionable recommendation, addresses a serious objection, and states conditions.</w:t>
            </w:r>
          </w:p>
        </w:tc>
      </w:tr>
      <w:tr>
        <w:trPr>
          <w:cantSplit/>
        </w:trPr>
        <w:tc>
          <w:tcPr>
            <w:tcW w:type="dxa" w:w="223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Reflection and communication</w:t>
            </w:r>
          </w:p>
        </w:tc>
        <w:tc>
          <w:tcPr>
            <w:tcW w:type="dxa" w:w="792"/>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10</w:t>
            </w:r>
          </w:p>
        </w:tc>
        <w:tc>
          <w:tcPr>
            <w:tcW w:type="dxa" w:w="7056"/>
            <w:vAlign w:val="center"/>
            <w:tcBorders>
              <w:top w:val="single" w:sz="4" w:color="D9D9D9"/>
              <w:left w:val="single" w:sz="4" w:color="D9D9D9"/>
              <w:bottom w:val="single" w:sz="4" w:color="D9D9D9"/>
              <w:right w:val="single" w:sz="4" w:color="D9D9D9"/>
            </w:tcBorders>
            <w:tcMar>
              <w:top w:w="70" w:type="dxa"/>
              <w:bottom w:w="70" w:type="dxa"/>
              <w:left w:w="100" w:type="dxa"/>
              <w:right w:w="100" w:type="dxa"/>
            </w:tcMar>
            <w:shd w:fill="F3F5F7"/>
          </w:tcPr>
          <w:p>
            <w:pPr>
              <w:spacing w:after="0" w:line="247" w:lineRule="auto"/>
            </w:pPr>
            <w:r>
              <w:rPr>
                <w:b w:val="0"/>
                <w:color w:val="000000"/>
                <w:sz w:val="19"/>
              </w:rPr>
              <w:t>Identifies uncertainty and learning clearly in an organized, readable report.</w:t>
            </w:r>
          </w:p>
        </w:tc>
      </w:tr>
    </w:tbl>
    <w:p>
      <w:pPr>
        <w:spacing w:after="0"/>
      </w:pPr>
    </w:p>
    <w:p>
      <w:pPr>
        <w:pStyle w:val="Heading2"/>
      </w:pPr>
      <w:r>
        <w:t>Apply a common performance scale</w:t>
      </w:r>
    </w:p>
    <w:p>
      <w:r>
        <w:t>For each criterion, award the full allocation when the work is accurate, specific, supported, and complete. Work that is mostly sound but has a substantive gap can receive roughly three quarters of the allocation. Partial or largely asserted analysis can receive roughly half. Minimal, absent, or seriously mistaken work receives little or no credit. Adapt these bands to the course’s grading rules and share them before the exercise.</w:t>
      </w:r>
    </w:p>
    <w:p>
      <w:pPr>
        <w:pStyle w:val="Heading2"/>
      </w:pPr>
      <w:r>
        <w:t>Keep the evidence observable</w:t>
      </w:r>
    </w:p>
    <w:p>
      <w:r>
        <w:t>A student who names autonomy but never connects it to a person’s expressed priorities has not yet demonstrated application. A student who changes a recommendation without explaining why has not yet demonstrated reflective revision. Conversely, retaining an initial recommendation can show strong reasoning when the student explains why the reveal does not defeat the original reasons.</w:t>
      </w:r>
    </w:p>
    <w:p>
      <w:pPr>
        <w:pStyle w:val="Heading2"/>
      </w:pPr>
      <w:r>
        <w:t>Group and individual evidence</w:t>
      </w:r>
    </w:p>
    <w:p>
      <w:r>
        <w:t>Use a group consultation report for the shared analysis and a short individual reflection for each student’s learning. The reflection can ask which assumption the student reconsidered, what contribution they made, and which question remains unresolved. Set the relative weight of group and individual work before the activity.</w:t>
      </w:r>
    </w:p>
    <w:p>
      <w:pPr>
        <w:pStyle w:val="Heading2"/>
      </w:pPr>
      <w:r>
        <w:t>Calibrate grading and feedback</w:t>
      </w:r>
    </w:p>
    <w:p>
      <w:r>
        <w:t>Review a few sample responses before grading the entire class. Identify examples of strong reasoning across different conclusions, then apply the same standard to each. Feedback should name one substantive strength and one next step, such as clarifying a missing stakeholder concern or making a recommendation’s conditions explicit. Treat completion indicators as workflow information unless participation itself is an announced assessment criterion.</w:t>
      </w:r>
    </w:p>
    <w:p>
      <w:r>
        <w:br w:type="page"/>
      </w:r>
    </w:p>
    <w:p>
      <w:pPr>
        <w:pStyle w:val="Heading1"/>
      </w:pPr>
      <w:r>
        <w:t>12 Specification for a coding agent</w:t>
      </w:r>
    </w:p>
    <w:p>
      <w:r>
        <w:t>The specification below is intended for reuse. Replace the bracketed fields before giving it to a developer or coding agent. Attach the approved case content and identify any existing implementation that should control behavior or appearance.</w:t>
      </w:r>
    </w:p>
    <w:p>
      <w:pPr>
        <w:pStyle w:val="Heading2"/>
      </w:pPr>
      <w:r>
        <w:t>Copy ready development brief</w:t>
      </w:r>
    </w:p>
    <w:p>
      <w:r>
        <w:t xml:space="preserve">Build an ETHOS Bioethics Consultation Simulator for </w:t>
      </w:r>
      <w:r>
        <w:rPr>
          <w:b/>
        </w:rPr>
        <w:t>[audience]</w:t>
      </w:r>
      <w:r>
        <w:t xml:space="preserve"> using the supplied </w:t>
      </w:r>
      <w:r>
        <w:rPr>
          <w:b/>
        </w:rPr>
        <w:t>[case title and version]</w:t>
      </w:r>
      <w:r>
        <w:t xml:space="preserve">. The learning goals are </w:t>
      </w:r>
      <w:r>
        <w:rPr>
          <w:b/>
        </w:rPr>
        <w:t>[observable outcomes]</w:t>
      </w:r>
      <w:r>
        <w:t>. Students will complete a six-stage consultation and retain a final report explaining their reasoning. Use fictional case content supplied by the author; do not invent clinical facts, institutional policies, or stakeholder testimony.</w:t>
      </w:r>
    </w:p>
    <w:p>
      <w:r>
        <w:t>Preserve these six functions: intake and ethical framing; stakeholder inquiry; evidence and complication; ethical analysis; recommendation; debrief and reflection. Use the approved stage labels. Provide a visible Start Consultation button on the opening screen, a progress display, clear instructions, and a named next action at every stage.</w:t>
      </w:r>
    </w:p>
    <w:p>
      <w:r>
        <w:t>Implement stakeholder interviews, the planned evidence reveals, and the approved decision prompts. Require written reasons where specified. Preserve initial and revised responses separately. Allow review of completed stages without losing answers. Validate required fields with accessible, specific messages and retain the student’s work after a validation error.</w:t>
      </w:r>
    </w:p>
    <w:p>
      <w:r>
        <w:t xml:space="preserve">Separate case data, student state, rendering, navigation, validation, and report generation. Use stable identifiers and record the case and schema versions. The distribution target is </w:t>
      </w:r>
      <w:r>
        <w:rPr>
          <w:b/>
        </w:rPr>
        <w:t>[single HTML file or approved package]</w:t>
      </w:r>
      <w:r>
        <w:t xml:space="preserve">. The offline requirement is </w:t>
      </w:r>
      <w:r>
        <w:rPr>
          <w:b/>
        </w:rPr>
        <w:t>[required or not required]</w:t>
      </w:r>
      <w:r>
        <w:t xml:space="preserve">. Persistence behavior is </w:t>
      </w:r>
      <w:r>
        <w:rPr>
          <w:b/>
        </w:rPr>
        <w:t>[none, local saving, or another defined method]</w:t>
      </w:r>
      <w:r>
        <w:t>. Explain the chosen behavior accurately in the interface.</w:t>
      </w:r>
    </w:p>
    <w:p>
      <w:r>
        <w:t xml:space="preserve">Use </w:t>
      </w:r>
      <w:r>
        <w:rPr>
          <w:b/>
        </w:rPr>
        <w:t>[approved theme or reference]</w:t>
      </w:r>
      <w:r>
        <w:t xml:space="preserve"> for typography, color, spacing, and components. Keep text readable, controls visible, and layout usable on narrow screens. Use semantic controls and headings, persistent labels, keyboard access, visible focus, and meaningful focus placement after stage transitions. Do not encode required meaning through color alone.</w:t>
      </w:r>
    </w:p>
    <w:p>
      <w:r>
        <w:t xml:space="preserve">Generate a reviewable consultation report containing the ethical question, initial position, stakeholder concerns, evidence interpretation, revisions, alternatives, recommendation, objection and response, conditions, and reflection. The required export format is </w:t>
      </w:r>
      <w:r>
        <w:rPr>
          <w:b/>
        </w:rPr>
        <w:t>[format]</w:t>
      </w:r>
      <w:r>
        <w:t>. Export saved responses faithfully and handle long text and punctuation safely.</w:t>
      </w:r>
    </w:p>
    <w:p>
      <w:pPr>
        <w:pStyle w:val="Heading2"/>
      </w:pPr>
      <w:r>
        <w:t>Acceptance and handoff requirements</w:t>
      </w:r>
    </w:p>
    <w:p>
      <w:r>
        <w:t>Deliver the working files, a concise feature inventory, instructor launch instructions, and a record of completed checks. Demonstrate a full six-stage run, earlier-stage review, missing-field recovery, a narrow-screen run, keyboard completion, and a successful report export. Verify reload behavior if persistence is included. Identify remaining defects or unimplemented features explicitly.</w:t>
      </w:r>
    </w:p>
    <w:p>
      <w:r>
        <w:t xml:space="preserve">Exclude accounts, dashboards, analytics, automated moral scoring, external services, and course-platform integration unless listed in </w:t>
      </w:r>
      <w:r>
        <w:rPr>
          <w:b/>
        </w:rPr>
        <w:t>[approved extensions]</w:t>
      </w:r>
      <w:r>
        <w:t>. Ask for author review when missing case content would affect the ethical meaning. Make the initial working case complete before expanding the engine.</w:t>
      </w:r>
    </w:p>
    <w:p>
      <w:r>
        <w:br w:type="page"/>
      </w:r>
    </w:p>
    <w:p>
      <w:pPr>
        <w:pStyle w:val="Heading1"/>
      </w:pPr>
      <w:r>
        <w:t>13 Reusable authoring templates</w:t>
      </w:r>
    </w:p>
    <w:p>
      <w:pPr>
        <w:spacing w:line="240" w:lineRule="auto" w:after="80"/>
      </w:pPr>
      <w:r>
        <w:rPr>
          <w:sz w:val="20"/>
        </w:rPr>
        <w:t>Complete these templates before implementation. Keep the approved content, response identifiers, and design decisions together so that later revisions can be traced to a clear teaching purpose.</w:t>
      </w:r>
    </w:p>
    <w:p>
      <w:pPr>
        <w:pStyle w:val="Heading2"/>
        <w:spacing w:line="240" w:lineRule="auto" w:after="80" w:before="120"/>
      </w:pPr>
      <w:r>
        <w:t>Case brief</w:t>
      </w:r>
    </w:p>
    <w:p>
      <w:pPr>
        <w:spacing w:line="240" w:lineRule="auto" w:after="80"/>
      </w:pPr>
      <w:r>
        <w:rPr>
          <w:sz w:val="20"/>
        </w:rPr>
      </w:r>
      <w:r>
        <w:rPr>
          <w:b/>
          <w:sz w:val="20"/>
        </w:rPr>
        <w:t>Case ID and version:</w:t>
      </w:r>
      <w:r>
        <w:rPr>
          <w:sz w:val="20"/>
        </w:rPr>
        <w:t xml:space="preserve"> [ ]   </w:t>
      </w:r>
      <w:r>
        <w:rPr>
          <w:b/>
          <w:sz w:val="20"/>
        </w:rPr>
        <w:t>Title:</w:t>
      </w:r>
      <w:r>
        <w:rPr>
          <w:sz w:val="20"/>
        </w:rPr>
        <w:t xml:space="preserve"> [ ]</w:t>
        <w:br/>
      </w:r>
      <w:r>
        <w:rPr>
          <w:b/>
          <w:sz w:val="20"/>
        </w:rPr>
        <w:t>Audience and prerequisites:</w:t>
      </w:r>
      <w:r>
        <w:rPr>
          <w:sz w:val="20"/>
        </w:rPr>
        <w:t xml:space="preserve"> [ ]</w:t>
        <w:br/>
      </w:r>
      <w:r>
        <w:rPr>
          <w:b/>
          <w:sz w:val="20"/>
        </w:rPr>
        <w:t>Class time and group format:</w:t>
      </w:r>
      <w:r>
        <w:rPr>
          <w:sz w:val="20"/>
        </w:rPr>
        <w:t xml:space="preserve"> [ ]</w:t>
        <w:br/>
      </w:r>
      <w:r>
        <w:rPr>
          <w:b/>
          <w:sz w:val="20"/>
        </w:rPr>
        <w:t>Learning outcomes:</w:t>
      </w:r>
      <w:r>
        <w:rPr>
          <w:sz w:val="20"/>
        </w:rPr>
        <w:t xml:space="preserve"> [two or three observable outcomes]</w:t>
        <w:br/>
      </w:r>
      <w:r>
        <w:rPr>
          <w:b/>
          <w:sz w:val="20"/>
        </w:rPr>
        <w:t>Central ethical question:</w:t>
      </w:r>
      <w:r>
        <w:rPr>
          <w:sz w:val="20"/>
        </w:rPr>
        <w:t xml:space="preserve"> [ ]</w:t>
        <w:br/>
      </w:r>
      <w:r>
        <w:rPr>
          <w:b/>
          <w:sz w:val="20"/>
        </w:rPr>
        <w:t>Consultation request and setting:</w:t>
      </w:r>
      <w:r>
        <w:rPr>
          <w:sz w:val="20"/>
        </w:rPr>
        <w:t xml:space="preserve"> [ ]</w:t>
        <w:br/>
      </w:r>
      <w:r>
        <w:rPr>
          <w:b/>
          <w:sz w:val="20"/>
        </w:rPr>
        <w:t>Final student product and assessment:</w:t>
      </w:r>
      <w:r>
        <w:rPr>
          <w:sz w:val="20"/>
        </w:rPr>
        <w:t xml:space="preserve"> [ ]</w:t>
        <w:br/>
      </w:r>
      <w:r>
        <w:rPr>
          <w:b/>
          <w:sz w:val="20"/>
        </w:rPr>
        <w:t>Sensitive content description and participation alternative:</w:t>
      </w:r>
      <w:r>
        <w:rPr>
          <w:sz w:val="20"/>
        </w:rPr>
        <w:t xml:space="preserve"> [if relevant]</w:t>
      </w:r>
    </w:p>
    <w:p>
      <w:pPr>
        <w:pStyle w:val="Heading2"/>
        <w:spacing w:line="240" w:lineRule="auto" w:after="80" w:before="120"/>
      </w:pPr>
      <w:r>
        <w:t>Stage planning record</w:t>
      </w:r>
    </w:p>
    <w:p>
      <w:pPr>
        <w:spacing w:line="240" w:lineRule="auto" w:after="80"/>
      </w:pPr>
      <w:r>
        <w:rPr>
          <w:sz w:val="20"/>
        </w:rPr>
        <w:t>Repeat this record for all six stages.</w:t>
        <w:br/>
      </w:r>
      <w:r>
        <w:rPr>
          <w:b/>
          <w:sz w:val="20"/>
        </w:rPr>
        <w:t>Stage ID and title:</w:t>
      </w:r>
      <w:r>
        <w:rPr>
          <w:sz w:val="20"/>
        </w:rPr>
        <w:t xml:space="preserve"> [ ]</w:t>
        <w:br/>
      </w:r>
      <w:r>
        <w:rPr>
          <w:b/>
          <w:sz w:val="20"/>
        </w:rPr>
        <w:t>Purpose:</w:t>
      </w:r>
      <w:r>
        <w:rPr>
          <w:sz w:val="20"/>
        </w:rPr>
        <w:t xml:space="preserve"> [what the student should learn or do]</w:t>
        <w:br/>
      </w:r>
      <w:r>
        <w:rPr>
          <w:b/>
          <w:sz w:val="20"/>
        </w:rPr>
        <w:t>Content shown:</w:t>
      </w:r>
      <w:r>
        <w:rPr>
          <w:sz w:val="20"/>
        </w:rPr>
        <w:t xml:space="preserve"> [referral, interview, evidence, or instructions]</w:t>
        <w:br/>
      </w:r>
      <w:r>
        <w:rPr>
          <w:b/>
          <w:sz w:val="20"/>
        </w:rPr>
        <w:t>Prompt IDs and response types:</w:t>
      </w:r>
      <w:r>
        <w:rPr>
          <w:sz w:val="20"/>
        </w:rPr>
        <w:t xml:space="preserve"> [ ]</w:t>
        <w:br/>
      </w:r>
      <w:r>
        <w:rPr>
          <w:b/>
          <w:sz w:val="20"/>
        </w:rPr>
        <w:t>Required completion evidence:</w:t>
      </w:r>
      <w:r>
        <w:rPr>
          <w:sz w:val="20"/>
        </w:rPr>
        <w:t xml:space="preserve"> [ ]</w:t>
        <w:br/>
      </w:r>
      <w:r>
        <w:rPr>
          <w:b/>
          <w:sz w:val="20"/>
        </w:rPr>
        <w:t>What is saved for the report:</w:t>
      </w:r>
      <w:r>
        <w:rPr>
          <w:sz w:val="20"/>
        </w:rPr>
        <w:t xml:space="preserve"> [ ]</w:t>
        <w:br/>
      </w:r>
      <w:r>
        <w:rPr>
          <w:b/>
          <w:sz w:val="20"/>
        </w:rPr>
        <w:t>Transition to the next stage:</w:t>
      </w:r>
      <w:r>
        <w:rPr>
          <w:sz w:val="20"/>
        </w:rPr>
        <w:t xml:space="preserve"> [ ]</w:t>
        <w:br/>
      </w:r>
      <w:r>
        <w:rPr>
          <w:b/>
          <w:sz w:val="20"/>
        </w:rPr>
        <w:t>Instructor debrief note:</w:t>
      </w:r>
      <w:r>
        <w:rPr>
          <w:sz w:val="20"/>
        </w:rPr>
        <w:t xml:space="preserve"> [ ]</w:t>
      </w:r>
    </w:p>
    <w:p>
      <w:pPr>
        <w:pStyle w:val="Heading2"/>
        <w:spacing w:line="240" w:lineRule="auto" w:after="80" w:before="120"/>
      </w:pPr>
      <w:r>
        <w:t>Stakeholder and reveal records</w:t>
      </w:r>
    </w:p>
    <w:p>
      <w:pPr>
        <w:spacing w:line="240" w:lineRule="auto" w:after="80"/>
      </w:pPr>
      <w:r>
        <w:rPr>
          <w:sz w:val="20"/>
        </w:rPr>
      </w:r>
      <w:r>
        <w:rPr>
          <w:b/>
          <w:sz w:val="20"/>
        </w:rPr>
        <w:t>Stakeholder ID, name, and role:</w:t>
      </w:r>
      <w:r>
        <w:rPr>
          <w:sz w:val="20"/>
        </w:rPr>
        <w:t xml:space="preserve"> [ ]</w:t>
        <w:br/>
      </w:r>
      <w:r>
        <w:rPr>
          <w:b/>
          <w:sz w:val="20"/>
        </w:rPr>
        <w:t>Stated concern and relevant values:</w:t>
      </w:r>
      <w:r>
        <w:rPr>
          <w:sz w:val="20"/>
        </w:rPr>
        <w:t xml:space="preserve"> [ ]</w:t>
        <w:br/>
      </w:r>
      <w:r>
        <w:rPr>
          <w:b/>
          <w:sz w:val="20"/>
        </w:rPr>
        <w:t>Questions and approved answers:</w:t>
      </w:r>
      <w:r>
        <w:rPr>
          <w:sz w:val="20"/>
        </w:rPr>
        <w:t xml:space="preserve"> [ ]</w:t>
        <w:br/>
      </w:r>
      <w:r>
        <w:rPr>
          <w:b/>
          <w:sz w:val="20"/>
        </w:rPr>
        <w:t>What this person knows and what remains uncertain:</w:t>
      </w:r>
      <w:r>
        <w:rPr>
          <w:sz w:val="20"/>
        </w:rPr>
        <w:t xml:space="preserve"> [ ]</w:t>
        <w:br/>
      </w:r>
      <w:r>
        <w:rPr>
          <w:b/>
          <w:sz w:val="20"/>
        </w:rPr>
        <w:t>Distinct contribution to the case:</w:t>
      </w:r>
      <w:r>
        <w:rPr>
          <w:sz w:val="20"/>
        </w:rPr>
        <w:t xml:space="preserve"> [ ]</w:t>
      </w:r>
    </w:p>
    <w:p>
      <w:pPr>
        <w:spacing w:line="240" w:lineRule="auto" w:after="80"/>
      </w:pPr>
      <w:r>
        <w:rPr>
          <w:sz w:val="20"/>
        </w:rPr>
      </w:r>
      <w:r>
        <w:rPr>
          <w:b/>
          <w:sz w:val="20"/>
        </w:rPr>
        <w:t>Evidence ID and release stage:</w:t>
      </w:r>
      <w:r>
        <w:rPr>
          <w:sz w:val="20"/>
        </w:rPr>
        <w:t xml:space="preserve"> [ ]</w:t>
        <w:br/>
      </w:r>
      <w:r>
        <w:rPr>
          <w:b/>
          <w:sz w:val="20"/>
        </w:rPr>
        <w:t>Evidence content and fictional source:</w:t>
      </w:r>
      <w:r>
        <w:rPr>
          <w:sz w:val="20"/>
        </w:rPr>
        <w:t xml:space="preserve"> [ ]</w:t>
        <w:br/>
      </w:r>
      <w:r>
        <w:rPr>
          <w:b/>
          <w:sz w:val="20"/>
        </w:rPr>
        <w:t>Earlier assumption affected:</w:t>
      </w:r>
      <w:r>
        <w:rPr>
          <w:sz w:val="20"/>
        </w:rPr>
        <w:t xml:space="preserve"> [ ]</w:t>
        <w:br/>
      </w:r>
      <w:r>
        <w:rPr>
          <w:b/>
          <w:sz w:val="20"/>
        </w:rPr>
        <w:t>Student revision prompt and saved response IDs:</w:t>
      </w:r>
      <w:r>
        <w:rPr>
          <w:sz w:val="20"/>
        </w:rPr>
        <w:t xml:space="preserve"> [ ]</w:t>
        <w:br/>
      </w:r>
      <w:r>
        <w:rPr>
          <w:b/>
          <w:sz w:val="20"/>
        </w:rPr>
        <w:t>Interpretive limits and debrief points:</w:t>
      </w:r>
      <w:r>
        <w:rPr>
          <w:sz w:val="20"/>
        </w:rPr>
        <w:t xml:space="preserve"> [ ]</w:t>
      </w:r>
    </w:p>
    <w:p>
      <w:pPr>
        <w:pStyle w:val="Heading2"/>
        <w:spacing w:line="240" w:lineRule="auto" w:after="80" w:before="120"/>
      </w:pPr>
      <w:r>
        <w:t>Decision and feedback record</w:t>
      </w:r>
    </w:p>
    <w:p>
      <w:pPr>
        <w:spacing w:line="240" w:lineRule="auto" w:after="80"/>
      </w:pPr>
      <w:r>
        <w:rPr>
          <w:sz w:val="20"/>
        </w:rPr>
      </w:r>
      <w:r>
        <w:rPr>
          <w:b/>
          <w:sz w:val="20"/>
        </w:rPr>
        <w:t>Decision ID and question:</w:t>
      </w:r>
      <w:r>
        <w:rPr>
          <w:sz w:val="20"/>
        </w:rPr>
        <w:t xml:space="preserve"> [ ]</w:t>
        <w:br/>
      </w:r>
      <w:r>
        <w:rPr>
          <w:b/>
          <w:sz w:val="20"/>
        </w:rPr>
        <w:t>Feasible options and reasons for each:</w:t>
      </w:r>
      <w:r>
        <w:rPr>
          <w:sz w:val="20"/>
        </w:rPr>
        <w:t xml:space="preserve"> [ ]</w:t>
        <w:br/>
      </w:r>
      <w:r>
        <w:rPr>
          <w:b/>
          <w:sz w:val="20"/>
        </w:rPr>
        <w:t>Required rationale and objection prompts:</w:t>
      </w:r>
      <w:r>
        <w:rPr>
          <w:sz w:val="20"/>
        </w:rPr>
        <w:t xml:space="preserve"> [ ]</w:t>
        <w:br/>
      </w:r>
      <w:r>
        <w:rPr>
          <w:b/>
          <w:sz w:val="20"/>
        </w:rPr>
        <w:t>Feedback timing and approved text:</w:t>
      </w:r>
      <w:r>
        <w:rPr>
          <w:sz w:val="20"/>
        </w:rPr>
        <w:t xml:space="preserve"> [ ]</w:t>
        <w:br/>
      </w:r>
      <w:r>
        <w:rPr>
          <w:b/>
          <w:sz w:val="20"/>
        </w:rPr>
        <w:t>Conditions or uncertainties to address:</w:t>
      </w:r>
      <w:r>
        <w:rPr>
          <w:sz w:val="20"/>
        </w:rPr>
        <w:t xml:space="preserve"> [ ]</w:t>
        <w:br/>
      </w:r>
      <w:r>
        <w:rPr>
          <w:b/>
          <w:sz w:val="20"/>
        </w:rPr>
        <w:t>Report mapping:</w:t>
      </w:r>
      <w:r>
        <w:rPr>
          <w:sz w:val="20"/>
        </w:rPr>
        <w:t xml:space="preserve"> [section and response IDs]</w:t>
      </w:r>
    </w:p>
    <w:p>
      <w:pPr>
        <w:pStyle w:val="Heading2"/>
        <w:spacing w:line="240" w:lineRule="auto" w:after="80" w:before="120"/>
      </w:pPr>
      <w:r>
        <w:t>Iteration record</w:t>
      </w:r>
    </w:p>
    <w:p>
      <w:pPr>
        <w:spacing w:line="240" w:lineRule="auto" w:after="80"/>
      </w:pPr>
      <w:r>
        <w:rPr>
          <w:sz w:val="20"/>
        </w:rPr>
      </w:r>
      <w:r>
        <w:rPr>
          <w:b/>
          <w:sz w:val="20"/>
        </w:rPr>
        <w:t>Version and date:</w:t>
      </w:r>
      <w:r>
        <w:rPr>
          <w:sz w:val="20"/>
        </w:rPr>
        <w:t xml:space="preserve"> [ ]   </w:t>
      </w:r>
      <w:r>
        <w:rPr>
          <w:b/>
          <w:sz w:val="20"/>
        </w:rPr>
        <w:t>Owner:</w:t>
      </w:r>
      <w:r>
        <w:rPr>
          <w:sz w:val="20"/>
        </w:rPr>
        <w:t xml:space="preserve"> [ ]</w:t>
        <w:br/>
      </w:r>
      <w:r>
        <w:rPr>
          <w:b/>
          <w:sz w:val="20"/>
        </w:rPr>
        <w:t>Observed problem:</w:t>
      </w:r>
      <w:r>
        <w:rPr>
          <w:sz w:val="20"/>
        </w:rPr>
        <w:t xml:space="preserve"> [behavior or student evidence]</w:t>
        <w:br/>
      </w:r>
      <w:r>
        <w:rPr>
          <w:b/>
          <w:sz w:val="20"/>
        </w:rPr>
        <w:t>Proposed change and expected effect:</w:t>
      </w:r>
      <w:r>
        <w:rPr>
          <w:sz w:val="20"/>
        </w:rPr>
        <w:t xml:space="preserve"> [ ]</w:t>
        <w:br/>
      </w:r>
      <w:r>
        <w:rPr>
          <w:b/>
          <w:sz w:val="20"/>
        </w:rPr>
        <w:t>Elements kept constant:</w:t>
      </w:r>
      <w:r>
        <w:rPr>
          <w:sz w:val="20"/>
        </w:rPr>
        <w:t xml:space="preserve"> [ ]</w:t>
        <w:br/>
      </w:r>
      <w:r>
        <w:rPr>
          <w:b/>
          <w:sz w:val="20"/>
        </w:rPr>
        <w:t>Checks and classroom observations:</w:t>
      </w:r>
      <w:r>
        <w:rPr>
          <w:sz w:val="20"/>
        </w:rPr>
        <w:t xml:space="preserve"> [ ]</w:t>
        <w:br/>
      </w:r>
      <w:r>
        <w:rPr>
          <w:b/>
          <w:sz w:val="20"/>
        </w:rPr>
        <w:t>Decision:</w:t>
      </w:r>
      <w:r>
        <w:rPr>
          <w:sz w:val="20"/>
        </w:rPr>
        <w:t xml:space="preserve"> [retain, revise, or revert]</w:t>
        <w:br/>
      </w:r>
      <w:r>
        <w:rPr>
          <w:b/>
          <w:sz w:val="20"/>
        </w:rPr>
        <w:t>Reason and next question:</w:t>
      </w:r>
      <w:r>
        <w:rPr>
          <w:sz w:val="20"/>
        </w:rPr>
        <w:t xml:space="preserve"> [ ]</w:t>
      </w:r>
    </w:p>
    <w:p>
      <w:r>
        <w:br w:type="page"/>
      </w:r>
    </w:p>
    <w:p>
      <w:pPr>
        <w:pStyle w:val="Heading1"/>
      </w:pPr>
      <w:r>
        <w:t>14 Iteration testing and release checklist</w:t>
      </w:r>
    </w:p>
    <w:p>
      <w:r>
        <w:t>Improve ETHOS in small, reviewable increments. Connect each change to an observed problem or a teaching goal, then check whether it improves the experience. Keep the approved case text and a working version available so that a visual or technical experiment can be reversed.</w:t>
      </w:r>
    </w:p>
    <w:p>
      <w:pPr>
        <w:pStyle w:val="Heading2"/>
      </w:pPr>
      <w:r>
        <w:t>A repeatable iteration cycle</w:t>
      </w:r>
    </w:p>
    <w:p>
      <w:pPr>
        <w:pStyle w:val="ListNumber"/>
        <w:numPr>
          <w:ilvl w:val="0"/>
          <w:numId w:val="11"/>
        </w:numPr>
      </w:pPr>
      <w:r>
        <w:t>Observe a specific difficulty, such as students missing the start action or overlooking a stakeholder concern.</w:t>
      </w:r>
    </w:p>
    <w:p>
      <w:pPr>
        <w:pStyle w:val="ListNumber"/>
        <w:numPr>
          <w:ilvl w:val="0"/>
          <w:numId w:val="11"/>
        </w:numPr>
      </w:pPr>
      <w:r>
        <w:t>Choose one change and state the expected effect. Identify what will remain constant for the comparison.</w:t>
      </w:r>
    </w:p>
    <w:p>
      <w:pPr>
        <w:pStyle w:val="ListNumber"/>
        <w:numPr>
          <w:ilvl w:val="0"/>
          <w:numId w:val="11"/>
        </w:numPr>
      </w:pPr>
      <w:r>
        <w:t>Build the change in a separate copy and run the relevant checks below.</w:t>
      </w:r>
    </w:p>
    <w:p>
      <w:pPr>
        <w:pStyle w:val="ListNumber"/>
        <w:numPr>
          <w:ilvl w:val="0"/>
          <w:numId w:val="11"/>
        </w:numPr>
      </w:pPr>
      <w:r>
        <w:t>Observe a small classroom or colleague trial. Record what participants actually do and produce.</w:t>
      </w:r>
    </w:p>
    <w:p>
      <w:pPr>
        <w:pStyle w:val="ListNumber"/>
        <w:numPr>
          <w:ilvl w:val="0"/>
          <w:numId w:val="11"/>
        </w:numPr>
      </w:pPr>
      <w:r>
        <w:t>Retain, revise, or revert the change. Update the case version and short change log before distribution.</w:t>
      </w:r>
    </w:p>
    <w:p>
      <w:pPr>
        <w:pStyle w:val="Heading2"/>
      </w:pPr>
      <w:r>
        <w:t>Required functional checks</w:t>
      </w:r>
    </w:p>
    <w:p>
      <w:pPr>
        <w:pStyle w:val="ListBullet"/>
      </w:pPr>
      <w:r>
        <w:t>The opening screen exposes Start Consultation, and the full six-stage route can be completed.</w:t>
      </w:r>
    </w:p>
    <w:p>
      <w:pPr>
        <w:pStyle w:val="ListBullet"/>
      </w:pPr>
      <w:r>
        <w:t>Required prompts validate correctly; missing responses do not erase existing work.</w:t>
      </w:r>
    </w:p>
    <w:p>
      <w:pPr>
        <w:pStyle w:val="ListBullet"/>
      </w:pPr>
      <w:r>
        <w:t>Interviews and evidence appear at the intended point; back navigation preserves answers.</w:t>
      </w:r>
    </w:p>
    <w:p>
      <w:pPr>
        <w:pStyle w:val="ListBullet"/>
      </w:pPr>
      <w:r>
        <w:t>Initial and revised responses remain distinguishable in the final report.</w:t>
      </w:r>
    </w:p>
    <w:p>
      <w:pPr>
        <w:pStyle w:val="ListBullet"/>
      </w:pPr>
      <w:r>
        <w:t>The report opens successfully and contains the entered text, including long responses and punctuation.</w:t>
      </w:r>
    </w:p>
    <w:p>
      <w:pPr>
        <w:pStyle w:val="ListBullet"/>
      </w:pPr>
      <w:r>
        <w:t>Reload, reset, and offline behavior match the published instructions wherever those behaviors are promised.</w:t>
      </w:r>
    </w:p>
    <w:p>
      <w:pPr>
        <w:pStyle w:val="Heading2"/>
      </w:pPr>
      <w:r>
        <w:t>Required instructional and usability checks</w:t>
      </w:r>
    </w:p>
    <w:p>
      <w:pPr>
        <w:pStyle w:val="ListBullet"/>
      </w:pPr>
      <w:r>
        <w:t>Every required interaction contributes to an outcome or a necessary consultation step.</w:t>
      </w:r>
    </w:p>
    <w:p>
      <w:pPr>
        <w:pStyle w:val="ListBullet"/>
      </w:pPr>
      <w:r>
        <w:t>Options have defensible reasons; the reveal changes a relevant inference; feedback avoids an unsupported single moral answer.</w:t>
      </w:r>
    </w:p>
    <w:p>
      <w:pPr>
        <w:pStyle w:val="ListBullet"/>
      </w:pPr>
      <w:r>
        <w:t>Keyboard use, focus order, labels, expanded panels, narrow screens, zoom, and text readability work throughout the case.</w:t>
      </w:r>
    </w:p>
    <w:p>
      <w:pPr>
        <w:pStyle w:val="ListBullet"/>
      </w:pPr>
      <w:r>
        <w:t>The instructor can launch the distributed copy, explain the task, and collect the final product using the stated method.</w:t>
      </w:r>
    </w:p>
    <w:p>
      <w:pPr>
        <w:pStyle w:val="Heading2"/>
      </w:pPr>
      <w:r>
        <w:t>Release record and future extensions</w:t>
      </w:r>
    </w:p>
    <w:p>
      <w:r>
        <w:t>Before release, record the case and engine versions, distribution filename, supported environment, date checked, known limitations, and location of the retained working copy. Keep instructor instructions aligned with the tested version. Use a descriptive filename and verify the actual distributed file, rather than only the development copy.</w:t>
      </w:r>
    </w:p>
    <w:p>
      <w:r>
        <w:t>Consider a multi-case library, richer branching, saved progress, or instructor tools after the consultation sequence and report work reliably. Evaluate each extension against the learning goals and classroom workload. Keep the central requirement intact: students must be able to show how evidence, stakeholder concerns, and ethical reasons support their recommendation.</w:t>
      </w:r>
    </w:p>
    <w:sectPr w:rsidR="00FC693F" w:rsidRPr="0006063C" w:rsidSect="00034616">
      <w:headerReference w:type="default" r:id="rId9"/>
      <w:footerReference w:type="default" r:id="rId10"/>
      <w:pgSz w:w="12240" w:h="15840"/>
      <w:pgMar w:top="936" w:right="1080" w:bottom="936" w:left="1080" w:header="360"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ETHOS  •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pPr>
    <w:r>
      <w:rPr>
        <w:sz w:val="16"/>
      </w:rPr>
      <w:t>ETHOS  |  DESIGN AND ITERATION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22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widowControl/>
      <w:spacing w:before="18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120" w:after="60"/>
      <w:outlineLvl w:val="2"/>
    </w:pPr>
    <w:rPr>
      <w:rFonts w:asciiTheme="majorHAnsi" w:eastAsiaTheme="majorEastAsia" w:hAnsiTheme="majorHAnsi" w:cstheme="majorBidi" w:ascii="Calibri" w:hAnsi="Calibr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200" w:line="240" w:lineRule="auto" w:before="0"/>
      <w:contextualSpacing/>
    </w:pPr>
    <w:rPr>
      <w:rFonts w:asciiTheme="majorHAnsi" w:eastAsiaTheme="majorEastAsia" w:hAnsiTheme="majorHAnsi" w:cstheme="majorBidi" w:ascii="Calibri" w:hAnsi="Calibri"/>
      <w:b/>
      <w:color w:val="000000"/>
      <w:spacing w:val="5"/>
      <w:kern w:val="28"/>
      <w:sz w:val="54"/>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200"/>
    </w:pPr>
    <w:rPr>
      <w:rFonts w:asciiTheme="majorHAnsi" w:eastAsiaTheme="majorEastAsia" w:hAnsiTheme="majorHAnsi" w:cstheme="majorBidi" w:ascii="Calibri" w:hAnsi="Calibri"/>
      <w:b w:val="0"/>
      <w:i/>
      <w:iCs/>
      <w:color w:val="000000"/>
      <w:spacing w:val="15"/>
      <w:sz w:val="24"/>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line="252" w:lineRule="auto" w:after="100"/>
      <w:contextualSpacing/>
    </w:pPr>
    <w:rPr>
      <w:rFonts w:ascii="Calibri" w:hAnsi="Calibri"/>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line="252" w:lineRule="auto" w:after="100"/>
      <w:contextualSpacing/>
    </w:pPr>
    <w:rPr>
      <w:rFonts w:ascii="Calibri" w:hAnsi="Calibri"/>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ETHOS — Bioethics Simulator Design &amp; Iteration Manual</dc:title>
  <dc:subject>Designing and iterating a six-stage bioethics consultation simulator</dc:subject>
  <dc:creator/>
  <cp:keywords>ETHOS, bioethics, consultation, teaching, simulator, design manual</cp:keywords>
  <dc:description/>
  <cp:lastModifiedBy/>
  <cp:revision>1</cp:revision>
  <dcterms:created xsi:type="dcterms:W3CDTF">2013-12-23T23:15:00Z</dcterms:created>
  <dcterms:modified xsi:type="dcterms:W3CDTF">2013-12-23T23:15:00Z</dcterms:modified>
  <cp:category/>
</cp:coreProperties>
</file>