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ETHOS — Bioethics Simulator Design &amp; Iteration Manual</w:t>
      </w:r>
    </w:p>
    <w:p>
      <w:pPr>
        <w:pStyle w:val="Subtitle"/>
      </w:pPr>
      <w:r>
        <w:t>A reusable guide for building and teaching interactive bioethics consultations</w:t>
      </w:r>
    </w:p>
    <w:p>
      <w:r>
        <w:t>ETHOS places students in the role of an ethics consultation team. Students work from a case file, much as a team would around a table: they read the records, hear from the people involved, look up the medical background, and check the relevant policies, in whatever order their questions lead them. They then make a recommendation and explain how their judgment developed. The educational product is the reasoning students can defend at the end of that process.</w:t>
      </w:r>
    </w:p>
    <w:p>
      <w:r>
        <w:t>Use this manual to develop additional cases while preserving a recognizable instructional structure. It connects case writing, interface design, technical behavior, classroom facilitation, and assessment. The case file and the worksheet are the organizing framework; the case narrative and presentation can change around them.</w:t>
      </w:r>
    </w:p>
    <w:p>
      <w:pPr>
        <w:pStyle w:val="Heading2"/>
      </w:pPr>
      <w:r>
        <w:t>How to use this manual</w:t>
      </w:r>
    </w:p>
    <w:p>
      <w:r>
        <w:t>Begin with the learning goals and a map of the case file and worksheet. Draft the entire case before adding interactive features. Use the specification and templates near the end to brief a developer, then evaluate the finished simulation with the release checklist.</w:t>
      </w:r>
    </w:p>
    <w:p>
      <w:pPr>
        <w:pStyle w:val="Heading2"/>
      </w:pPr>
      <w:r>
        <w:t>Contents</w:t>
      </w:r>
    </w:p>
    <w:tbl>
      <w:tblPr>
        <w:tblW w:type="auto" w:w="0"/>
        <w:jc w:val="center"/>
        <w:tblLayout w:type="fixed"/>
        <w:tblLook w:firstColumn="1" w:firstRow="1" w:lastColumn="0" w:lastRow="0" w:noHBand="0" w:noVBand="1" w:val="04A0"/>
      </w:tblPr>
      <w:tblGrid>
        <w:gridCol w:w="9144"/>
        <w:gridCol w:w="936"/>
      </w:tblGrid>
      <w:tr>
        <w:trPr>
          <w:cantSplit/>
          <w:tblHeader/>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8"/>
              </w:rPr>
              <w:t>Section</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8"/>
              </w:rPr>
              <w:t>Page</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Pedagogical framework</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2</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The six steps in a case</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4</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Prototype architecture and feature baseline</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5</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Reusable case engine specification</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6</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Visual design system</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7</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Interaction and accessibility</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8</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Developing a new case</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9</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Case file items and new information</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10</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Decisions feedback and consultation reports</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12</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Classroom implementation</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13</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Assessment and grading</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14</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Specification for a coding agent</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15</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Reusable authoring templates</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16</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Iteration testing and release checklist</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18</w:t>
            </w:r>
          </w:p>
        </w:tc>
      </w:tr>
    </w:tbl>
    <w:p>
      <w:pPr>
        <w:spacing w:after="0"/>
      </w:pPr>
    </w:p>
    <w:p>
      <w:r>
        <w:br w:type="page"/>
      </w:r>
    </w:p>
    <w:p>
      <w:pPr>
        <w:pStyle w:val="Heading1"/>
      </w:pPr>
      <w:r>
        <w:t>01 Pedagogical framework</w:t>
      </w:r>
    </w:p>
    <w:p>
      <w:r>
        <w:t>The central design goal is to make ethical reasoning visible. A student should leave a case able to identify the conflict, explain whose interests matter, distinguish evidence from assumptions, compare reasonable alternatives, and justify a recommendation that acknowledges its costs.</w:t>
      </w:r>
    </w:p>
    <w:p>
      <w:pPr>
        <w:pStyle w:val="Heading2"/>
      </w:pPr>
      <w:r>
        <w:t>Learning through a consultation</w:t>
      </w:r>
    </w:p>
    <w:p>
      <w:r>
        <w:t>A consultation gives students a practical role without asking them to impersonate a treating clinician. Their task is to clarify an ethical question and recommend a process or course of action. That role supports discussion of competing values while keeping clinical facts, institutional procedures, and ethical judgments conceptually distinct.</w:t>
      </w:r>
    </w:p>
    <w:p>
      <w:r>
        <w:t>Students gather information rather than receive it in a fixed order: like a team around a table, they decide what to open, divide the reading, and report back. A later release can add to the case file. Most new information is simply more to weigh; occasionally it should prompt a rethink. The report keeps earlier and later views side by side, so changing one’s mind and explaining why one didn’t both count as thoughtful work.</w:t>
      </w:r>
    </w:p>
    <w:p>
      <w:pPr>
        <w:pStyle w:val="Heading2"/>
      </w:pPr>
      <w:r>
        <w:t>The six-step method</w:t>
      </w:r>
    </w:p>
    <w:p>
      <w:r>
        <w:t>Every case follows the method students use to solve cases, so they practise the method rather than learn a new interface each time.</w:t>
      </w:r>
    </w:p>
    <w:p>
      <w:pPr>
        <w:pStyle w:val="ListBullet"/>
      </w:pPr>
      <w:r>
        <w:t>Step 1. Identify the moral problem.</w:t>
      </w:r>
    </w:p>
    <w:p>
      <w:pPr>
        <w:pStyle w:val="ListBullet"/>
      </w:pPr>
      <w:r>
        <w:t>Step 2. Gather relevant information. This is the case file.</w:t>
      </w:r>
    </w:p>
    <w:p>
      <w:pPr>
        <w:pStyle w:val="ListBullet"/>
      </w:pPr>
      <w:r>
        <w:t>Step 3. Identify the available options and their likely consequences.</w:t>
      </w:r>
    </w:p>
    <w:p>
      <w:pPr>
        <w:pStyle w:val="ListBullet"/>
      </w:pPr>
      <w:r>
        <w:t>Step 4. Identify and evaluate arguments for and against the available options.</w:t>
      </w:r>
    </w:p>
    <w:p>
      <w:pPr>
        <w:pStyle w:val="ListBullet"/>
      </w:pPr>
      <w:r>
        <w:t>Step 5. Choose a course of action and defend it.</w:t>
      </w:r>
    </w:p>
    <w:p>
      <w:pPr>
        <w:pStyle w:val="ListBullet"/>
      </w:pPr>
      <w:r>
        <w:t>Step 6. Carry out the chosen action and assess its consequences.</w:t>
      </w:r>
    </w:p>
    <w:p>
      <w:r>
        <w:t>Students identify the options themselves; the case doesn’t hand them a list. Step 6 asks for an action plan: who does what first, what could go wrong, and what would show it is working. A follow-up part can show what happened, for students to assess against their plan.</w:t>
      </w:r>
    </w:p>
    <w:p>
      <w:pPr>
        <w:pStyle w:val="Heading2"/>
      </w:pPr>
      <w:r>
        <w:t>Learning outcomes to write before the case</w:t>
      </w:r>
    </w:p>
    <w:p>
      <w:pPr>
        <w:pStyle w:val="ListBullet"/>
      </w:pPr>
      <w:r>
        <w:t>Frame a specific ethical question that the consultation can address.</w:t>
      </w:r>
    </w:p>
    <w:p>
      <w:pPr>
        <w:pStyle w:val="ListBullet"/>
      </w:pPr>
      <w:r>
        <w:t>Represent the interests and stated values of affected people accurately.</w:t>
      </w:r>
    </w:p>
    <w:p>
      <w:pPr>
        <w:pStyle w:val="ListBullet"/>
      </w:pPr>
      <w:r>
        <w:t>Apply relevant ethical concepts to particular facts rather than merely naming theories.</w:t>
      </w:r>
    </w:p>
    <w:p>
      <w:pPr>
        <w:pStyle w:val="ListBullet"/>
      </w:pPr>
      <w:r>
        <w:t>Compare at least two feasible options and articulate a serious objection to the preferred option.</w:t>
      </w:r>
    </w:p>
    <w:p>
      <w:pPr>
        <w:pStyle w:val="ListBullet"/>
      </w:pPr>
      <w:r>
        <w:t>Explain whether and how new information affects the recommendation or its conditions.</w:t>
      </w:r>
    </w:p>
    <w:p>
      <w:pPr>
        <w:pStyle w:val="Heading2"/>
      </w:pPr>
      <w:r>
        <w:t>What remains consistent across cases</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Keep consistent</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Allow to vary</w:t>
            </w:r>
          </w:p>
        </w:tc>
      </w:tr>
      <w:tr>
        <w:trPr>
          <w:cantSplit/>
        </w:trPr>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The six-step method, with the case file as step 2, and a visible route to a finished report</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Setting, central conflict, case length, and narrative voice</w:t>
            </w:r>
          </w:p>
        </w:tc>
      </w:tr>
      <w:tr>
        <w:trPr>
          <w:cantSplit/>
        </w:trPr>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Evidence linked to reasoning and a written justification</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Stakeholder identities, what new information arrives and when, and question types</w:t>
            </w:r>
          </w:p>
        </w:tc>
      </w:tr>
      <w:tr>
        <w:trPr>
          <w:cantSplit/>
        </w:trPr>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A recommendation, objection, uncertainty, and reflection</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Visual theme, media, optional extensions, and difficulty</w:t>
            </w:r>
          </w:p>
        </w:tc>
      </w:tr>
      <w:tr>
        <w:trPr>
          <w:cantSplit/>
        </w:trPr>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Assessment of the quality of the argument</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Which ethically defensible conclusion students select</w:t>
            </w:r>
          </w:p>
        </w:tc>
      </w:tr>
    </w:tbl>
    <w:p>
      <w:pPr>
        <w:spacing w:after="0"/>
      </w:pPr>
    </w:p>
    <w:p>
      <w:pPr>
        <w:pStyle w:val="Heading2"/>
      </w:pPr>
      <w:r>
        <w:t>Keep the difficulty in the ethical problem</w:t>
      </w:r>
    </w:p>
    <w:p>
      <w:r>
        <w:t>Students should struggle with uncertainty, competing obligations, and the limits of their own assumptions. They should not struggle to find the start button, understand an instruction, or discover what to submit. Write interface instructions in concrete verbs and reserve ambiguity for the case itself. Avoid a hidden “correct” moral answer unless the activity explicitly assesses a factual or conceptual distinction.</w:t>
      </w:r>
    </w:p>
    <w:p>
      <w:r>
        <w:br w:type="page"/>
      </w:r>
    </w:p>
    <w:p>
      <w:pPr>
        <w:pStyle w:val="Heading1"/>
      </w:pPr>
      <w:r>
        <w:t>02 The six steps in a case</w:t>
      </w:r>
    </w:p>
    <w:p>
      <w:r>
        <w:t>Step 2, gathering relevant information, is the case file: numbered items students open in any order, covering records, people, plain-language medical background, and policies. The other five steps are worksheet sections, answered in any order. The navigation column lists all six, numbered as students learn them.</w:t>
      </w:r>
    </w:p>
    <w:tbl>
      <w:tblPr>
        <w:tblW w:type="auto" w:w="0"/>
        <w:jc w:val="center"/>
        <w:tblLayout w:type="fixed"/>
        <w:tblLook w:firstColumn="1" w:firstRow="1" w:lastColumn="0" w:lastRow="0" w:noHBand="0" w:noVBand="1" w:val="04A0"/>
      </w:tblPr>
      <w:tblGrid>
        <w:gridCol w:w="2189"/>
        <w:gridCol w:w="4219"/>
        <w:gridCol w:w="3672"/>
      </w:tblGrid>
      <w:tr>
        <w:trPr>
          <w:cantSplit/>
          <w:tblHeader/>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Step</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Student task</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Saved work</w:t>
            </w:r>
          </w:p>
        </w:tc>
      </w:tr>
      <w:tr>
        <w:trPr>
          <w:cantSplit/>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1  Identify the moral problem</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State the moral problem and a first view.</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Problem statement and initial view</w:t>
            </w:r>
          </w:p>
        </w:tc>
      </w:tr>
      <w:tr>
        <w:trPr>
          <w:cantSplit/>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2  Gather relevant information</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Open records, people, medical background, and policies in any order; divide them at a roundtable and report back.</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Optional notes on each item</w:t>
            </w:r>
          </w:p>
        </w:tc>
      </w:tr>
      <w:tr>
        <w:trPr>
          <w:cantSplit/>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3  Options and consequences</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List the available options, including unattractive ones, and the likely consequences of each.</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The student’s own list of options</w:t>
            </w:r>
          </w:p>
        </w:tc>
      </w:tr>
      <w:tr>
        <w:trPr>
          <w:cantSplit/>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4  Arguments for and against</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Identify and weigh the arguments for and against each listed option.</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Arguments for and against each option</w:t>
            </w:r>
          </w:p>
        </w:tc>
      </w:tr>
      <w:tr>
        <w:trPr>
          <w:cantSplit/>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5  Choose and defend</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Choose one of their own options, defend it, and answer the strongest objection.</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Choice, defense, objection and reply, and the committee vote with any minority view</w:t>
            </w:r>
          </w:p>
        </w:tc>
      </w:tr>
      <w:tr>
        <w:trPr>
          <w:cantSplit/>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6  Carry out and assess</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Write the consult note for the clinician who asked, and plan who does what first; in a follow-up part, assess what happened against the plan.</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Consult note, action plan, and, if used, the assessment</w:t>
            </w:r>
          </w:p>
        </w:tc>
      </w:tr>
    </w:tbl>
    <w:p>
      <w:pPr>
        <w:spacing w:after="0"/>
      </w:pPr>
    </w:p>
    <w:p>
      <w:pPr>
        <w:pStyle w:val="Heading2"/>
      </w:pPr>
      <w:r>
        <w:t>Design for free movement</w:t>
      </w:r>
    </w:p>
    <w:p>
      <w:r>
        <w:t>Students move between the case file and the worksheet as their questions arise, so no section should depend on being reached in a particular order. Give each worksheet section a short introduction that says what to write and which kinds of item are likely to help. Avoid announcing the preferred interpretation before students have done the work.</w:t>
      </w:r>
    </w:p>
    <w:p>
      <w:r>
        <w:t>Require only the responses that are necessary for the learning goals. Opening case-file items is never required: the report should show whether students used the evidence, not whether they clicked it. Mark required worksheet answers clearly. The report page lists any that are missing, with a link to each. Keep the student’s existing work; editing one answer should never silently erase another.</w:t>
      </w:r>
    </w:p>
    <w:p>
      <w:pPr>
        <w:pStyle w:val="Heading2"/>
      </w:pPr>
      <w:r>
        <w:t>Release information deliberately</w:t>
      </w:r>
    </w:p>
    <w:p>
      <w:r>
        <w:t>Decide which items students need to form an initial view and which can arrive in a later release. Most later items should simply add to what students weigh: a new stakeholder, a document, a constraint. Some can put pressure on an earlier inference. Vary this across cases so students don’t learn to expect a twist. Ask about new information at the start of the next step students work on, and say that it’s fine if it changes nothing. Keep each student’s option list, arguments, and choice in one part: split a case before step 3 or after step 5.</w:t>
      </w:r>
    </w:p>
    <w:p>
      <w:pPr>
        <w:pStyle w:val="Heading2"/>
      </w:pPr>
      <w:r>
        <w:t>Completion means a defensible record</w:t>
      </w:r>
    </w:p>
    <w:p>
      <w:r>
        <w:t>Finishing the simulation means producing a coherent account of the consultation. A sequence of clicks alone does not establish completion. The final worksheet section should help students connect their initial view, stakeholder analysis, response to new information, and recommendation. Include an opportunity to name an unresolved question and identify what additional information would matter.</w:t>
      </w:r>
    </w:p>
    <w:p>
      <w:r>
        <w:br w:type="page"/>
      </w:r>
    </w:p>
    <w:p>
      <w:pPr>
        <w:pStyle w:val="Heading1"/>
      </w:pPr>
      <w:r>
        <w:t>03 Prototype architecture and feature baseline</w:t>
      </w:r>
    </w:p>
    <w:p>
      <w:r>
        <w:t>The prototype baseline is a downloadable HTML simulation with JavaScript interactions. Its documented instructional elements were a six-stage case, stakeholder interviews, evidence reveals, student decisions, and a downloadable final report. The current engine keeps the interviews, decisions, and report, and replaces the fixed stages with a case file and worksheet. These features define the minimum experience to preserve when the implementation changes.</w:t>
      </w:r>
    </w:p>
    <w:p>
      <w:pPr>
        <w:pStyle w:val="Heading2"/>
      </w:pPr>
      <w:r>
        <w:t>Separate the responsibilities</w:t>
      </w:r>
    </w:p>
    <w:tbl>
      <w:tblPr>
        <w:tblW w:type="auto" w:w="0"/>
        <w:jc w:val="center"/>
        <w:tblLayout w:type="fixed"/>
        <w:tblLook w:firstColumn="1" w:firstRow="1" w:lastColumn="0" w:lastRow="0" w:noHBand="0" w:noVBand="1" w:val="04A0"/>
      </w:tblPr>
      <w:tblGrid>
        <w:gridCol w:w="1440"/>
        <w:gridCol w:w="3168"/>
        <w:gridCol w:w="5472"/>
      </w:tblGrid>
      <w:tr>
        <w:trPr>
          <w:cantSplit/>
          <w:tblHeader/>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Layer</w:t>
            </w:r>
          </w:p>
        </w:tc>
        <w:tc>
          <w:tcPr>
            <w:tcW w:type="dxa" w:w="316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Responsibility</w:t>
            </w:r>
          </w:p>
        </w:tc>
        <w:tc>
          <w:tcPr>
            <w:tcW w:type="dxa" w:w="54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Typical content or behavior</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HTML</w:t>
            </w:r>
          </w:p>
        </w:tc>
        <w:tc>
          <w:tcPr>
            <w:tcW w:type="dxa" w:w="316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Document structure and controls</w:t>
            </w:r>
          </w:p>
        </w:tc>
        <w:tc>
          <w:tcPr>
            <w:tcW w:type="dxa" w:w="54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Headings, case panels, interview buttons, response fields</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CSS</w:t>
            </w:r>
          </w:p>
        </w:tc>
        <w:tc>
          <w:tcPr>
            <w:tcW w:type="dxa" w:w="316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Presentation and responsive layout</w:t>
            </w:r>
          </w:p>
        </w:tc>
        <w:tc>
          <w:tcPr>
            <w:tcW w:type="dxa" w:w="54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Typography, spacing, colors, cards, navigation states</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JavaScript</w:t>
            </w:r>
          </w:p>
        </w:tc>
        <w:tc>
          <w:tcPr>
            <w:tcW w:type="dxa" w:w="316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State and interaction</w:t>
            </w:r>
          </w:p>
        </w:tc>
        <w:tc>
          <w:tcPr>
            <w:tcW w:type="dxa" w:w="54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Page changes, opened items, missing-answer checks, report generation</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Case content</w:t>
            </w:r>
          </w:p>
        </w:tc>
        <w:tc>
          <w:tcPr>
            <w:tcW w:type="dxa" w:w="316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Instructional meaning</w:t>
            </w:r>
          </w:p>
        </w:tc>
        <w:tc>
          <w:tcPr>
            <w:tcW w:type="dxa" w:w="54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Narrative, stakeholder testimony, prompts, feedback</w:t>
            </w:r>
          </w:p>
        </w:tc>
      </w:tr>
    </w:tbl>
    <w:p>
      <w:pPr>
        <w:spacing w:after="0"/>
      </w:pPr>
    </w:p>
    <w:p>
      <w:pPr>
        <w:pStyle w:val="Heading2"/>
      </w:pPr>
      <w:r>
        <w:t>A practical interaction cycle</w:t>
      </w:r>
    </w:p>
    <w:p>
      <w:r>
        <w:t>The student activates a control or edits a response. The program records that change in a state object, checks whether the next action is available, and renders the appropriate view. The report reads from the same saved state. This prevents the screen and exported account from drifting apart.</w:t>
      </w:r>
    </w:p>
    <w:p>
      <w:r>
        <w:t>For example, opening a case-file item records its identifier as opened. Saving a reflection records the text under a stable prompt identifier. A later release adds items to the case file and preserves earlier answers so that any change of view can be discussed. These are implementation patterns for the reusable engine, rather than required names for existing functions.</w:t>
      </w:r>
    </w:p>
    <w:p>
      <w:pPr>
        <w:pStyle w:val="Heading2"/>
      </w:pPr>
      <w:r>
        <w:t>Preserve the opening correction</w:t>
      </w:r>
    </w:p>
    <w:p>
      <w:r>
        <w:t xml:space="preserve">The recorded usability correction added an obvious start button on the opening screen, now labeled </w:t>
      </w:r>
      <w:r>
        <w:rPr>
          <w:b/>
        </w:rPr>
        <w:t>Open the case file</w:t>
      </w:r>
      <w:r>
        <w:t>. The earlier entry action was buried below a long intake form. Every future case should expose its first meaningful action immediately. Put optional details after the start action or collect them when they become relevant.</w:t>
      </w:r>
    </w:p>
    <w:p>
      <w:pPr>
        <w:pStyle w:val="Heading2"/>
      </w:pPr>
      <w:r>
        <w:t>Do not assume additional capabilities</w:t>
      </w:r>
    </w:p>
    <w:p>
      <w:r>
        <w:t>A downloadable prototype does not by itself establish that answers survive a reload, that report exports use a particular file format, or that the program supports multiple cases. Treat persistence, a reusable case schema, dashboards, learning-management-system integration, analytics, and automated scoring as separate features to specify and test.</w:t>
      </w:r>
    </w:p>
    <w:p>
      <w:r>
        <w:t>Before modifying a working file, retain a copy and record the observed behavior. Keep a short feature inventory with three statuses: implemented and verified, planned, or intentionally excluded. Update that inventory when a change is released, so instructors can describe the actual classroom experience accurately.</w:t>
      </w:r>
    </w:p>
    <w:p>
      <w:r>
        <w:br w:type="page"/>
      </w:r>
    </w:p>
    <w:p>
      <w:pPr>
        <w:pStyle w:val="Heading1"/>
      </w:pPr>
      <w:r>
        <w:t>04 Reusable case engine specification</w:t>
      </w:r>
    </w:p>
    <w:p>
      <w:r>
        <w:t>The next architectural step is to separate case content from application behavior. A reusable engine should render different cases from a consistent data structure while keeping the case file and worksheet structure. The engine should not need a new set of navigation functions for each scenario.</w:t>
      </w:r>
    </w:p>
    <w:p>
      <w:pPr>
        <w:pStyle w:val="Heading2"/>
      </w:pPr>
      <w:r>
        <w:t>Recommended data model</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Record</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Required fields</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Case</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id, version, title, start, caseFile, items, worksheet, prompts, report, parts</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Case-file item</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id, kind (record, person, background, policy), title, summary, source, sections, questions for people, limits, teaching notes</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Worksheet section</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id, title, introduction, blocks (text, prompts, items, carryForward, trajectory, perspectives)</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Part</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id, label, file, items released, worksheet sections, start, end, report</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Decision prompt</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id, type, label, options, required or requiredIf, restateLabel</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Report definition</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title, filename, sections of prompt identifiers, earlier-part flags</w:t>
            </w:r>
          </w:p>
        </w:tc>
      </w:tr>
    </w:tbl>
    <w:p>
      <w:pPr>
        <w:spacing w:after="0"/>
      </w:pPr>
    </w:p>
    <w:p>
      <w:pPr>
        <w:pStyle w:val="Heading2"/>
      </w:pPr>
      <w:r>
        <w:t>Recommended student state</w:t>
      </w:r>
    </w:p>
    <w:p>
      <w:r>
        <w:t>Keep the case identifier and version, the current view, opened case-file items, selected options, written responses, and any restated answers. Use stable identifiers rather than visible titles as keys. A title can change without breaking saved answers or export mappings.</w:t>
      </w:r>
    </w:p>
    <w:p>
      <w:r>
        <w:t>Represent the initial answer and revised answer as separate values. If the application stores only the newest text, it cannot later show how a student’s judgment developed. Make the meaning of “complete” explicit for each worksheet section and compute it from the required responses.</w:t>
      </w:r>
    </w:p>
    <w:p>
      <w:pPr>
        <w:pStyle w:val="Heading2"/>
      </w:pPr>
      <w:r>
        <w:t>Recommended application modules</w:t>
      </w:r>
    </w:p>
    <w:p>
      <w:pPr>
        <w:pStyle w:val="ListBullet"/>
      </w:pPr>
      <w:r>
        <w:t>A content loader checks required fields and resolves references between records.</w:t>
      </w:r>
    </w:p>
    <w:p>
      <w:pPr>
        <w:pStyle w:val="ListBullet"/>
      </w:pPr>
      <w:r>
        <w:t>A state manager records responses and implements any chosen save and reset behavior.</w:t>
      </w:r>
    </w:p>
    <w:p>
      <w:pPr>
        <w:pStyle w:val="ListBullet"/>
      </w:pPr>
      <w:r>
        <w:t>A view renderer displays the case file, items, worksheet sections, and report using shared components and accessible controls.</w:t>
      </w:r>
    </w:p>
    <w:p>
      <w:pPr>
        <w:pStyle w:val="ListBullet"/>
      </w:pPr>
      <w:r>
        <w:t>A navigation controller shows each worksheet section’s status, lists missing required answers, and supports moving freely between areas.</w:t>
      </w:r>
    </w:p>
    <w:p>
      <w:pPr>
        <w:pStyle w:val="ListBullet"/>
      </w:pPr>
      <w:r>
        <w:t>A report generator converts saved responses into an organized consultation record.</w:t>
      </w:r>
    </w:p>
    <w:p>
      <w:pPr>
        <w:pStyle w:val="Heading2"/>
      </w:pPr>
      <w:r>
        <w:t>Scope features before building them</w:t>
      </w:r>
    </w:p>
    <w:p>
      <w:r>
        <w:t>A local single-file version can be a useful distribution target. Keep essential assets local if offline use is a requirement. Persistent storage, import and export of progress, instructor views, and server accounts should each have an explicit requirement and acceptance test. Add them only when they solve a defined teaching or distribution problem.</w:t>
      </w:r>
    </w:p>
    <w:p>
      <w:r>
        <w:t>Use a small schema version in addition to the case version. If saved state is incompatible with a changed case, explain the mismatch and offer a safe restart or export of the older work. Never silently attach an earlier response to a different prompt.</w:t>
      </w:r>
    </w:p>
    <w:p>
      <w:r>
        <w:br w:type="page"/>
      </w:r>
    </w:p>
    <w:p>
      <w:pPr>
        <w:pStyle w:val="Heading1"/>
      </w:pPr>
      <w:r>
        <w:t>05 Visual design system</w:t>
      </w:r>
    </w:p>
    <w:p>
      <w:r>
        <w:t>A consistent visual system helps students recognize the consultation structure across cases. Use a restrained interface with readable case text, clearly labeled actions, and a stable progress display. The following values are a recommended baseline for future builds and visual experiments.</w:t>
      </w:r>
    </w:p>
    <w:p>
      <w:pPr>
        <w:pStyle w:val="Heading2"/>
      </w:pPr>
      <w:r>
        <w:t>Reference palette</w:t>
      </w:r>
    </w:p>
    <w:tbl>
      <w:tblPr>
        <w:tblW w:type="auto" w:w="0"/>
        <w:jc w:val="center"/>
        <w:tblLayout w:type="fixed"/>
        <w:tblLook w:firstColumn="1" w:firstRow="1" w:lastColumn="0" w:lastRow="0" w:noHBand="0" w:noVBand="1" w:val="04A0"/>
      </w:tblPr>
      <w:tblGrid>
        <w:gridCol w:w="2160"/>
        <w:gridCol w:w="1440"/>
        <w:gridCol w:w="6480"/>
      </w:tblGrid>
      <w:tr>
        <w:trPr>
          <w:cantSplit/>
          <w:tblHeader/>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Role</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Value</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Use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Page background</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#F4F6F8</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Neutral background behind the reading surface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Content surface</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#FFFFFF</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Case narrative, forms, interview panels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Primary text</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#17212B</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Body text and prominent labels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Secondary text</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#4B5563</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Supporting instructions and metadata</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Primary action</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#174D68</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Start, Continue, and Download Report</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Border</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#D1D8E0</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Input outlines and separation between regions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Success</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#226546</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Completed status with an explicit text label</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Attention</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#7A4B00</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Information needing review with an explicit label</w:t>
            </w:r>
          </w:p>
        </w:tc>
      </w:tr>
    </w:tbl>
    <w:p>
      <w:pPr>
        <w:spacing w:after="0"/>
      </w:pPr>
    </w:p>
    <w:p>
      <w:r>
        <w:t>Check actual foreground and background combinations in the rendered interface. A token name does not establish sufficient contrast. Never communicate completion, warnings, or stakeholder categories through color alone.</w:t>
      </w:r>
    </w:p>
    <w:p>
      <w:pPr>
        <w:pStyle w:val="Heading2"/>
      </w:pPr>
      <w:r>
        <w:t>Typography and spacing</w:t>
      </w:r>
    </w:p>
    <w:p>
      <w:r>
        <w:t>Use a system sans-serif stack such as system-ui, Segoe UI, and Arial. Begin with 16–18 px body text and a line height around 1.5. Keep long case passages near 65–75 characters per line. Use a small heading scale and an 8 px spacing base; for example, 8, 16, 24, and 32 px for progressively larger separations.</w:t>
      </w:r>
    </w:p>
    <w:p>
      <w:pPr>
        <w:pStyle w:val="Heading2"/>
      </w:pPr>
      <w:r>
        <w:t>Layout and component conventions</w:t>
      </w:r>
    </w:p>
    <w:p>
      <w:r>
        <w:t>Use a centered reading area with a visible case title and page heading. On larger screens, a navigation column can sit beside the active content. On small screens, move navigation above the content and keep the primary action easy to find. Preserve a logical reading order when the layout collapses.</w:t>
      </w:r>
    </w:p>
    <w:p>
      <w:r>
        <w:t>Give recurring components the same appearance and behavior: case-file tiles show a number, kind, title, and whether they have been opened; people open into interview questions; new items carry a New label; response fields include their prompt and requirement; action rows identify the next step. Reserve visual emphasis for the task students need to complete.</w:t>
      </w:r>
    </w:p>
    <w:p>
      <w:pPr>
        <w:pStyle w:val="Heading2"/>
      </w:pPr>
      <w:r>
        <w:t>Make visual experiments reversible</w:t>
      </w:r>
    </w:p>
    <w:p>
      <w:r>
        <w:t>Store reusable values as CSS variables. Change a small group of tokens in one iteration and keep the content and task sequence stable while evaluating the effect. Compare readability, start success, navigation errors, and completion behavior before adopting a new theme. Preserve a known working theme as a fallback.</w:t>
      </w:r>
    </w:p>
    <w:p>
      <w:r>
        <w:br w:type="page"/>
      </w:r>
    </w:p>
    <w:p>
      <w:pPr>
        <w:pStyle w:val="Heading1"/>
      </w:pPr>
      <w:r>
        <w:t>06 Interaction and accessibility</w:t>
      </w:r>
    </w:p>
    <w:p>
      <w:r>
        <w:t>Students should be able to understand and complete the consultation using a keyboard, a small screen, or assistive technology. Build accessibility into the shared components so that each new case inherits the same interaction quality.</w:t>
      </w:r>
    </w:p>
    <w:p>
      <w:pPr>
        <w:pStyle w:val="Heading2"/>
      </w:pPr>
      <w:r>
        <w:t>Entry and navigation</w:t>
      </w:r>
    </w:p>
    <w:p>
      <w:pPr>
        <w:pStyle w:val="ListBullet"/>
      </w:pPr>
      <w:r>
        <w:t>Show the case purpose, expected work, and a clearly visible Open the case file button before any long text.</w:t>
      </w:r>
    </w:p>
    <w:p>
      <w:pPr>
        <w:pStyle w:val="ListBullet"/>
      </w:pPr>
      <w:r>
        <w:t>Display the current area and section in text, and show each worksheet section’s status without relying on color.</w:t>
      </w:r>
    </w:p>
    <w:p>
      <w:pPr>
        <w:pStyle w:val="ListBullet"/>
      </w:pPr>
      <w:r>
        <w:t>Use descriptive actions such as Next: Recommendation or Back to the case file rather than unexplained arrows.</w:t>
      </w:r>
    </w:p>
    <w:p>
      <w:pPr>
        <w:pStyle w:val="ListBullet"/>
      </w:pPr>
      <w:r>
        <w:t>Let students move between the case file and the worksheet at any time without losing responses.</w:t>
      </w:r>
    </w:p>
    <w:p>
      <w:pPr>
        <w:pStyle w:val="Heading2"/>
      </w:pPr>
      <w:r>
        <w:t>Inputs and feedback</w:t>
      </w:r>
    </w:p>
    <w:p>
      <w:r>
        <w:t>Give every field a persistent label. Explain required responses before submission and place errors beside the relevant field. When validation fails, retain entered text and move focus to an error summary or the first invalid field. Use native buttons, radio groups, and text areas wherever possible.</w:t>
      </w:r>
    </w:p>
    <w:p>
      <w:r>
        <w:t>A response should save according to a clear rule: automatically, when the student leaves the field, or through a labeled Save action. If progress persists across reloads, say so only after verifying that behavior in the intended browser and distribution environment. Explain what a reset clears before it happens.</w:t>
      </w:r>
    </w:p>
    <w:p>
      <w:pPr>
        <w:pStyle w:val="Heading2"/>
      </w:pPr>
      <w:r>
        <w:t>Keyboard and screen reader behavior</w:t>
      </w:r>
    </w:p>
    <w:p>
      <w:r>
        <w:t>Keep a visible focus indicator on every interactive element. Use a logical heading hierarchy and tab order. When a new page replaces the old one, move focus to its heading or another meaningful starting point. Give dynamic completion and download feedback a concise accessible announcement.</w:t>
      </w:r>
    </w:p>
    <w:p>
      <w:r>
        <w:t>An interview can use an expandable panel with a button that communicates its expanded state. If a modal is necessary, it needs an accessible title, contained keyboard focus, an obvious close control, Escape behavior, and focus returned to the opening control. Prefer simpler inline disclosure when it serves the task.</w:t>
      </w:r>
    </w:p>
    <w:p>
      <w:pPr>
        <w:pStyle w:val="Heading2"/>
      </w:pPr>
      <w:r>
        <w:t>Reading and device checks</w:t>
      </w:r>
    </w:p>
    <w:p>
      <w:r>
        <w:t>Provide text equivalents for meaningful images and transcripts for essential audio. Do not place essential case facts only inside an image. Test enlarged text, narrow viewports, and zoom for hidden controls or horizontal scrolling. Give buttons comfortable touch targets and enough separation to reduce accidental activation.</w:t>
      </w:r>
    </w:p>
    <w:p>
      <w:pPr>
        <w:pStyle w:val="Heading2"/>
      </w:pPr>
      <w:r>
        <w:t>Downloads and recovery</w:t>
      </w:r>
    </w:p>
    <w:p>
      <w:r>
        <w:t>After report generation, show a clear success or failure message and a way to try again. Make the report readable with ordinary software. If the browser cannot save the chosen format, offer a documented alternative such as a print view or copyable report. Verify each promised alternative before including it in student instructions. Keep an export to Word one click away on every page, so students can save their work for the LMS at any point; mark an export with missing answers as work in progress.</w:t>
      </w:r>
    </w:p>
    <w:p>
      <w:r>
        <w:br w:type="page"/>
      </w:r>
    </w:p>
    <w:p>
      <w:pPr>
        <w:pStyle w:val="Heading1"/>
      </w:pPr>
      <w:r>
        <w:t>07 Developing a new case</w:t>
      </w:r>
    </w:p>
    <w:p>
      <w:r>
        <w:t>Write a case around a conflict that students can investigate and reason about within the available time. Start with the learning problem. A dramatic story is useful only when its details support that problem and give students grounds for comparing possible responses.</w:t>
      </w:r>
    </w:p>
    <w:p>
      <w:pPr>
        <w:pStyle w:val="Heading2"/>
      </w:pPr>
      <w:r>
        <w:t>Step 1 Define the instructional brief</w:t>
      </w:r>
    </w:p>
    <w:p>
      <w:r>
        <w:t>Specify the audience, prior concepts, available class time, central ethical question, and final student product. Select two or three learning outcomes that can be observed in the report. Decide which concepts students should already know and which the simulation will introduce.</w:t>
      </w:r>
    </w:p>
    <w:p>
      <w:pPr>
        <w:pStyle w:val="Heading2"/>
      </w:pPr>
      <w:r>
        <w:t>Step 2 Write the referral</w:t>
      </w:r>
    </w:p>
    <w:p>
      <w:r>
        <w:t>Create a concise opening that explains who requested consultation, why the issue has become urgent, and what decision or process requires advice. Include enough factual context to begin. Avoid wording that assigns blame before students hear the stakeholders. A useful referral ends with a question the team can actually address.</w:t>
      </w:r>
    </w:p>
    <w:p>
      <w:pPr>
        <w:pStyle w:val="Heading2"/>
      </w:pPr>
      <w:r>
        <w:t>Step 3 Map the conflict before scripting dialogue</w:t>
      </w:r>
    </w:p>
    <w:p>
      <w:r>
        <w:t>List the affected people, their stated concerns, the important uncertainties, and the feasible options. Identify at least one serious reason for each leading option. Remove incidental details that create reading load without changing the ethical analysis. Keep clinical and institutional context comprehensible to the intended students.</w:t>
      </w:r>
    </w:p>
    <w:p>
      <w:pPr>
        <w:pStyle w:val="Heading2"/>
      </w:pPr>
      <w:r>
        <w:t>Step 4 Plan the case file and worksheet</w:t>
      </w:r>
    </w:p>
    <w:p>
      <w:r>
        <w:t>Plan the case around the six steps. List every case-file item, its kind, and the release it belongs to, with a medical background item for each condition or treatment students must understand. Check that the case file lets students find several feasible options on their own, and write your own option set for comparison after they choose. Draft the prompt and saved answer for steps 1, 5, and 6, and decide whether step 6 will have a follow-up part.</w:t>
      </w:r>
    </w:p>
    <w:p>
      <w:pPr>
        <w:pStyle w:val="Heading2"/>
      </w:pPr>
      <w:r>
        <w:t>Step 5 Write the new information</w:t>
      </w:r>
    </w:p>
    <w:p>
      <w:r>
        <w:t>Decide what a later release adds and why it matters: a new person, a document, a policy, a changed constraint. Most new information should add to what students weigh rather than overturn it. When an item is meant to put an earlier inference under pressure, say which one in the author notes. A useful release gives students more to consider; it need not push anyone toward the same conclusion.</w:t>
      </w:r>
    </w:p>
    <w:p>
      <w:pPr>
        <w:pStyle w:val="Heading2"/>
      </w:pPr>
      <w:r>
        <w:t>Step 6 Build the debrief and review the whole case</w:t>
      </w:r>
    </w:p>
    <w:p>
      <w:r>
        <w:t>Write the debrief while drafting the case so that every required interaction has an educational purpose. Include defensible alternative arguments and common misunderstandings. Ask a colleague to identify leading language, missing information, and unfair portrayals before implementation.</w:t>
      </w:r>
    </w:p>
    <w:p>
      <w:pPr>
        <w:pStyle w:val="Heading2"/>
      </w:pPr>
      <w:r>
        <w:t>Illustrative case seed</w:t>
      </w:r>
    </w:p>
    <w:p>
      <w:r>
        <w:t>A fictional consultation concerns disagreement about a treatment plan. The referral presents conflicting accounts of the person’s priorities. Interviews reveal that stakeholders interpret the same statement differently; a later record adds context. Students must explain what remains uncertain and recommend an appropriate next step. This is a writing example, not a clinical protocol or a prescribed case conclusion.</w:t>
      </w:r>
    </w:p>
    <w:p>
      <w:r>
        <w:br w:type="page"/>
      </w:r>
    </w:p>
    <w:p>
      <w:pPr>
        <w:pStyle w:val="Heading1"/>
      </w:pPr>
      <w:r>
        <w:t>08 Case file items and new information</w:t>
      </w:r>
    </w:p>
    <w:p>
      <w:r>
        <w:t>Stakeholder interviews should help students understand reasons, relationships, and constraints. Each person needs a coherent perspective. Avoid assigning one character all the relevant facts or making disagreement depend on ignorance, hostility, or a stereotype.</w:t>
      </w:r>
    </w:p>
    <w:p>
      <w:pPr>
        <w:pStyle w:val="Heading2"/>
      </w:pPr>
      <w:r>
        <w:t>Write a stakeholder profile</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Field</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Authoring question</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Role and relationship</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Why is this person affected or involved in the consultation?</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Stated concern</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What does the person say matters most, in their own language?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Knowledge and limits</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What can this person report, and what remains an inference?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Underlying values</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Which values help explain the concern without reducing the person to a theory?</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Interview contribution</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What new fact or perspective does this interview add?</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Tension or vulnerability</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What might complicate the person’s account or preferred option?</w:t>
            </w:r>
          </w:p>
        </w:tc>
      </w:tr>
    </w:tbl>
    <w:p>
      <w:pPr>
        <w:spacing w:after="0"/>
      </w:pPr>
    </w:p>
    <w:p>
      <w:pPr>
        <w:pStyle w:val="Heading2"/>
      </w:pPr>
      <w:r>
        <w:t>Build purposeful interview questions</w:t>
      </w:r>
    </w:p>
    <w:p>
      <w:r>
        <w:t>A small number of distinct questions is usually more useful than many repetitive ones. Ask about understanding, priorities, reasons, and concerns about other options. Let answers reveal uncertainty and internal tension. Do not make every character speak in textbook terminology; students should connect ordinary language to ethical concepts themselves.</w:t>
      </w:r>
    </w:p>
    <w:p>
      <w:r>
        <w:t>Distinguish a stakeholder’s report from an established fact. “I understood the plan this way” and “the record states this” do different work. Give students a place to record which claims need clarification. If two accounts conflict, the debrief should address how that conflict affects reasoning.</w:t>
      </w:r>
    </w:p>
    <w:p>
      <w:pPr>
        <w:pStyle w:val="Heading2"/>
      </w:pPr>
      <w:r>
        <w:t>Write medical background items</w:t>
      </w:r>
    </w:p>
    <w:p>
      <w:r>
        <w:t>Give every condition or treatment the case depends on its own plain-language item, such as Alzheimer’s disease, a persistent vegetative state, or tube feeding. Write for a student with no clinical training: short sentences, everyday words, and an explanation of any necessary term the first time it appears. Suggested sections:</w:t>
      </w:r>
    </w:p>
    <w:p>
      <w:pPr>
        <w:pStyle w:val="ListBullet"/>
      </w:pPr>
      <w:r>
        <w:t>What it is, in one or two sentences.</w:t>
      </w:r>
    </w:p>
    <w:p>
      <w:pPr>
        <w:pStyle w:val="ListBullet"/>
      </w:pPr>
      <w:r>
        <w:t>What it’s like day to day, for the person and for the people caring for them.</w:t>
      </w:r>
    </w:p>
    <w:p>
      <w:pPr>
        <w:pStyle w:val="ListBullet"/>
      </w:pPr>
      <w:r>
        <w:t>What treatment can and can’t do, including the treatment at issue in the case.</w:t>
      </w:r>
    </w:p>
    <w:p>
      <w:pPr>
        <w:pStyle w:val="ListBullet"/>
      </w:pPr>
      <w:r>
        <w:t>What usually happens over time, and how certain anyone can be.</w:t>
      </w:r>
    </w:p>
    <w:p>
      <w:pPr>
        <w:pStyle w:val="ListBullet"/>
      </w:pPr>
      <w:r>
        <w:t>Common misunderstandings that students are likely to bring with them.</w:t>
      </w:r>
    </w:p>
    <w:p>
      <w:r>
        <w:t>Give only the medical facts students need to follow the case, and don’t use a background item to settle the ethical question. Have a clinician check every background item before release, and record who checked it and when in the author notes.</w:t>
      </w:r>
    </w:p>
    <w:p>
      <w:pPr>
        <w:pStyle w:val="Heading2"/>
      </w:pPr>
      <w:r>
        <w:t>Plan a release of new information</w:t>
      </w:r>
    </w:p>
    <w:p>
      <w:pPr>
        <w:pStyle w:val="ListNumber"/>
        <w:numPr>
          <w:ilvl w:val="0"/>
          <w:numId w:val="10"/>
        </w:numPr>
      </w:pPr>
      <w:r>
        <w:t>Decide what the new item adds: another perspective, a fact, a constraint, or a challenge to an earlier inference.</w:t>
      </w:r>
    </w:p>
    <w:p>
      <w:pPr>
        <w:pStyle w:val="ListNumber"/>
        <w:numPr>
          <w:ilvl w:val="0"/>
          <w:numId w:val="10"/>
        </w:numPr>
      </w:pPr>
      <w:r>
        <w:t>Specify the item’s source inside the fictional case and its limits.</w:t>
      </w:r>
    </w:p>
    <w:p>
      <w:pPr>
        <w:pStyle w:val="ListNumber"/>
        <w:numPr>
          <w:ilvl w:val="0"/>
          <w:numId w:val="10"/>
        </w:numPr>
      </w:pPr>
      <w:r>
        <w:t>Choose a release point after students have recorded an initial view.</w:t>
      </w:r>
    </w:p>
    <w:p>
      <w:pPr>
        <w:pStyle w:val="ListNumber"/>
        <w:numPr>
          <w:ilvl w:val="0"/>
          <w:numId w:val="10"/>
        </w:numPr>
      </w:pPr>
      <w:r>
        <w:t>Ask whether the new information changes the recommendation or how it would be carried out, and make clear that keeping a view, with reasons, is as acceptable as changing it.</w:t>
      </w:r>
    </w:p>
    <w:p>
      <w:pPr>
        <w:pStyle w:val="ListNumber"/>
        <w:numPr>
          <w:ilvl w:val="0"/>
          <w:numId w:val="10"/>
        </w:numPr>
      </w:pPr>
      <w:r>
        <w:t>Record the earlier and later responses separately in the report.</w:t>
      </w:r>
    </w:p>
    <w:p>
      <w:pPr>
        <w:pStyle w:val="Heading2"/>
      </w:pPr>
      <w:r>
        <w:t>Pace releases with successive access codes</w:t>
      </w:r>
    </w:p>
    <w:p>
      <w:r>
        <w:t>When the whole class should meet new information at the same moment, publish the case on the course website as successive parts, each encrypted with its own access code. Part 1 runs through the commitment the new information will test, such as the provisional recommendation. Part 2 opens with new items at the top of the case file, marked New, alongside everything from Part 1. Announce the Part 2 code when you want the new information to arrive, ideally after a short discussion of provisional views. This gives the instructor control over timing without a dashboard, server, or accounts.</w:t>
      </w:r>
    </w:p>
    <w:p>
      <w:pPr>
        <w:pStyle w:val="ListBullet"/>
      </w:pPr>
      <w:r>
        <w:t>Split only at a commitment point. Each part should end once students have recorded the view the next release asks them to reconsider.</w:t>
      </w:r>
    </w:p>
    <w:p>
      <w:pPr>
        <w:pStyle w:val="ListBullet"/>
      </w:pPr>
      <w:r>
        <w:t xml:space="preserve">Keep later content out of earlier files. Hiding a section with JavaScript does not protect it; anyone who unlocks Part 1 can read everything inside that file.</w:t>
      </w:r>
    </w:p>
    <w:p>
      <w:pPr>
        <w:pStyle w:val="ListBullet"/>
      </w:pPr>
      <w:r>
        <w:t xml:space="preserve">Plan how reasoning carries forward. Each part is a separate page, so Part 1 responses do not reach Part 2 automatically. Either have Part 1 end with a report download and ask students to restate their provisional recommendation at the start of Part 2, or share saved state between the parts in the browser. Shared state works only on the same device and browser and can fail in a private window, so specify and test it as a persistence feature.</w:t>
      </w:r>
    </w:p>
    <w:p>
      <w:pPr>
        <w:pStyle w:val="ListBullet"/>
      </w:pPr>
      <w:r>
        <w:t xml:space="preserve">Use an unrelated passphrase for each part. Never derive a later code from an earlier one, and never put a code or a hint in the public activity list.</w:t>
      </w:r>
    </w:p>
    <w:p>
      <w:pPr>
        <w:pStyle w:val="ListBullet"/>
      </w:pPr>
      <w:r>
        <w:t xml:space="preserve">Treat codes as control over timing, not secrecy. Students can share a code once it is announced, and changing a code does not revoke access to a copy already opened.</w:t>
      </w:r>
    </w:p>
    <w:p>
      <w:r>
        <w:t>Either way, the final report must still show the earlier and later responses separately.</w:t>
      </w:r>
    </w:p>
    <w:p>
      <w:pPr>
        <w:pStyle w:val="Heading2"/>
      </w:pPr>
      <w:r>
        <w:t>Audit for fairness</w:t>
      </w:r>
    </w:p>
    <w:p>
      <w:r>
        <w:t>Check whether students can recognize a reasonable argument before encountering the debrief. Do not reward opening every card unless each card serves a learning purpose. Remove gratuitous distressing details. When sensitive topics matter to the case, provide an appropriate advance description and a classroom participation plan. Review names, identities, and narrative roles for patterns that unfairly associate a group with error or misconduct.</w:t>
      </w:r>
    </w:p>
    <w:p>
      <w:r>
        <w:br w:type="page"/>
      </w:r>
    </w:p>
    <w:p>
      <w:pPr>
        <w:pStyle w:val="Heading1"/>
      </w:pPr>
      <w:r>
        <w:t>09 Decisions feedback and consultation reports</w:t>
      </w:r>
    </w:p>
    <w:p>
      <w:r>
        <w:t>The simulation should collect reasons as well as choices. Selecting an option tells the instructor what a student prefers; a justification explains whether the preference follows from the evidence and ethical analysis. Design both parts together.</w:t>
      </w:r>
    </w:p>
    <w:p>
      <w:pPr>
        <w:pStyle w:val="Heading2"/>
      </w:pPr>
      <w:r>
        <w:t>Construct meaningful options</w:t>
      </w:r>
    </w:p>
    <w:p>
      <w:r>
        <w:t>Students identify the options themselves in step 3, so make sure the case file lets them find several feasible ones, including uncomfortable or easily missed ones. Write your own option set too; it appears only after students choose, as “Options others have considered,” so the debrief can compare lists. Avoid a polished “good” option beside careless distractors.</w:t>
      </w:r>
    </w:p>
    <w:p>
      <w:r>
        <w:t>Ask students for the strongest objection to their recommendation and their reply, and what information could change their view. Then record the committee vote: when it isn’t unanimous, the minority view and its strongest reason go into the record, as on a real committee.</w:t>
      </w:r>
    </w:p>
    <w:p>
      <w:pPr>
        <w:pStyle w:val="Heading2"/>
      </w:pPr>
      <w:r>
        <w:t>Write the consult note</w:t>
      </w:r>
    </w:p>
    <w:p>
      <w:r>
        <w:t>In step 6, students write the short note a committee leaves in the chart for the clinician who asked: the ethical question, relevant facts, recommendation, reasons, and next steps. A word guide (250 by default) keeps it readable but never blocks. The note opens the report.</w:t>
      </w:r>
    </w:p>
    <w:p>
      <w:pPr>
        <w:pStyle w:val="Heading2"/>
      </w:pPr>
      <w:r>
        <w:t>Use feedback at the right moment</w:t>
      </w:r>
    </w:p>
    <w:p>
      <w:r>
        <w:t>Immediate feedback can clarify a missed instruction or a factual misunderstanding. More interpretive feedback is often better placed after students commit to a position. Explain which consideration the response addresses and what it leaves unresolved. Do not label a contested recommendation correct merely because it matches the author’s preference.</w:t>
      </w:r>
    </w:p>
    <w:p>
      <w:pPr>
        <w:pStyle w:val="Heading2"/>
      </w:pPr>
      <w:r>
        <w:t>Report structure</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Section</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Evidence to include</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Problem and context</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Case title and version, team, the moral problem, and the initial view</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Information</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Notes on case-file items, stakeholder concerns, and the response to new information</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Options and consequences</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Each option the student listed, with its likely consequences</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Arguments</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Arguments for and against each option</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Choice and defense</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Chosen option, defense, objection and reply, committee vote, and any minority view</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Action and assessment</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Consult note for the chart, action plan, and any follow-up assessment</w:t>
            </w:r>
          </w:p>
        </w:tc>
      </w:tr>
    </w:tbl>
    <w:p>
      <w:pPr>
        <w:spacing w:after="0"/>
      </w:pPr>
    </w:p>
    <w:p>
      <w:pPr>
        <w:pStyle w:val="Heading2"/>
      </w:pPr>
      <w:r>
        <w:t>Generate the report from saved responses</w:t>
      </w:r>
    </w:p>
    <w:p>
      <w:r>
        <w:t>Use one reporting function that maps stable prompt identifiers to report sections. Include incomplete items as clearly labeled omissions or prevent final completion with a helpful explanation. Preserve paragraph breaks and punctuation, escape inserted text safely, and use a readable filename that identifies the case.</w:t>
      </w:r>
    </w:p>
    <w:p>
      <w:r>
        <w:t>The student should be able to review the assembled report before downloading it. Test the export with short and long responses, quotations, apostrophes, and non-ASCII names. Compare exported text with the visible answers. Do not claim report formats, automatic submission, identity capture, or private storage unless those features are implemented and verified.</w:t>
      </w:r>
    </w:p>
    <w:p>
      <w:pPr>
        <w:pStyle w:val="Heading1"/>
        <w:pageBreakBefore/>
      </w:pPr>
      <w:r>
        <w:t>10 Classroom implementation</w:t>
      </w:r>
    </w:p>
    <w:p>
      <w:r>
        <w:t>Introduce ETHOS as a structured consultation exercise. Explain the learning goals, the final report, and how reasoning will be assessed before students begin. Demonstrate the start action and one navigation step, then allow students to encounter the ethical problem without previewing later releases.</w:t>
      </w:r>
    </w:p>
    <w:p>
      <w:pPr>
        <w:pStyle w:val="Heading2"/>
      </w:pPr>
      <w:r>
        <w:t>Suggested 75 minute session</w:t>
      </w:r>
    </w:p>
    <w:tbl>
      <w:tblPr>
        <w:tblW w:type="auto" w:w="0"/>
        <w:jc w:val="center"/>
        <w:tblLayout w:type="fixed"/>
        <w:tblLook w:firstColumn="1" w:firstRow="1" w:lastColumn="0" w:lastRow="0" w:noHBand="0" w:noVBand="1" w:val="04A0"/>
      </w:tblPr>
      <w:tblGrid>
        <w:gridCol w:w="1440"/>
        <w:gridCol w:w="3600"/>
        <w:gridCol w:w="5040"/>
      </w:tblGrid>
      <w:tr>
        <w:trPr>
          <w:cantSplit/>
          <w:tblHeader/>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Time</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Activity</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Instructor task</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0–8 min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Orientation and group formation</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Explain outcomes, expectations, roles, and submission.</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8–25 min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Steps 1–2: the problem and a case-file roundtable</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Teams divide the items and report back. Ask whose account or concern has been overlooked.</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25–45 min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Steps 3–4: options, consequences, and arguments</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Ask for an option nobody likes, and for the best argument against the favorite.</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45–55 min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Step 5: choose and defend</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Press for objections and practical conditions.</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55–65 min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Step 6: action plan and report</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Check that plans say who does what first, and that every team can save its work.</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65–75 min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Whole-class debrief</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Compare option lists and arguments, then examine changes in judgment.</w:t>
            </w:r>
          </w:p>
        </w:tc>
      </w:tr>
    </w:tbl>
    <w:p>
      <w:pPr>
        <w:spacing w:after="0"/>
      </w:pPr>
    </w:p>
    <w:p>
      <w:pPr>
        <w:pStyle w:val="Heading2"/>
      </w:pPr>
      <w:r>
        <w:t>Small group roles</w:t>
      </w:r>
    </w:p>
    <w:p>
      <w:r>
        <w:t>For teams of three or four, divide the case file so that each member reads different items first and reports back, as at a consultation roundtable. Also assign a facilitator, an evidence recorder, an objection reviewer, and, when useful, a report editor. The facilitator keeps the group on task; the recorder distinguishes facts from interpretations; the reviewer tests the preferred recommendation. Rotate roles and item assignments across cases so that one student does not always control the interface or write the final response.</w:t>
      </w:r>
    </w:p>
    <w:p>
      <w:pPr>
        <w:pStyle w:val="Heading2"/>
      </w:pPr>
      <w:r>
        <w:t>Facilitation questions</w:t>
      </w:r>
    </w:p>
    <w:p>
      <w:pPr>
        <w:pStyle w:val="ListBullet"/>
      </w:pPr>
      <w:r>
        <w:t>What is the precise ethical question, and who has framed it that way?</w:t>
      </w:r>
    </w:p>
    <w:p>
      <w:pPr>
        <w:pStyle w:val="ListBullet"/>
      </w:pPr>
      <w:r>
        <w:t>Which stakeholder concern is hardest for your current recommendation to accommodate?</w:t>
      </w:r>
    </w:p>
    <w:p>
      <w:pPr>
        <w:pStyle w:val="ListBullet"/>
      </w:pPr>
      <w:r>
        <w:t>What fact supports that inference, and what are you assuming?</w:t>
      </w:r>
    </w:p>
    <w:p>
      <w:pPr>
        <w:pStyle w:val="ListBullet"/>
      </w:pPr>
      <w:r>
        <w:t>What would someone who disagrees say is the strongest reason for their option?</w:t>
      </w:r>
    </w:p>
    <w:p>
      <w:pPr>
        <w:pStyle w:val="ListBullet"/>
      </w:pPr>
      <w:r>
        <w:t>What did the new information add, and does it change your recommendation or only how you would carry it out?</w:t>
      </w:r>
    </w:p>
    <w:p>
      <w:pPr>
        <w:pStyle w:val="Heading2"/>
      </w:pPr>
      <w:r>
        <w:t>Debrief and alternate formats</w:t>
      </w:r>
    </w:p>
    <w:p>
      <w:r>
        <w:t>Begin the debrief with differences in reasoning rather than a vote on the preferred option. Invite teams to identify one revision and one unresolved question. Compare how the same evidence can support different judgments when students weigh concerns differently.</w:t>
      </w:r>
    </w:p>
    <w:p>
      <w:r>
        <w:t>For a shorter class, assign the first case-file reading beforehand and reserve class time for discussion and the worksheet. For asynchronous work, require an individual initial response before group discussion. Confirm that every student can access the file and retain their report. Keep a readable case transcript and response worksheet available as an alternative if the interactive file cannot run. To release new information to the whole class, split the case before step 3 or after step 5 and announce the next code. A follow-up part for step 6 can open in the next class.</w:t>
      </w:r>
    </w:p>
    <w:p>
      <w:r>
        <w:br w:type="page"/>
      </w:r>
    </w:p>
    <w:p>
      <w:pPr>
        <w:pStyle w:val="Heading1"/>
      </w:pPr>
      <w:r>
        <w:t>11 Assessment and grading</w:t>
      </w:r>
    </w:p>
    <w:p>
      <w:r>
        <w:t>Assess the quality of the consultation record against published criteria. A defensible recommendation may differ from the instructor’s view. The rubric should reward accurate interpretation, reasons tied to evidence, fair treatment of disagreement, and reflection on uncertainty.</w:t>
      </w:r>
    </w:p>
    <w:p>
      <w:pPr>
        <w:pStyle w:val="Heading2"/>
      </w:pPr>
      <w:r>
        <w:t>Suggested 100 point rubric</w:t>
      </w:r>
    </w:p>
    <w:tbl>
      <w:tblPr>
        <w:tblW w:type="auto" w:w="0"/>
        <w:jc w:val="center"/>
        <w:tblLayout w:type="fixed"/>
        <w:tblLook w:firstColumn="1" w:firstRow="1" w:lastColumn="0" w:lastRow="0" w:noHBand="0" w:noVBand="1" w:val="04A0"/>
      </w:tblPr>
      <w:tblGrid>
        <w:gridCol w:w="2232"/>
        <w:gridCol w:w="792"/>
        <w:gridCol w:w="7056"/>
      </w:tblGrid>
      <w:tr>
        <w:trPr>
          <w:cantSplit/>
          <w:tblHeader/>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Criterion</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Points</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Strong performance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1  Identifying the moral problem</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15</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States a focused moral problem and separates it from factual or procedural questions.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2  Gathering relevant information</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15</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Uses the case file accurately, represents stakeholders fairly, separates facts from assumptions, and weighs new information.</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3  Options and consequences</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15</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Identifies the feasible options, including less obvious ones, and their likely consequences.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4  Arguments for and against</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20</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Applies ethical concepts to the facts and evaluates the strongest arguments on each side.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5  Choice and defense</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20</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Chooses an actionable course, defends it, answers a serious objection, and records any dissent fairly.</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6  Action and assessment</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15</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Writes a consult note a busy clinician could act on, gives a realistic plan, and in a follow-up assesses the consequences honestly.</w:t>
            </w:r>
          </w:p>
        </w:tc>
      </w:tr>
    </w:tbl>
    <w:p>
      <w:pPr>
        <w:spacing w:after="0"/>
      </w:pPr>
    </w:p>
    <w:p>
      <w:pPr>
        <w:pStyle w:val="Heading2"/>
      </w:pPr>
      <w:r>
        <w:t>Apply a common performance scale</w:t>
      </w:r>
    </w:p>
    <w:p>
      <w:r>
        <w:t>For each criterion, award the full allocation when the work is accurate, specific, supported, and complete. Work that is mostly sound but has a substantive gap can receive roughly three quarters of the allocation. Partial or largely asserted analysis can receive roughly half. Minimal, absent, or seriously mistaken work receives little or no credit. Adapt these bands to the course’s grading rules and share them before the exercise.</w:t>
      </w:r>
    </w:p>
    <w:p>
      <w:pPr>
        <w:pStyle w:val="Heading2"/>
      </w:pPr>
      <w:r>
        <w:t>Keep the evidence observable</w:t>
      </w:r>
    </w:p>
    <w:p>
      <w:r>
        <w:t>A student who names autonomy but never connects it to a person’s expressed priorities has not yet demonstrated application. A student who changes a recommendation without explaining why has not yet demonstrated reflective revision. Conversely, retaining an initial recommendation can show strong reasoning when the student explains why the new information does not defeat the original reasons.</w:t>
      </w:r>
    </w:p>
    <w:p>
      <w:pPr>
        <w:pStyle w:val="Heading2"/>
      </w:pPr>
      <w:r>
        <w:t>Group and individual evidence</w:t>
      </w:r>
    </w:p>
    <w:p>
      <w:r>
        <w:t>Use a group consultation report for the shared analysis and a short individual reflection for each student’s learning. The reflection can ask which assumption the student reconsidered, what contribution they made, and which question remains unresolved. Set the relative weight of group and individual work before the activity.</w:t>
      </w:r>
    </w:p>
    <w:p>
      <w:pPr>
        <w:pStyle w:val="Heading2"/>
      </w:pPr>
      <w:r>
        <w:t>Calibrate grading and feedback</w:t>
      </w:r>
    </w:p>
    <w:p>
      <w:r>
        <w:t>Review a few sample responses before grading the entire class. Identify examples of strong reasoning across different conclusions, then apply the same standard to each. Feedback should name one substantive strength and one next step, such as clarifying a missing stakeholder concern or making a recommendation’s conditions explicit. Treat completion indicators as workflow information unless participation itself is an announced assessment criterion.</w:t>
      </w:r>
    </w:p>
    <w:p>
      <w:r>
        <w:br w:type="page"/>
      </w:r>
    </w:p>
    <w:p>
      <w:pPr>
        <w:pStyle w:val="Heading1"/>
      </w:pPr>
      <w:r>
        <w:t>12 Specification for a coding agent</w:t>
      </w:r>
    </w:p>
    <w:p>
      <w:r>
        <w:t>The specification below is intended for reuse. Replace the bracketed fields before giving it to a developer or coding agent. Attach the approved case content and identify any existing implementation that should control behavior or appearance.</w:t>
      </w:r>
    </w:p>
    <w:p>
      <w:pPr>
        <w:pStyle w:val="Heading2"/>
      </w:pPr>
      <w:r>
        <w:t>Copy ready development brief</w:t>
      </w:r>
    </w:p>
    <w:p>
      <w:r>
        <w:t xml:space="preserve">Build an ETHOS Bioethics Consultation Simulator for </w:t>
      </w:r>
      <w:r>
        <w:rPr>
          <w:b/>
        </w:rPr>
        <w:t>[audience]</w:t>
      </w:r>
      <w:r>
        <w:t xml:space="preserve"> using the supplied </w:t>
      </w:r>
      <w:r>
        <w:rPr>
          <w:b/>
        </w:rPr>
        <w:t>[case title and version]</w:t>
      </w:r>
      <w:r>
        <w:t xml:space="preserve">. The learning goals are </w:t>
      </w:r>
      <w:r>
        <w:rPr>
          <w:b/>
        </w:rPr>
        <w:t>[observable outcomes]</w:t>
      </w:r>
      <w:r>
        <w:t>. Students will work through a case file and worksheet and retain a final report explaining their reasoning. Use fictional case content supplied by the author; do not invent clinical facts, institutional policies, or stakeholder testimony.</w:t>
      </w:r>
    </w:p>
    <w:p>
      <w:r>
        <w:t>Organize the case around the six-step method: identify the moral problem; gather relevant information; identify the options and their likely consequences; evaluate arguments for and against; choose a course of action and defend it; carry it out and assess its consequences. Step 2 is a case file of numbered items (records and documents, people involved, plain-language medical background, and policies, codes and law) that students open in any order. The other steps are worksheet sections students answer in any order. Students list their own options, add arguments for each, choose from their own list, record the committee vote with any minority view, and write a consult note for the requesting clinician. Provide a visible Open the case file button on the opening screen, a navigation column listing the six steps with their status, clear instructions, and a named next action on every page.</w:t>
      </w:r>
    </w:p>
    <w:p>
      <w:r>
        <w:t>Implement interview questions for people, the planned releases of new information, and the approved decision prompts. Require written reasons where specified. Preserve earlier and later responses separately. Let students move between areas without losing answers. List missing required answers on the report page with a link to each, and keep the student’s work.</w:t>
      </w:r>
    </w:p>
    <w:p>
      <w:r>
        <w:t xml:space="preserve">Separate case data, student state, rendering, navigation, validation, and report generation. Use stable identifiers and record the case and schema versions. The distribution target is </w:t>
      </w:r>
      <w:r>
        <w:rPr>
          <w:b/>
        </w:rPr>
        <w:t>[single HTML file or approved package]</w:t>
      </w:r>
      <w:r>
        <w:t xml:space="preserve">. The offline requirement is </w:t>
      </w:r>
      <w:r>
        <w:rPr>
          <w:b/>
        </w:rPr>
        <w:t>[required or not required]</w:t>
      </w:r>
      <w:r>
        <w:t xml:space="preserve">. Persistence behavior is </w:t>
      </w:r>
      <w:r>
        <w:rPr>
          <w:b/>
        </w:rPr>
        <w:t>[none, local saving, or another defined method]</w:t>
      </w:r>
      <w:r>
        <w:t>. Explain the chosen behavior accurately in the interface.</w:t>
      </w:r>
    </w:p>
    <w:p>
      <w:r>
        <w:t xml:space="preserve">Use </w:t>
      </w:r>
      <w:r>
        <w:rPr>
          <w:b/>
        </w:rPr>
        <w:t>[approved theme or reference]</w:t>
      </w:r>
      <w:r>
        <w:t xml:space="preserve"> for typography, color, spacing, and components. Keep text readable, controls visible, and layout usable on narrow screens. Use semantic controls and headings, persistent labels, keyboard access, visible focus, and meaningful focus placement after moving between pages. Do not encode required meaning through color alone.</w:t>
      </w:r>
    </w:p>
    <w:p>
      <w:r>
        <w:t xml:space="preserve">Generate a reviewable consultation report organized by the six steps: the moral problem and initial view, case-file notes, each option with its consequences and arguments, the choice with its defense and objection, and the action plan with any assessment. The required export format is </w:t>
      </w:r>
      <w:r>
        <w:rPr>
          <w:b/>
        </w:rPr>
        <w:t>[format]</w:t>
      </w:r>
      <w:r>
        <w:t>. Export saved responses faithfully and handle long text and punctuation safely.</w:t>
      </w:r>
    </w:p>
    <w:p>
      <w:pPr>
        <w:pStyle w:val="Heading2"/>
      </w:pPr>
      <w:r>
        <w:t>Acceptance and handoff requirements</w:t>
      </w:r>
    </w:p>
    <w:p>
      <w:r>
        <w:t>Deliver the working files, a concise feature inventory, instructor launch instructions, and a record of completed checks. Demonstrate a full run through the case file and worksheet, free movement between areas, missing-field recovery, a narrow-screen run, keyboard completion, and a successful report export. Verify reload behavior if persistence is included. Identify remaining defects or unimplemented features explicitly.</w:t>
      </w:r>
    </w:p>
    <w:p>
      <w:r>
        <w:t xml:space="preserve">Exclude accounts, dashboards, analytics, automated moral scoring, external services, and course-platform integration unless listed in </w:t>
      </w:r>
      <w:r>
        <w:rPr>
          <w:b/>
        </w:rPr>
        <w:t>[approved extensions]</w:t>
      </w:r>
      <w:r>
        <w:t>. Ask for author review when missing case content would affect the ethical meaning. Make the initial working case complete before expanding the engine.</w:t>
      </w:r>
    </w:p>
    <w:p>
      <w:r>
        <w:br w:type="page"/>
      </w:r>
    </w:p>
    <w:p>
      <w:pPr>
        <w:pStyle w:val="Heading1"/>
      </w:pPr>
      <w:r>
        <w:t>13 Reusable authoring templates</w:t>
      </w:r>
    </w:p>
    <w:p>
      <w:pPr>
        <w:spacing w:line="240" w:lineRule="auto" w:after="80"/>
      </w:pPr>
      <w:r>
        <w:rPr>
          <w:sz w:val="20"/>
        </w:rPr>
        <w:t>Complete these templates before implementation. Keep the approved content, response identifiers, and design decisions together so that later revisions can be traced to a clear teaching purpose.</w:t>
      </w:r>
    </w:p>
    <w:p>
      <w:pPr>
        <w:pStyle w:val="Heading2"/>
        <w:spacing w:line="240" w:lineRule="auto" w:after="80" w:before="120"/>
      </w:pPr>
      <w:r>
        <w:t>Case brief</w:t>
      </w:r>
    </w:p>
    <w:p>
      <w:pPr>
        <w:spacing w:line="240" w:lineRule="auto" w:after="80"/>
      </w:pPr>
      <w:r>
        <w:rPr>
          <w:sz w:val="20"/>
        </w:rPr>
      </w:r>
      <w:r>
        <w:rPr>
          <w:b/>
          <w:sz w:val="20"/>
        </w:rPr>
        <w:t>Case ID and version:</w:t>
      </w:r>
      <w:r>
        <w:rPr>
          <w:sz w:val="20"/>
        </w:rPr>
        <w:t xml:space="preserve"> [ ]   </w:t>
      </w:r>
      <w:r>
        <w:rPr>
          <w:b/>
          <w:sz w:val="20"/>
        </w:rPr>
        <w:t>Title:</w:t>
      </w:r>
      <w:r>
        <w:rPr>
          <w:sz w:val="20"/>
        </w:rPr>
        <w:t xml:space="preserve"> [ ]</w:t>
        <w:br/>
      </w:r>
      <w:r>
        <w:rPr>
          <w:b/>
          <w:sz w:val="20"/>
        </w:rPr>
        <w:t>Audience and prerequisites:</w:t>
      </w:r>
      <w:r>
        <w:rPr>
          <w:sz w:val="20"/>
        </w:rPr>
        <w:t xml:space="preserve"> [ ]</w:t>
        <w:br/>
      </w:r>
      <w:r>
        <w:rPr>
          <w:b/>
          <w:sz w:val="20"/>
        </w:rPr>
        <w:t>Class time and group format:</w:t>
      </w:r>
      <w:r>
        <w:rPr>
          <w:sz w:val="20"/>
        </w:rPr>
        <w:t xml:space="preserve"> [ ]</w:t>
        <w:br/>
      </w:r>
      <w:r>
        <w:rPr>
          <w:b/>
          <w:sz w:val="20"/>
        </w:rPr>
        <w:t>Learning outcomes:</w:t>
      </w:r>
      <w:r>
        <w:rPr>
          <w:sz w:val="20"/>
        </w:rPr>
        <w:t xml:space="preserve"> [two or three observable outcomes]</w:t>
        <w:br/>
      </w:r>
      <w:r>
        <w:rPr>
          <w:b/>
          <w:sz w:val="20"/>
        </w:rPr>
        <w:t>Central ethical question:</w:t>
      </w:r>
      <w:r>
        <w:rPr>
          <w:sz w:val="20"/>
        </w:rPr>
        <w:t xml:space="preserve"> [ ]</w:t>
        <w:br/>
      </w:r>
      <w:r>
        <w:rPr>
          <w:b/>
          <w:sz w:val="20"/>
        </w:rPr>
        <w:t>Consultation request and setting:</w:t>
      </w:r>
      <w:r>
        <w:rPr>
          <w:sz w:val="20"/>
        </w:rPr>
        <w:t xml:space="preserve"> [ ]</w:t>
        <w:br/>
      </w:r>
      <w:r>
        <w:rPr>
          <w:b/>
          <w:sz w:val="20"/>
        </w:rPr>
        <w:t>Final student product and assessment:</w:t>
      </w:r>
      <w:r>
        <w:rPr>
          <w:sz w:val="20"/>
        </w:rPr>
        <w:t xml:space="preserve"> [ ]</w:t>
        <w:br/>
      </w:r>
      <w:r>
        <w:rPr>
          <w:b/>
          <w:sz w:val="20"/>
        </w:rPr>
        <w:t>Sensitive content description and participation alternative:</w:t>
      </w:r>
      <w:r>
        <w:rPr>
          <w:sz w:val="20"/>
        </w:rPr>
        <w:t xml:space="preserve"> [if relevant]</w:t>
      </w:r>
    </w:p>
    <w:p>
      <w:pPr>
        <w:pStyle w:val="Heading2"/>
        <w:spacing w:line="240" w:lineRule="auto" w:after="80" w:before="120"/>
      </w:pPr>
      <w:r>
        <w:t>Worksheet section record</w:t>
      </w:r>
    </w:p>
    <w:p>
      <w:pPr>
        <w:spacing w:line="240" w:lineRule="auto" w:after="80"/>
      </w:pPr>
      <w:r>
        <w:rPr>
          <w:sz w:val="20"/>
        </w:rPr>
        <w:t>Repeat this record for steps 1, 3, 4, 5, and 6.</w:t>
        <w:br/>
      </w:r>
      <w:r>
        <w:rPr>
          <w:b/>
          <w:sz w:val="20"/>
        </w:rPr>
        <w:t>Section ID and title:</w:t>
      </w:r>
      <w:r>
        <w:rPr>
          <w:sz w:val="20"/>
        </w:rPr>
        <w:t xml:space="preserve"> [ ]</w:t>
        <w:br/>
      </w:r>
      <w:r>
        <w:rPr>
          <w:b/>
          <w:sz w:val="20"/>
        </w:rPr>
        <w:t>Purpose:</w:t>
      </w:r>
      <w:r>
        <w:rPr>
          <w:sz w:val="20"/>
        </w:rPr>
        <w:t xml:space="preserve"> [what the student should learn or do]</w:t>
        <w:br/>
      </w:r>
      <w:r>
        <w:rPr>
          <w:b/>
          <w:sz w:val="20"/>
        </w:rPr>
        <w:t>Case-file items it draws on:</w:t>
      </w:r>
      <w:r>
        <w:rPr>
          <w:sz w:val="20"/>
        </w:rPr>
        <w:t xml:space="preserve"> [ ]</w:t>
        <w:br/>
      </w:r>
      <w:r>
        <w:rPr>
          <w:b/>
          <w:sz w:val="20"/>
        </w:rPr>
        <w:t>Prompt IDs and response types:</w:t>
      </w:r>
      <w:r>
        <w:rPr>
          <w:sz w:val="20"/>
        </w:rPr>
        <w:t xml:space="preserve"> [ ]</w:t>
        <w:br/>
      </w:r>
      <w:r>
        <w:rPr>
          <w:b/>
          <w:sz w:val="20"/>
        </w:rPr>
        <w:t>Required answers:</w:t>
      </w:r>
      <w:r>
        <w:rPr>
          <w:sz w:val="20"/>
        </w:rPr>
        <w:t xml:space="preserve"> [ ]</w:t>
        <w:br/>
      </w:r>
      <w:r>
        <w:rPr>
          <w:b/>
          <w:sz w:val="20"/>
        </w:rPr>
        <w:t>What is saved for the report:</w:t>
      </w:r>
      <w:r>
        <w:rPr>
          <w:sz w:val="20"/>
        </w:rPr>
        <w:t xml:space="preserve"> [ ]</w:t>
        <w:br/>
      </w:r>
      <w:r>
        <w:rPr>
          <w:b/>
          <w:sz w:val="20"/>
        </w:rPr>
        <w:t>Instructor debrief note:</w:t>
      </w:r>
      <w:r>
        <w:rPr>
          <w:sz w:val="20"/>
        </w:rPr>
        <w:t xml:space="preserve"> [ ]</w:t>
      </w:r>
    </w:p>
    <w:p>
      <w:pPr>
        <w:pStyle w:val="Heading2"/>
        <w:spacing w:line="240" w:lineRule="auto" w:after="80" w:before="120"/>
      </w:pPr>
      <w:r>
        <w:t>Case-file item records</w:t>
      </w:r>
    </w:p>
    <w:p>
      <w:pPr>
        <w:spacing w:line="240" w:lineRule="auto" w:after="80"/>
      </w:pPr>
      <w:r>
        <w:rPr>
          <w:sz w:val="20"/>
        </w:rPr>
      </w:r>
      <w:r>
        <w:rPr>
          <w:b/>
          <w:sz w:val="20"/>
        </w:rPr>
        <w:t>Stakeholder ID, name, and role:</w:t>
      </w:r>
      <w:r>
        <w:rPr>
          <w:sz w:val="20"/>
        </w:rPr>
        <w:t xml:space="preserve"> [ ]</w:t>
        <w:br/>
      </w:r>
      <w:r>
        <w:rPr>
          <w:b/>
          <w:sz w:val="20"/>
        </w:rPr>
        <w:t>Stated concern and relevant values:</w:t>
      </w:r>
      <w:r>
        <w:rPr>
          <w:sz w:val="20"/>
        </w:rPr>
        <w:t xml:space="preserve"> [ ]</w:t>
        <w:br/>
      </w:r>
      <w:r>
        <w:rPr>
          <w:b/>
          <w:sz w:val="20"/>
        </w:rPr>
        <w:t>Questions and approved answers:</w:t>
      </w:r>
      <w:r>
        <w:rPr>
          <w:sz w:val="20"/>
        </w:rPr>
        <w:t xml:space="preserve"> [ ]</w:t>
        <w:br/>
      </w:r>
      <w:r>
        <w:rPr>
          <w:b/>
          <w:sz w:val="20"/>
        </w:rPr>
        <w:t>What this person knows and what remains uncertain:</w:t>
      </w:r>
      <w:r>
        <w:rPr>
          <w:sz w:val="20"/>
        </w:rPr>
        <w:t xml:space="preserve"> [ ]</w:t>
        <w:br/>
      </w:r>
      <w:r>
        <w:rPr>
          <w:b/>
          <w:sz w:val="20"/>
        </w:rPr>
        <w:t>Distinct contribution to the case:</w:t>
      </w:r>
      <w:r>
        <w:rPr>
          <w:sz w:val="20"/>
        </w:rPr>
        <w:t xml:space="preserve"> [ ]</w:t>
      </w:r>
    </w:p>
    <w:p>
      <w:pPr>
        <w:spacing w:line="240" w:lineRule="auto" w:after="80"/>
      </w:pPr>
      <w:r>
        <w:rPr>
          <w:b/>
          <w:sz w:val="20"/>
        </w:rPr>
        <w:t>Item ID, kind, and release:</w:t>
      </w:r>
      <w:r>
        <w:rPr>
          <w:sz w:val="20"/>
        </w:rPr>
        <w:t xml:space="preserve"> [ ] (Part 1, or a later coded part)</w:t>
        <w:br/>
      </w:r>
      <w:r>
        <w:rPr>
          <w:b/>
          <w:sz w:val="20"/>
        </w:rPr>
        <w:t>Content and fictional source:</w:t>
      </w:r>
      <w:r>
        <w:rPr>
          <w:sz w:val="20"/>
        </w:rPr>
        <w:t xml:space="preserve"> [ ]</w:t>
        <w:br/>
      </w:r>
      <w:r>
        <w:rPr>
          <w:b/>
          <w:sz w:val="20"/>
        </w:rPr>
        <w:t>What it adds to the case:</w:t>
      </w:r>
      <w:r>
        <w:rPr>
          <w:sz w:val="20"/>
        </w:rPr>
        <w:t xml:space="preserve"> [ ]</w:t>
        <w:br/>
      </w:r>
      <w:r>
        <w:rPr>
          <w:b/>
          <w:sz w:val="20"/>
        </w:rPr>
        <w:t>Student prompt and saved response IDs:</w:t>
      </w:r>
      <w:r>
        <w:rPr>
          <w:sz w:val="20"/>
        </w:rPr>
        <w:t xml:space="preserve"> [ ]</w:t>
        <w:br/>
      </w:r>
      <w:r>
        <w:rPr>
          <w:b/>
          <w:sz w:val="20"/>
        </w:rPr>
        <w:t>Limits and debrief points:</w:t>
      </w:r>
      <w:r>
        <w:rPr>
          <w:sz w:val="20"/>
        </w:rPr>
        <w:t xml:space="preserve"> [ ]</w:t>
      </w:r>
    </w:p>
    <w:p>
      <w:pPr>
        <w:spacing w:line="240" w:lineRule="auto" w:after="80"/>
      </w:pPr>
      <w:r>
        <w:rPr>
          <w:b/>
          <w:sz w:val="20"/>
        </w:rPr>
        <w:t>Medical background ID and condition:</w:t>
      </w:r>
      <w:r>
        <w:rPr>
          <w:sz w:val="20"/>
        </w:rPr>
        <w:t xml:space="preserve"> [ ]</w:t>
        <w:br/>
      </w:r>
      <w:r>
        <w:rPr>
          <w:b/>
          <w:sz w:val="20"/>
        </w:rPr>
        <w:t>Plain-language sections:</w:t>
      </w:r>
      <w:r>
        <w:rPr>
          <w:sz w:val="20"/>
        </w:rPr>
        <w:t xml:space="preserve"> [what it is; day to day; what treatment can and can’t do; course over time; common misunderstandings]</w:t>
        <w:br/>
      </w:r>
      <w:r>
        <w:rPr>
          <w:b/>
          <w:sz w:val="20"/>
        </w:rPr>
        <w:t>Facts the case depends on:</w:t>
      </w:r>
      <w:r>
        <w:rPr>
          <w:sz w:val="20"/>
        </w:rPr>
        <w:t xml:space="preserve"> [ ]</w:t>
        <w:br/>
      </w:r>
      <w:r>
        <w:rPr>
          <w:b/>
          <w:sz w:val="20"/>
        </w:rPr>
        <w:t>Clinical reviewer and date:</w:t>
      </w:r>
      <w:r>
        <w:rPr>
          <w:sz w:val="20"/>
        </w:rPr>
        <w:t xml:space="preserve"> [ ]</w:t>
      </w:r>
    </w:p>
    <w:p>
      <w:pPr>
        <w:pStyle w:val="Heading2"/>
        <w:spacing w:line="240" w:lineRule="auto" w:after="80" w:before="120"/>
      </w:pPr>
      <w:r>
        <w:t>Options and decision record</w:t>
      </w:r>
    </w:p>
    <w:p>
      <w:pPr>
        <w:spacing w:line="240" w:lineRule="auto" w:after="80"/>
      </w:pPr>
      <w:r>
        <w:rPr>
          <w:b/>
          <w:sz w:val="20"/>
        </w:rPr>
        <w:t>Options students should be able to find:</w:t>
      </w:r>
      <w:r>
        <w:rPr>
          <w:sz w:val="20"/>
        </w:rPr>
        <w:t xml:space="preserve"> [ ]</w:t>
        <w:br/>
      </w:r>
      <w:r>
        <w:rPr>
          <w:b/>
          <w:sz w:val="20"/>
        </w:rPr>
        <w:t>Your own option set and its perspectives:</w:t>
      </w:r>
      <w:r>
        <w:rPr>
          <w:sz w:val="20"/>
        </w:rPr>
        <w:t xml:space="preserve"> [shown after students choose]</w:t>
        <w:br/>
      </w:r>
      <w:r>
        <w:rPr>
          <w:b/>
          <w:sz w:val="20"/>
        </w:rPr>
        <w:t>Defense and objection prompts:</w:t>
      </w:r>
      <w:r>
        <w:rPr>
          <w:sz w:val="20"/>
        </w:rPr>
        <w:t xml:space="preserve"> [ ]</w:t>
        <w:br/>
      </w:r>
      <w:r>
        <w:rPr>
          <w:b/>
          <w:sz w:val="20"/>
        </w:rPr>
        <w:t>Action plan, vote, and note:</w:t>
      </w:r>
      <w:r>
        <w:rPr>
          <w:sz w:val="20"/>
        </w:rPr>
        <w:t xml:space="preserve"> [plan prompts; dissent block; consult note addressed to whom]</w:t>
        <w:br/>
      </w:r>
      <w:r>
        <w:rPr>
          <w:b/>
          <w:sz w:val="20"/>
        </w:rPr>
        <w:t>Follow-up part, if any:</w:t>
      </w:r>
      <w:r>
        <w:rPr>
          <w:sz w:val="20"/>
        </w:rPr>
        <w:t xml:space="preserve"> [what happened next, when it is released, and the assessment prompt]</w:t>
        <w:br/>
      </w:r>
      <w:r>
        <w:rPr>
          <w:b/>
          <w:sz w:val="20"/>
        </w:rPr>
        <w:t>Report mapping:</w:t>
      </w:r>
      <w:r>
        <w:rPr>
          <w:sz w:val="20"/>
        </w:rPr>
        <w:t xml:space="preserve"> [section, prompt IDs, and option lists]</w:t>
      </w:r>
    </w:p>
    <w:p>
      <w:pPr>
        <w:pStyle w:val="Heading2"/>
        <w:spacing w:line="240" w:lineRule="auto" w:after="80" w:before="120"/>
      </w:pPr>
      <w:r>
        <w:t>Iteration record</w:t>
      </w:r>
    </w:p>
    <w:p>
      <w:pPr>
        <w:spacing w:line="240" w:lineRule="auto" w:after="80"/>
      </w:pPr>
      <w:r>
        <w:rPr>
          <w:sz w:val="20"/>
        </w:rPr>
      </w:r>
      <w:r>
        <w:rPr>
          <w:b/>
          <w:sz w:val="20"/>
        </w:rPr>
        <w:t>Version and date:</w:t>
      </w:r>
      <w:r>
        <w:rPr>
          <w:sz w:val="20"/>
        </w:rPr>
        <w:t xml:space="preserve"> [ ]   </w:t>
      </w:r>
      <w:r>
        <w:rPr>
          <w:b/>
          <w:sz w:val="20"/>
        </w:rPr>
        <w:t>Owner:</w:t>
      </w:r>
      <w:r>
        <w:rPr>
          <w:sz w:val="20"/>
        </w:rPr>
        <w:t xml:space="preserve"> [ ]</w:t>
        <w:br/>
      </w:r>
      <w:r>
        <w:rPr>
          <w:b/>
          <w:sz w:val="20"/>
        </w:rPr>
        <w:t>Observed problem:</w:t>
      </w:r>
      <w:r>
        <w:rPr>
          <w:sz w:val="20"/>
        </w:rPr>
        <w:t xml:space="preserve"> [behavior or student evidence]</w:t>
        <w:br/>
      </w:r>
      <w:r>
        <w:rPr>
          <w:b/>
          <w:sz w:val="20"/>
        </w:rPr>
        <w:t>Proposed change and expected effect:</w:t>
      </w:r>
      <w:r>
        <w:rPr>
          <w:sz w:val="20"/>
        </w:rPr>
        <w:t xml:space="preserve"> [ ]</w:t>
        <w:br/>
      </w:r>
      <w:r>
        <w:rPr>
          <w:b/>
          <w:sz w:val="20"/>
        </w:rPr>
        <w:t>Elements kept constant:</w:t>
      </w:r>
      <w:r>
        <w:rPr>
          <w:sz w:val="20"/>
        </w:rPr>
        <w:t xml:space="preserve"> [ ]</w:t>
        <w:br/>
      </w:r>
      <w:r>
        <w:rPr>
          <w:b/>
          <w:sz w:val="20"/>
        </w:rPr>
        <w:t>Checks and classroom observations:</w:t>
      </w:r>
      <w:r>
        <w:rPr>
          <w:sz w:val="20"/>
        </w:rPr>
        <w:t xml:space="preserve"> [ ]</w:t>
        <w:br/>
      </w:r>
      <w:r>
        <w:rPr>
          <w:b/>
          <w:sz w:val="20"/>
        </w:rPr>
        <w:t>Decision:</w:t>
      </w:r>
      <w:r>
        <w:rPr>
          <w:sz w:val="20"/>
        </w:rPr>
        <w:t xml:space="preserve"> [retain, revise, or revert]</w:t>
        <w:br/>
      </w:r>
      <w:r>
        <w:rPr>
          <w:b/>
          <w:sz w:val="20"/>
        </w:rPr>
        <w:t>Reason and next question:</w:t>
      </w:r>
      <w:r>
        <w:rPr>
          <w:sz w:val="20"/>
        </w:rPr>
        <w:t xml:space="preserve"> [ ]</w:t>
      </w:r>
    </w:p>
    <w:p>
      <w:r>
        <w:br w:type="page"/>
      </w:r>
    </w:p>
    <w:p>
      <w:pPr>
        <w:pStyle w:val="Heading1"/>
      </w:pPr>
      <w:r>
        <w:t>14 Iteration testing and release checklist</w:t>
      </w:r>
    </w:p>
    <w:p>
      <w:r>
        <w:t>Improve ETHOS in small, reviewable increments. Connect each change to an observed problem or a teaching goal, then check whether it improves the experience. Keep the approved case text and a working version available so that a visual or technical experiment can be reversed.</w:t>
      </w:r>
    </w:p>
    <w:p>
      <w:pPr>
        <w:pStyle w:val="Heading2"/>
      </w:pPr>
      <w:r>
        <w:t>A repeatable iteration cycle</w:t>
      </w:r>
    </w:p>
    <w:p>
      <w:pPr>
        <w:pStyle w:val="ListNumber"/>
        <w:numPr>
          <w:ilvl w:val="0"/>
          <w:numId w:val="11"/>
        </w:numPr>
      </w:pPr>
      <w:r>
        <w:t>Observe a specific difficulty, such as students missing the start action or overlooking a case-file item.</w:t>
      </w:r>
    </w:p>
    <w:p>
      <w:pPr>
        <w:pStyle w:val="ListNumber"/>
        <w:numPr>
          <w:ilvl w:val="0"/>
          <w:numId w:val="11"/>
        </w:numPr>
      </w:pPr>
      <w:r>
        <w:t>Choose one change and state the expected effect. Identify what will remain constant for the comparison.</w:t>
      </w:r>
    </w:p>
    <w:p>
      <w:pPr>
        <w:pStyle w:val="ListNumber"/>
        <w:numPr>
          <w:ilvl w:val="0"/>
          <w:numId w:val="11"/>
        </w:numPr>
      </w:pPr>
      <w:r>
        <w:t>Build the change in a separate copy and run the relevant checks below.</w:t>
      </w:r>
    </w:p>
    <w:p>
      <w:pPr>
        <w:pStyle w:val="ListNumber"/>
        <w:numPr>
          <w:ilvl w:val="0"/>
          <w:numId w:val="11"/>
        </w:numPr>
      </w:pPr>
      <w:r>
        <w:t>Observe a small classroom or colleague trial. Record what participants actually do and produce.</w:t>
      </w:r>
    </w:p>
    <w:p>
      <w:pPr>
        <w:pStyle w:val="ListNumber"/>
        <w:numPr>
          <w:ilvl w:val="0"/>
          <w:numId w:val="11"/>
        </w:numPr>
      </w:pPr>
      <w:r>
        <w:t>Retain, revise, or revert the change. Update the case version and short change log before distribution.</w:t>
      </w:r>
    </w:p>
    <w:p>
      <w:pPr>
        <w:pStyle w:val="Heading2"/>
      </w:pPr>
      <w:r>
        <w:t>Required functional checks</w:t>
      </w:r>
    </w:p>
    <w:p>
      <w:pPr>
        <w:pStyle w:val="ListBullet"/>
      </w:pPr>
      <w:r>
        <w:t>The opening screen exposes Open the case file, every case-file item opens, and every worksheet section can be completed in any order.</w:t>
      </w:r>
    </w:p>
    <w:p>
      <w:pPr>
        <w:pStyle w:val="ListBullet"/>
      </w:pPr>
      <w:r>
        <w:t>Required prompts validate correctly; missing responses do not erase existing work.</w:t>
      </w:r>
    </w:p>
    <w:p>
      <w:pPr>
        <w:pStyle w:val="ListBullet"/>
      </w:pPr>
      <w:r>
        <w:t>Each item appears in the intended release, later releases are marked New, and moving between areas preserves answers.</w:t>
      </w:r>
    </w:p>
    <w:p>
      <w:pPr>
        <w:pStyle w:val="ListBullet"/>
      </w:pPr>
      <w:r>
        <w:t>Students can add, rename, and remove options; step 4 shows each named option; the choice in step 5 comes from their own list; and the case’s own options appear only after they choose; the committee vote and consult note appear in the report.</w:t>
      </w:r>
    </w:p>
    <w:p>
      <w:pPr>
        <w:pStyle w:val="ListBullet"/>
      </w:pPr>
      <w:r>
        <w:t xml:space="preserve">If a case is split into coded parts, no part contains content from a later part, and the chosen way of carrying reasoning forward works.</w:t>
      </w:r>
    </w:p>
    <w:p>
      <w:pPr>
        <w:pStyle w:val="ListBullet"/>
      </w:pPr>
      <w:r>
        <w:t>Earlier and later responses remain distinguishable in the final report.</w:t>
      </w:r>
    </w:p>
    <w:p>
      <w:pPr>
        <w:pStyle w:val="ListBullet"/>
      </w:pPr>
      <w:r>
        <w:t>The report opens successfully and contains the entered text, including long responses and punctuation.</w:t>
      </w:r>
    </w:p>
    <w:p>
      <w:pPr>
        <w:pStyle w:val="ListBullet"/>
      </w:pPr>
      <w:r>
        <w:t>Reload, reset, and offline behavior match the published instructions wherever those behaviors are promised.</w:t>
      </w:r>
    </w:p>
    <w:p>
      <w:pPr>
        <w:pStyle w:val="Heading2"/>
      </w:pPr>
      <w:r>
        <w:t>Required instructional and usability checks</w:t>
      </w:r>
    </w:p>
    <w:p>
      <w:pPr>
        <w:pStyle w:val="ListBullet"/>
      </w:pPr>
      <w:r>
        <w:t>Every required interaction contributes to an outcome or a necessary consultation step.</w:t>
      </w:r>
    </w:p>
    <w:p>
      <w:pPr>
        <w:pStyle w:val="ListBullet"/>
      </w:pPr>
      <w:r>
        <w:t>Options have defensible reasons; new information is worth weighing and the prompt accepts a reasoned decision not to change; feedback avoids an unsupported single moral answer.</w:t>
      </w:r>
    </w:p>
    <w:p>
      <w:pPr>
        <w:pStyle w:val="ListBullet"/>
      </w:pPr>
      <w:r>
        <w:t>Each medical background item is in plain language and has been checked by a clinician.</w:t>
      </w:r>
    </w:p>
    <w:p>
      <w:pPr>
        <w:pStyle w:val="ListBullet"/>
      </w:pPr>
      <w:r>
        <w:t>Keyboard use, focus order, labels, expanded panels, narrow screens, zoom, and text readability work throughout the case.</w:t>
      </w:r>
    </w:p>
    <w:p>
      <w:pPr>
        <w:pStyle w:val="ListBullet"/>
      </w:pPr>
      <w:r>
        <w:t>The instructor can launch the distributed copy, explain the task, and collect the final product using the stated method.</w:t>
      </w:r>
    </w:p>
    <w:p>
      <w:pPr>
        <w:pStyle w:val="Heading2"/>
      </w:pPr>
      <w:r>
        <w:t>Release record and future extensions</w:t>
      </w:r>
    </w:p>
    <w:p>
      <w:r>
        <w:t>Before release, record the case and engine versions, distribution filename, supported environment, date checked, known limitations, and location of the retained working copy. Keep instructor instructions aligned with the tested version. Use a descriptive filename and verify the actual distributed file, rather than only the development copy.</w:t>
      </w:r>
    </w:p>
    <w:p>
      <w:r>
        <w:t>Consider a multi-case library, richer branching, saved progress, or instructor tools after the consultation sequence and report work reliably. Evaluate each extension against the learning goals and classroom workload. Keep the central requirement intact: students must be able to show how evidence, stakeholder concerns, and ethical reasons support their recommendation.</w:t>
      </w:r>
    </w:p>
    <w:sectPr w:rsidR="00FC693F" w:rsidRPr="0006063C" w:rsidSect="00034616">
      <w:headerReference w:type="default" r:id="rId9"/>
      <w:footerReference w:type="default" r:id="rId10"/>
      <w:pgSz w:w="12240" w:h="15840"/>
      <w:pgMar w:top="936" w:right="1080" w:bottom="936" w:left="1080"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ETHOS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ETHOS  |  DESIGN AND ITERATION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20" w:after="6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Calibri" w:hAnsi="Calibri"/>
      <w:b/>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Calibri" w:hAnsi="Calibri"/>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2" w:lineRule="auto" w:after="100"/>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2" w:lineRule="auto" w:after="100"/>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ETHOS — Bioethics Simulator Design &amp; Iteration Manual</dc:title>
  <dc:subject>Designing and iterating a six-stage bioethics consultation simulator</dc:subject>
  <dc:creator/>
  <cp:keywords>ETHOS, bioethics, consultation, teaching, simulator, design manual</cp:keywords>
  <dc:description/>
  <cp:lastModifiedBy/>
  <cp:revision>1</cp:revision>
  <dcterms:created xsi:type="dcterms:W3CDTF">2013-12-23T23:15:00Z</dcterms:created>
  <dcterms:modified xsi:type="dcterms:W3CDTF">2013-12-23T23:15:00Z</dcterms:modified>
  <cp:category/>
</cp:coreProperties>
</file>