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5C04" w14:textId="2F1B89D5" w:rsidR="00271B56" w:rsidRDefault="00271B56" w:rsidP="00271B56">
      <w:r>
        <w:t>Proposition 2 shows that a market-neutral BAB portfolio</w:t>
      </w:r>
      <w:r>
        <w:t xml:space="preserve"> </w:t>
      </w:r>
      <w:r>
        <w:t>that is long leveraged low-beta securities and short higher-</w:t>
      </w:r>
      <w:r>
        <w:t xml:space="preserve"> </w:t>
      </w:r>
      <w:r>
        <w:t xml:space="preserve">beta securities </w:t>
      </w:r>
      <w:proofErr w:type="gramStart"/>
      <w:r>
        <w:t>earns</w:t>
      </w:r>
      <w:proofErr w:type="gramEnd"/>
      <w:r>
        <w:t xml:space="preserve"> a positive expected return on average.</w:t>
      </w:r>
      <w:r>
        <w:t xml:space="preserve"> </w:t>
      </w:r>
      <w:r>
        <w:t>The size of the expected return depends on the spread in</w:t>
      </w:r>
      <w:r>
        <w:t xml:space="preserve"> </w:t>
      </w:r>
      <w:r>
        <w:t>the betas and how binding the portfolio constraints are in</w:t>
      </w:r>
      <w:r>
        <w:t xml:space="preserve"> </w:t>
      </w:r>
      <w:r>
        <w:t>the market, as captured by the average of the Lagrange</w:t>
      </w:r>
      <w:r>
        <w:t xml:space="preserve"> </w:t>
      </w:r>
      <w:r>
        <w:t xml:space="preserve">multipliers </w:t>
      </w:r>
      <w:proofErr w:type="spellStart"/>
      <w:r>
        <w:t>ψt</w:t>
      </w:r>
      <w:proofErr w:type="spellEnd"/>
      <w:r>
        <w:t>.</w:t>
      </w:r>
    </w:p>
    <w:p w14:paraId="1792940F" w14:textId="43B19E99" w:rsidR="00271B56" w:rsidRDefault="00271B56">
      <w:r>
        <w:tab/>
        <w:t xml:space="preserve">The betting against beta factors have a positive average return and that the return is increasing in the </w:t>
      </w:r>
      <w:proofErr w:type="spellStart"/>
      <w:proofErr w:type="gramStart"/>
      <w:r>
        <w:t>ex ante</w:t>
      </w:r>
      <w:proofErr w:type="spellEnd"/>
      <w:proofErr w:type="gramEnd"/>
      <w:r>
        <w:t xml:space="preserve"> tightness of constraints and in the spread in betas between high and low beta securities</w:t>
      </w:r>
    </w:p>
    <w:p w14:paraId="70BB9A2A" w14:textId="77777777" w:rsidR="00271B56" w:rsidRDefault="00271B56"/>
    <w:p w14:paraId="33ABDE61" w14:textId="277138BB" w:rsidR="00271B56" w:rsidRDefault="00271B56" w:rsidP="00271B56">
      <w:pPr>
        <w:pStyle w:val="ListParagraph"/>
        <w:numPr>
          <w:ilvl w:val="0"/>
          <w:numId w:val="1"/>
        </w:numPr>
      </w:pPr>
      <w:r>
        <w:rPr>
          <w:rStyle w:val="citation-305"/>
        </w:rPr>
        <w:t>Testing Proposition 2 of the "Betting Against Beta" (BAB) paper requires constructing a self-financing, market-neutral factor that is long leveraged low-beta equities and short de-leveraged high-beta equities</w:t>
      </w:r>
      <w:r>
        <w:t>.</w:t>
      </w:r>
    </w:p>
    <w:p w14:paraId="43A60714" w14:textId="77777777" w:rsidR="00271B56" w:rsidRDefault="00271B56" w:rsidP="00271B56">
      <w:pPr>
        <w:pStyle w:val="ListParagraph"/>
        <w:numPr>
          <w:ilvl w:val="0"/>
          <w:numId w:val="1"/>
        </w:numPr>
      </w:pPr>
    </w:p>
    <w:sectPr w:rsidR="00271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2462"/>
    <w:multiLevelType w:val="hybridMultilevel"/>
    <w:tmpl w:val="EBB086E2"/>
    <w:lvl w:ilvl="0" w:tplc="26389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0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F5"/>
    <w:rsid w:val="001308F5"/>
    <w:rsid w:val="00271B56"/>
    <w:rsid w:val="00B01BE4"/>
    <w:rsid w:val="00FD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8A4B0"/>
  <w15:chartTrackingRefBased/>
  <w15:docId w15:val="{F8B2BBFC-B814-C747-9DE2-36AF10EA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F5"/>
    <w:rPr>
      <w:b/>
      <w:bCs/>
      <w:smallCaps/>
      <w:color w:val="0F4761" w:themeColor="accent1" w:themeShade="BF"/>
      <w:spacing w:val="5"/>
    </w:rPr>
  </w:style>
  <w:style w:type="character" w:customStyle="1" w:styleId="citation-305">
    <w:name w:val="citation-305"/>
    <w:basedOn w:val="DefaultParagraphFont"/>
    <w:rsid w:val="0027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Ruvins, Aidan</dc:creator>
  <cp:keywords/>
  <dc:description/>
  <cp:lastModifiedBy>Ruvins, Aidan</cp:lastModifiedBy>
  <cp:revision>3</cp:revision>
  <dcterms:created xsi:type="dcterms:W3CDTF">2026-04-12T15:28:00Z</dcterms:created>
  <dcterms:modified xsi:type="dcterms:W3CDTF">2026-04-12T15:43:00Z</dcterms:modified>
</cp:coreProperties>
</file>