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sz w:val="24"/>
          <w:szCs w:val="24"/>
        </w:rPr>
        <w:t xml:space="preserve"/>
      </w:r>
    </w:p>
    <w:p>
      <w:pPr>
        <w:spacing w:after="200" w:before="0"/>
        <w:jc w:val="center"/>
      </w:pPr>
      <w:r>
        <w:rPr>
          <w:rFonts w:ascii="Arial" w:cs="Arial" w:eastAsia="Arial" w:hAnsi="Arial"/>
          <w:b/>
          <w:bCs/>
          <w:color w:val="1F3864"/>
          <w:sz w:val="52"/>
          <w:szCs w:val="52"/>
        </w:rPr>
        <w:t xml:space="preserve">Betting Against Beta:</w:t>
      </w:r>
    </w:p>
    <w:p>
      <w:pPr>
        <w:spacing w:after="400" w:before="0"/>
        <w:jc w:val="center"/>
      </w:pPr>
      <w:r>
        <w:rPr>
          <w:rFonts w:ascii="Arial" w:cs="Arial" w:eastAsia="Arial" w:hAnsi="Arial"/>
          <w:b/>
          <w:bCs/>
          <w:color w:val="2E5090"/>
          <w:sz w:val="36"/>
          <w:szCs w:val="36"/>
        </w:rPr>
        <w:t xml:space="preserve">Theory, Empirical Evidence, and Replication</w:t>
      </w:r>
    </w:p>
    <w:p>
      <w:pPr>
        <w:spacing w:after="120" w:before="200"/>
        <w:jc w:val="center"/>
      </w:pPr>
      <w:r>
        <w:rPr>
          <w:rFonts w:ascii="Arial" w:cs="Arial" w:eastAsia="Arial" w:hAnsi="Arial"/>
          <w:i/>
          <w:iCs/>
          <w:color w:val="444444"/>
          <w:sz w:val="24"/>
          <w:szCs w:val="24"/>
        </w:rPr>
        <w:t xml:space="preserve">A Research Paper Based on Frazzini &amp; Pedersen (2014)</w:t>
      </w:r>
    </w:p>
    <w:p>
      <w:pPr>
        <w:spacing w:after="120" w:before="120"/>
        <w:jc w:val="center"/>
      </w:pPr>
      <w:r>
        <w:rPr>
          <w:rFonts w:ascii="Arial" w:cs="Arial" w:eastAsia="Arial" w:hAnsi="Arial"/>
          <w:color w:val="666666"/>
          <w:sz w:val="22"/>
          <w:szCs w:val="22"/>
        </w:rPr>
        <w:t xml:space="preserve">Journal of Financial Economics, Vol. 111, pp. 1–25</w:t>
      </w:r>
    </w:p>
    <w:p>
      <w:pPr>
        <w:spacing w:after="0" w:before="160"/>
      </w:pPr>
      <w:r>
        <w:rPr>
          <w:sz w:val="24"/>
          <w:szCs w:val="24"/>
        </w:rPr>
        <w:t xml:space="preserve"/>
      </w:r>
    </w:p>
    <w:p>
      <w:pPr>
        <w:spacing w:after="80" w:before="200"/>
        <w:jc w:val="center"/>
      </w:pPr>
      <w:r>
        <w:rPr>
          <w:rFonts w:ascii="Arial" w:cs="Arial" w:eastAsia="Arial" w:hAnsi="Arial"/>
          <w:color w:val="444444"/>
          <w:sz w:val="22"/>
          <w:szCs w:val="22"/>
        </w:rPr>
        <w:t xml:space="preserve">April 2026</w:t>
      </w:r>
    </w:p>
    <w:p>
      <w:pPr>
        <w:spacing w:after="0" w:before="160"/>
      </w:pPr>
      <w:r>
        <w:rPr>
          <w:sz w:val="24"/>
          <w:szCs w:val="24"/>
        </w:rPr>
        <w:t xml:space="preserve"/>
      </w:r>
    </w:p>
    <w:p>
      <w:pPr>
        <w:pBdr>
          <w:top w:val="single" w:color="2E5090" w:sz="4" w:space="1"/>
        </w:pBdr>
        <w:spacing w:after="80" w:before="0"/>
        <w:jc w:val="center"/>
      </w:pPr>
      <w:r>
        <w:rPr>
          <w:sz w:val="24"/>
          <w:szCs w:val="24"/>
        </w:rPr>
        <w:t xml:space="preserve"/>
      </w:r>
    </w:p>
    <w:p>
      <w:pPr>
        <w:spacing w:after="0" w:before="80"/>
      </w:pPr>
      <w:r>
        <w:rPr>
          <w:sz w:val="24"/>
          <w:szCs w:val="24"/>
        </w:rPr>
        <w:t xml:space="preserve"/>
      </w:r>
    </w:p>
    <w:p>
      <w:pPr>
        <w:spacing w:after="80" w:before="80"/>
        <w:jc w:val="center"/>
      </w:pPr>
      <w:r>
        <w:rPr>
          <w:rFonts w:ascii="Arial" w:cs="Arial" w:eastAsia="Arial" w:hAnsi="Arial"/>
          <w:b/>
          <w:bCs/>
          <w:color w:val="1F3864"/>
          <w:sz w:val="26"/>
          <w:szCs w:val="26"/>
        </w:rPr>
        <w:t xml:space="preserve">Abstract</w:t>
      </w:r>
    </w:p>
    <w:p>
      <w:pPr>
        <w:spacing w:after="80" w:before="80" w:line="340"/>
        <w:ind w:left="720" w:right="720"/>
        <w:jc w:val="both"/>
      </w:pPr>
      <w:r>
        <w:rPr>
          <w:rFonts w:ascii="Arial" w:cs="Arial" w:eastAsia="Arial" w:hAnsi="Arial"/>
          <w:i/>
          <w:iCs/>
          <w:sz w:val="22"/>
          <w:szCs w:val="22"/>
        </w:rPr>
        <w:t xml:space="preserve">This paper examines the Betting Against Beta (BAB) anomaly, as documented by Frazzini and Pedersen (2014). We review the theoretical model, which predicts that leverage constraints cause high-beta assets to be overpriced and low-beta assets to be underpriced relative to what standard CAPM would imply. We then present our own empirical replication using US equity data from 1972 to 2022. Our tests confirm all three propositions we examine. Proposition 1 is supported: alphas decline monotonically from the lowest to the highest beta decile, with the lowest beta decile earning an annualized CAPM alpha of approximately 4.64% and the highest beta decile earning −0.83%. Proposition 2 is confirmed using a refined BAB factor construction incorporating Vasicek beta shrinkage and a leverage cap, which yields an annualized CAPM alpha of 8.18% with a t-statistic of 5.12. Proposition 5 is validated by comparing constrained investors (mutual funds, average beta 1.162) with unconstrained investors (Berkshire Hathaway, beta 1.065), consistent with the theory that leverage-constrained investors systematically hold higher-beta portfolios. Propositions 3 and 4, which require the TED spread as a proxy for funding liquidity, are not tested because LIBOR—the reference rate underlying the TED spread calculation—was permanently discontinued in June 2023.</w:t>
      </w:r>
    </w:p>
    <w:p>
      <w:r>
        <w:br w:type="page"/>
      </w:r>
    </w:p>
    <w:p>
      <w:pPr>
        <w:pStyle w:val="Heading1"/>
      </w:pPr>
      <w:r>
        <w:rPr>
          <w:rFonts w:ascii="Arial" w:cs="Arial" w:eastAsia="Arial" w:hAnsi="Arial"/>
          <w:b/>
          <w:bCs/>
          <w:color w:val="1F3864"/>
          <w:sz w:val="32"/>
          <w:szCs w:val="32"/>
        </w:rPr>
        <w:t xml:space="preserve">1. Introduction</w:t>
      </w:r>
    </w:p>
    <w:p>
      <w:pPr>
        <w:spacing w:after="80" w:before="80" w:line="360"/>
        <w:ind w:firstLine="720"/>
        <w:jc w:val="both"/>
      </w:pPr>
      <w:r>
        <w:rPr>
          <w:rFonts w:ascii="Arial" w:cs="Arial" w:eastAsia="Arial" w:hAnsi="Arial"/>
          <w:sz w:val="24"/>
          <w:szCs w:val="24"/>
        </w:rPr>
        <w:t xml:space="preserve">One of the most enduring puzzles in empirical finance is the flatness of the Security Market Line (SML). According to the Capital Asset Pricing Model (CAPM), assets with higher systematic risk—measured by beta—should earn proportionally higher returns. A one-unit increase in beta should translate into an expected excess return equal to the market risk premium. In practice, however, this relationship has been documented to be far shallower than theory predicts. High-beta stocks do not earn as much as they should, and low-beta stocks earn more than the CAPM would suggest.</w:t>
      </w:r>
    </w:p>
    <w:p>
      <w:pPr>
        <w:spacing w:after="80" w:before="80" w:line="360"/>
        <w:ind w:firstLine="720"/>
        <w:jc w:val="both"/>
      </w:pPr>
      <w:r>
        <w:rPr>
          <w:rFonts w:ascii="Arial" w:cs="Arial" w:eastAsia="Arial" w:hAnsi="Arial"/>
          <w:sz w:val="24"/>
          <w:szCs w:val="24"/>
        </w:rPr>
        <w:t xml:space="preserve">Frazzini and Pedersen (2014) provide a unified theoretical explanation for this phenomenon and test it across a remarkable breadth of asset classes. Their model features investors who face varying degrees of leverage constraints. Because some investors—such as mutual funds, pension funds, and retail investors—cannot use borrowed capital to amplify returns, they instead tilt toward high-beta securities to achieve their return targets. This excess demand bids up the prices of risky assets and compresses their prospective returns. Conversely, low-beta assets, which require leverage to achieve market-level returns, are left underpriced. An unconstrained investor—one who can borrow freely at the risk-free rate—can exploit this mispricing by going long leveraged low-beta assets and short de-leveraged high-beta assets. This is the essence of betting against beta.</w:t>
      </w:r>
    </w:p>
    <w:p>
      <w:pPr>
        <w:spacing w:after="80" w:before="80" w:line="360"/>
        <w:ind w:firstLine="720"/>
        <w:jc w:val="both"/>
      </w:pPr>
      <w:r>
        <w:rPr>
          <w:rFonts w:ascii="Arial" w:cs="Arial" w:eastAsia="Arial" w:hAnsi="Arial"/>
          <w:sz w:val="24"/>
          <w:szCs w:val="24"/>
        </w:rPr>
        <w:t xml:space="preserve">The empirical record assembled by Frazzini and Pedersen is sweeping in scope. They document a flat or inverted return-beta relationship in US equities (1926–2012), 19 international equity markets, US Treasury bonds, investment-grade and high-yield corporate bonds, equity index futures, country bond futures, foreign exchange forwards, and commodity futures. In nearly every asset class and every sub-period examined, the BAB factor—a zero-beta, self-financing portfolio that is long leveraged low-beta assets and short de-leveraged high-beta assets—earns statistically and economically significant risk-adjusted returns. The US equity BAB factor achieves a Sharpe ratio of 0.78, roughly twice that of the value factor and 40% higher than momentum over the same period.</w:t>
      </w:r>
    </w:p>
    <w:p>
      <w:pPr>
        <w:spacing w:after="80" w:before="80" w:line="360"/>
        <w:ind w:firstLine="720"/>
        <w:jc w:val="both"/>
      </w:pPr>
      <w:r>
        <w:rPr>
          <w:rFonts w:ascii="Arial" w:cs="Arial" w:eastAsia="Arial" w:hAnsi="Arial"/>
          <w:sz w:val="24"/>
          <w:szCs w:val="24"/>
        </w:rPr>
        <w:t xml:space="preserve">In this paper, we review the core theoretical framework of Frazzini and Pedersen (2014) and present our own empirical replication using US equity data from 1972 to 2022. We test three of the paper's five central propositions. Proposition 1 asks whether the SML is flatter than CAPM predicts—equivalently, whether high-beta stocks earn lower alphas than low-beta stocks. Proposition 2 asks whether the BAB factor earns positive risk-adjusted returns. Proposition 5 asks whether leverage-constrained investors (mutual funds, retail investors) hold higher-beta portfolios than relatively unconstrained investors (such as Berkshire Hathaway).</w:t>
      </w:r>
    </w:p>
    <w:p>
      <w:pPr>
        <w:spacing w:after="80" w:before="80" w:line="360"/>
        <w:ind w:firstLine="720"/>
        <w:jc w:val="both"/>
      </w:pPr>
      <w:r>
        <w:rPr>
          <w:rFonts w:ascii="Arial" w:cs="Arial" w:eastAsia="Arial" w:hAnsi="Arial"/>
          <w:sz w:val="24"/>
          <w:szCs w:val="24"/>
        </w:rPr>
        <w:t xml:space="preserve">We deliberately do not test Propositions 3 and 4. Proposition 3 predicts that the BAB factor's realized returns are negatively related to contemporaneous tightening of funding liquidity, proxied in the original paper by the TED spread—the difference between three-month LIBOR and three-month US Treasury bill yields. Proposition 4 predicts that funding liquidity risk compresses the cross-sectional dispersion of betas toward one, also measured with reference to TED spread volatility. Both tests are infeasible in our context because LIBOR was permanently discontinued on June 30, 2023, following the manipulation scandals that began in 2012. While alternative risk-free benchmarks such as SOFR (Secured Overnight Financing Rate) exist, they do not span a sufficiently long historical period comparable to the TED spread data used by Frazzini and Pedersen (which begins in December 1984), and the two series are not directly comparable in their construction or economic interpretation. Testing these propositions with an inconsistent or truncated funding liquidity proxy would risk producing misleading conclusions, and we therefore omit them.</w:t>
      </w:r>
    </w:p>
    <w:p>
      <w:pPr>
        <w:spacing w:after="80" w:before="80" w:line="360"/>
        <w:ind w:firstLine="720"/>
        <w:jc w:val="both"/>
      </w:pPr>
      <w:r>
        <w:rPr>
          <w:rFonts w:ascii="Arial" w:cs="Arial" w:eastAsia="Arial" w:hAnsi="Arial"/>
          <w:sz w:val="24"/>
          <w:szCs w:val="24"/>
        </w:rPr>
        <w:t xml:space="preserve">The remainder of this paper is structured as follows. Section 2 reviews the theoretical model. Section 3 describes our data and methodology. Sections 4, 5, and 6 present the empirical tests of Propositions 1, 2, and 5, respectively. Section 7 discusses the broader implications and limitations of our findings. Section 8 concludes.</w:t>
      </w:r>
    </w:p>
    <w:p>
      <w:r>
        <w:br w:type="page"/>
      </w:r>
    </w:p>
    <w:p>
      <w:pPr>
        <w:pStyle w:val="Heading1"/>
      </w:pPr>
      <w:r>
        <w:rPr>
          <w:rFonts w:ascii="Arial" w:cs="Arial" w:eastAsia="Arial" w:hAnsi="Arial"/>
          <w:b/>
          <w:bCs/>
          <w:color w:val="1F3864"/>
          <w:sz w:val="32"/>
          <w:szCs w:val="32"/>
        </w:rPr>
        <w:t xml:space="preserve">2. Theoretical Framework</w:t>
      </w:r>
    </w:p>
    <w:p>
      <w:pPr>
        <w:pStyle w:val="Heading2"/>
      </w:pPr>
      <w:r>
        <w:rPr>
          <w:rFonts w:ascii="Arial" w:cs="Arial" w:eastAsia="Arial" w:hAnsi="Arial"/>
          <w:b/>
          <w:bCs/>
          <w:color w:val="2E5090"/>
          <w:sz w:val="26"/>
          <w:szCs w:val="26"/>
        </w:rPr>
        <w:t xml:space="preserve">2.1 The Model Setup</w:t>
      </w:r>
    </w:p>
    <w:p>
      <w:pPr>
        <w:spacing w:after="80" w:before="80" w:line="360"/>
        <w:ind w:firstLine="720"/>
        <w:jc w:val="both"/>
      </w:pPr>
      <w:r>
        <w:rPr>
          <w:rFonts w:ascii="Arial" w:cs="Arial" w:eastAsia="Arial" w:hAnsi="Arial"/>
          <w:sz w:val="24"/>
          <w:szCs w:val="24"/>
        </w:rPr>
        <w:t xml:space="preserve">Frazzini and Pedersen build their model in an overlapping-generations economy with multiple types of agents who differ in their ability to use leverage. Each agent maximizes a mean-variance utility function subject to a portfolio constraint of the form:</w:t>
      </w:r>
    </w:p>
    <w:p>
      <w:pPr>
        <w:spacing w:after="80" w:before="80" w:line="360"/>
        <w:jc w:val="both"/>
      </w:pPr>
      <w:r>
        <w:rPr>
          <w:rFonts w:ascii="Arial" w:cs="Arial" w:eastAsia="Arial" w:hAnsi="Arial"/>
          <w:sz w:val="24"/>
          <w:szCs w:val="24"/>
        </w:rPr>
        <w:t xml:space="preserve">                    mᴵ × Σs |xs × Ps| ≤ Wᴵ</w:t>
      </w:r>
    </w:p>
    <w:p>
      <w:pPr>
        <w:spacing w:after="80" w:before="80" w:line="360"/>
        <w:ind w:firstLine="720"/>
        <w:jc w:val="both"/>
      </w:pPr>
      <w:r>
        <w:rPr>
          <w:rFonts w:ascii="Arial" w:cs="Arial" w:eastAsia="Arial" w:hAnsi="Arial"/>
          <w:sz w:val="24"/>
          <w:szCs w:val="24"/>
        </w:rPr>
        <w:t xml:space="preserve">where mᴵ is agent i's margin requirement, xs are share holdings, Ps are prices, and Wᴵ is wealth. When mᴵ = 1, the agent cannot use any leverage; when mᴵ &gt; 1, the agent must hold cash as a buffer; when mᴵ &lt; 1, the agent can apply leverage. The aggregate Lagrange multiplier across all agents' constraints, denoted ψt, summarizes the tightness of funding conditions in the economy at time t.</w:t>
      </w:r>
    </w:p>
    <w:p>
      <w:pPr>
        <w:spacing w:after="80" w:before="80" w:line="360"/>
        <w:ind w:firstLine="720"/>
        <w:jc w:val="both"/>
      </w:pPr>
      <w:r>
        <w:rPr>
          <w:rFonts w:ascii="Arial" w:cs="Arial" w:eastAsia="Arial" w:hAnsi="Arial"/>
          <w:sz w:val="24"/>
          <w:szCs w:val="24"/>
        </w:rPr>
        <w:t xml:space="preserve">In the unconstrained CAPM, the intercept of the SML equals the risk-free rate and all assets price to the same Sharpe ratio. Once funding constraints are introduced, the equilibrium required return for any security s becomes:</w:t>
      </w:r>
    </w:p>
    <w:p>
      <w:pPr>
        <w:spacing w:after="80" w:before="80" w:line="360"/>
        <w:jc w:val="both"/>
      </w:pPr>
      <w:r>
        <w:rPr>
          <w:rFonts w:ascii="Arial" w:cs="Arial" w:eastAsia="Arial" w:hAnsi="Arial"/>
          <w:sz w:val="24"/>
          <w:szCs w:val="24"/>
        </w:rPr>
        <w:t xml:space="preserve">                    E(rₛ) = rf + ψt + βs × λt</w:t>
      </w:r>
    </w:p>
    <w:p>
      <w:pPr>
        <w:spacing w:after="80" w:before="80" w:line="360"/>
        <w:ind w:firstLine="720"/>
        <w:jc w:val="both"/>
      </w:pPr>
      <w:r>
        <w:rPr>
          <w:rFonts w:ascii="Arial" w:cs="Arial" w:eastAsia="Arial" w:hAnsi="Arial"/>
          <w:sz w:val="24"/>
          <w:szCs w:val="24"/>
        </w:rPr>
        <w:t xml:space="preserve">where λt = E(rM) − rf − ψt is the effective market risk premium, reduced by the average constraint tightness. This expression reveals two important departures from standard CAPM. First, the intercept is elevated above the risk-free rate by ψt, reflecting the shadow cost of leverage constraints. Second, the slope λt is compressed below the unconditional market premium. Taken together, these effects produce a flatter SML.</w:t>
      </w:r>
    </w:p>
    <w:p>
      <w:pPr>
        <w:pStyle w:val="Heading2"/>
      </w:pPr>
      <w:r>
        <w:rPr>
          <w:rFonts w:ascii="Arial" w:cs="Arial" w:eastAsia="Arial" w:hAnsi="Arial"/>
          <w:b/>
          <w:bCs/>
          <w:color w:val="2E5090"/>
          <w:sz w:val="26"/>
          <w:szCs w:val="26"/>
        </w:rPr>
        <w:t xml:space="preserve">2.2 The Five Propositions</w:t>
      </w:r>
    </w:p>
    <w:p>
      <w:pPr>
        <w:spacing w:after="80" w:before="80" w:line="360"/>
        <w:ind w:firstLine="720"/>
        <w:jc w:val="both"/>
      </w:pPr>
      <w:r>
        <w:rPr>
          <w:rFonts w:ascii="Arial" w:cs="Arial" w:eastAsia="Arial" w:hAnsi="Arial"/>
          <w:sz w:val="24"/>
          <w:szCs w:val="24"/>
        </w:rPr>
        <w:t xml:space="preserve">The model generates five testable propositions, which serve as the organizing structure of the empirical work in Frazzini and Pedersen (2014) and in our replication.</w:t>
      </w:r>
    </w:p>
    <w:p>
      <w:pPr>
        <w:spacing w:after="80" w:before="80" w:line="360"/>
        <w:ind w:firstLine="720"/>
        <w:jc w:val="both"/>
      </w:pPr>
      <w:r>
        <w:rPr>
          <w:rFonts w:ascii="Arial" w:cs="Arial" w:eastAsia="Arial" w:hAnsi="Arial"/>
          <w:sz w:val="24"/>
          <w:szCs w:val="24"/>
        </w:rPr>
        <w:t xml:space="preserve">Proposition 1 (High Beta is Low Alpha): Because constrained investors bid up high-beta assets, the SML is flatter than the CAPM predicts. A security's CAPM alpha is αs = ψt(1 − βs), which is decreasing in beta. Low-beta assets have positive alphas; high-beta assets have negative alphas.</w:t>
      </w:r>
    </w:p>
    <w:p>
      <w:pPr>
        <w:spacing w:after="80" w:before="80" w:line="360"/>
        <w:ind w:firstLine="720"/>
        <w:jc w:val="both"/>
      </w:pPr>
      <w:r>
        <w:rPr>
          <w:rFonts w:ascii="Arial" w:cs="Arial" w:eastAsia="Arial" w:hAnsi="Arial"/>
          <w:sz w:val="24"/>
          <w:szCs w:val="24"/>
        </w:rPr>
        <w:t xml:space="preserve">Proposition 2 (Positive Expected Return of BAB): A market-neutral BAB factor—constructed by going long leveraged low-beta assets and short de-leveraged high-beta assets—earns a positive expected excess return equal to [(βH − βL) / (βL × βH)] × ψt, where βL and βH are the betas of the low- and high-beta legs. The premium is increasing in both the beta spread and the tightness of funding constraints.</w:t>
      </w:r>
    </w:p>
    <w:p>
      <w:pPr>
        <w:spacing w:after="80" w:before="80" w:line="360"/>
        <w:ind w:firstLine="720"/>
        <w:jc w:val="both"/>
      </w:pPr>
      <w:r>
        <w:rPr>
          <w:rFonts w:ascii="Arial" w:cs="Arial" w:eastAsia="Arial" w:hAnsi="Arial"/>
          <w:sz w:val="24"/>
          <w:szCs w:val="24"/>
        </w:rPr>
        <w:t xml:space="preserve">Proposition 3 (Funding Shocks and BAB Returns): When funding conditions tighten—proxied by an increase in the TED spread—leveraged investors must de-leverage, generating contemporaneous losses for the BAB factor while raising its future expected return. Because this proposition requires long-run TED spread data based on LIBOR, we do not test it in our replication.</w:t>
      </w:r>
    </w:p>
    <w:p>
      <w:pPr>
        <w:spacing w:after="80" w:before="80" w:line="360"/>
        <w:ind w:firstLine="720"/>
        <w:jc w:val="both"/>
      </w:pPr>
      <w:r>
        <w:rPr>
          <w:rFonts w:ascii="Arial" w:cs="Arial" w:eastAsia="Arial" w:hAnsi="Arial"/>
          <w:sz w:val="24"/>
          <w:szCs w:val="24"/>
        </w:rPr>
        <w:t xml:space="preserve">Proposition 4 (Beta Compression): Elevated funding liquidity risk compresses the cross-sectional dispersion of betas toward one. When investors face higher uncertainty about funding costs, all securities are repriced proportionally, reducing the dispersion of their betas. Like Proposition 3, this test relies on TED spread volatility derived from LIBOR data and is therefore omitted from our analysis.</w:t>
      </w:r>
    </w:p>
    <w:p>
      <w:pPr>
        <w:spacing w:after="80" w:before="80" w:line="360"/>
        <w:ind w:firstLine="720"/>
        <w:jc w:val="both"/>
      </w:pPr>
      <w:r>
        <w:rPr>
          <w:rFonts w:ascii="Arial" w:cs="Arial" w:eastAsia="Arial" w:hAnsi="Arial"/>
          <w:sz w:val="24"/>
          <w:szCs w:val="24"/>
        </w:rPr>
        <w:t xml:space="preserve">Proposition 5 (Constrained Investors Hold High Betas): In equilibrium, leverage-constrained investors tilt their portfolios toward high-beta securities as a substitute for leverage. Unconstrained investors who can borrow cheaply prefer low-beta securities, which they lever up to achieve higher risk-adjusted returns. The model predicts a systematic difference in portfolio betas between these two groups.</w:t>
      </w:r>
    </w:p>
    <w:p>
      <w:pPr>
        <w:pStyle w:val="Heading2"/>
      </w:pPr>
      <w:r>
        <w:rPr>
          <w:rFonts w:ascii="Arial" w:cs="Arial" w:eastAsia="Arial" w:hAnsi="Arial"/>
          <w:b/>
          <w:bCs/>
          <w:color w:val="2E5090"/>
          <w:sz w:val="26"/>
          <w:szCs w:val="26"/>
        </w:rPr>
        <w:t xml:space="preserve">2.3 The BAB Factor Construction</w:t>
      </w:r>
    </w:p>
    <w:p>
      <w:pPr>
        <w:spacing w:after="80" w:before="80" w:line="360"/>
        <w:ind w:firstLine="720"/>
        <w:jc w:val="both"/>
      </w:pPr>
      <w:r>
        <w:rPr>
          <w:rFonts w:ascii="Arial" w:cs="Arial" w:eastAsia="Arial" w:hAnsi="Arial"/>
          <w:sz w:val="24"/>
          <w:szCs w:val="24"/>
        </w:rPr>
        <w:t xml:space="preserve">To operationalize Proposition 2, Frazzini and Pedersen define the BAB factor return as:</w:t>
      </w:r>
    </w:p>
    <w:p>
      <w:pPr>
        <w:spacing w:after="80" w:before="80" w:line="360"/>
        <w:jc w:val="both"/>
      </w:pPr>
      <w:r>
        <w:rPr>
          <w:rFonts w:ascii="Arial" w:cs="Arial" w:eastAsia="Arial" w:hAnsi="Arial"/>
          <w:sz w:val="24"/>
          <w:szCs w:val="24"/>
        </w:rPr>
        <w:t xml:space="preserve">                    rᴮAB,t+1 = (1/βL) × (rL,t+1 − rf) − (1/βH) × (rH,t+1 − rf)</w:t>
      </w:r>
    </w:p>
    <w:p>
      <w:pPr>
        <w:spacing w:after="80" w:before="80" w:line="360"/>
        <w:ind w:firstLine="720"/>
        <w:jc w:val="both"/>
      </w:pPr>
      <w:r>
        <w:rPr>
          <w:rFonts w:ascii="Arial" w:cs="Arial" w:eastAsia="Arial" w:hAnsi="Arial"/>
          <w:sz w:val="24"/>
          <w:szCs w:val="24"/>
        </w:rPr>
        <w:t xml:space="preserve">where rL and rH are the returns on the low-beta and high-beta portfolios, and βL and βH are their ex ante estimated betas. Dividing by the respective betas leverages the low-beta side and de-leverages the high-beta side, so that both legs contribute a beta of one to their respective directions, and the net portfolio beta is zero. The factor is self-financing (excess-return-based) and market-neutral by construction, allowing attribution of any positive return entirely to the alpha mechanism described in Proposition 1.</w:t>
      </w:r>
    </w:p>
    <w:p>
      <w:pPr>
        <w:spacing w:after="80" w:before="80" w:line="360"/>
        <w:ind w:firstLine="720"/>
        <w:jc w:val="both"/>
      </w:pPr>
      <w:r>
        <w:rPr>
          <w:rFonts w:ascii="Arial" w:cs="Arial" w:eastAsia="Arial" w:hAnsi="Arial"/>
          <w:sz w:val="24"/>
          <w:szCs w:val="24"/>
        </w:rPr>
        <w:t xml:space="preserve">Securities are ranked into two portfolios based on their estimated betas relative to the asset-class median. Within each portfolio, securities are weighted by their ranked betas: in the low-beta portfolio, lower-beta securities receive higher weights; in the high-beta portfolio, higher-beta securities receive higher weights. Portfolios are rebalanced monthly.</w:t>
      </w:r>
    </w:p>
    <w:p>
      <w:r>
        <w:br w:type="page"/>
      </w:r>
    </w:p>
    <w:p>
      <w:pPr>
        <w:pStyle w:val="Heading1"/>
      </w:pPr>
      <w:r>
        <w:rPr>
          <w:rFonts w:ascii="Arial" w:cs="Arial" w:eastAsia="Arial" w:hAnsi="Arial"/>
          <w:b/>
          <w:bCs/>
          <w:color w:val="1F3864"/>
          <w:sz w:val="32"/>
          <w:szCs w:val="32"/>
        </w:rPr>
        <w:t xml:space="preserve">3. Data and Methodology</w:t>
      </w:r>
    </w:p>
    <w:p>
      <w:pPr>
        <w:pStyle w:val="Heading2"/>
      </w:pPr>
      <w:r>
        <w:rPr>
          <w:rFonts w:ascii="Arial" w:cs="Arial" w:eastAsia="Arial" w:hAnsi="Arial"/>
          <w:b/>
          <w:bCs/>
          <w:color w:val="2E5090"/>
          <w:sz w:val="26"/>
          <w:szCs w:val="26"/>
        </w:rPr>
        <w:t xml:space="preserve">3.1 Data Sources</w:t>
      </w:r>
    </w:p>
    <w:p>
      <w:pPr>
        <w:spacing w:after="80" w:before="80" w:line="360"/>
        <w:ind w:firstLine="720"/>
        <w:jc w:val="both"/>
      </w:pPr>
      <w:r>
        <w:rPr>
          <w:rFonts w:ascii="Arial" w:cs="Arial" w:eastAsia="Arial" w:hAnsi="Arial"/>
          <w:sz w:val="24"/>
          <w:szCs w:val="24"/>
        </w:rPr>
        <w:t xml:space="preserve">Our analysis uses two primary data sources. Stock-level return data are drawn from the CRSP Monthly Stock File (MSF), which contains monthly total returns, prices, and shares outstanding for all common stocks listed on NYSE, AMEX, and NASDAQ. Our sample covers January 1972 through December 2022, a 50-year period that substantially overlaps with the 1926–2012 sample in Frazzini and Pedersen (2014) while extending the evidence to the post-2012 era.</w:t>
      </w:r>
    </w:p>
    <w:p>
      <w:pPr>
        <w:spacing w:after="80" w:before="80" w:line="360"/>
        <w:ind w:firstLine="720"/>
        <w:jc w:val="both"/>
      </w:pPr>
      <w:r>
        <w:rPr>
          <w:rFonts w:ascii="Arial" w:cs="Arial" w:eastAsia="Arial" w:hAnsi="Arial"/>
          <w:sz w:val="24"/>
          <w:szCs w:val="24"/>
        </w:rPr>
        <w:t xml:space="preserve">Factor returns and the risk-free rate are obtained from Kenneth French's data library. We use the monthly Fama-French three-factor series (market excess return Mkt-RF, size factor SMB, and value factor HML) as well as the one-month Treasury bill rate as our proxy for the risk-free rate. All factor returns are expressed as decimals (divided by 100 from the raw data).</w:t>
      </w:r>
    </w:p>
    <w:p>
      <w:pPr>
        <w:spacing w:after="80" w:before="80" w:line="360"/>
        <w:ind w:firstLine="720"/>
        <w:jc w:val="both"/>
      </w:pPr>
      <w:r>
        <w:rPr>
          <w:rFonts w:ascii="Arial" w:cs="Arial" w:eastAsia="Arial" w:hAnsi="Arial"/>
          <w:sz w:val="24"/>
          <w:szCs w:val="24"/>
        </w:rPr>
        <w:t xml:space="preserve">For Proposition 5, we supplement these data with mutual fund holdings from the CRSP Mutual Fund Database, which records quarterly equity holdings of all SEC-registered open-end domestic equity mutual funds. For the unconstrained investor benchmark, we use Berkshire Hathaway's publicly disclosed 13-F equity holdings as of Q4 2025, obtained from regulatory filings. The Berkshire portfolio contains large-cap, well-seasoned equity positions that are characteristically low-beta relative to the broad market.</w:t>
      </w:r>
    </w:p>
    <w:p>
      <w:pPr>
        <w:pStyle w:val="Heading2"/>
      </w:pPr>
      <w:r>
        <w:rPr>
          <w:rFonts w:ascii="Arial" w:cs="Arial" w:eastAsia="Arial" w:hAnsi="Arial"/>
          <w:b/>
          <w:bCs/>
          <w:color w:val="2E5090"/>
          <w:sz w:val="26"/>
          <w:szCs w:val="26"/>
        </w:rPr>
        <w:t xml:space="preserve">3.2 Beta Estimation</w:t>
      </w:r>
    </w:p>
    <w:p>
      <w:pPr>
        <w:spacing w:after="80" w:before="80" w:line="360"/>
        <w:ind w:firstLine="720"/>
        <w:jc w:val="both"/>
      </w:pPr>
      <w:r>
        <w:rPr>
          <w:rFonts w:ascii="Arial" w:cs="Arial" w:eastAsia="Arial" w:hAnsi="Arial"/>
          <w:sz w:val="24"/>
          <w:szCs w:val="24"/>
        </w:rPr>
        <w:t xml:space="preserve">We follow the beta estimation procedure described in Frazzini and Pedersen (2014) closely. Rather than estimating beta from a single rolling regression, the authors decompose beta into a volatility component and a correlation component, estimated over different horizons:</w:t>
      </w:r>
    </w:p>
    <w:p>
      <w:pPr>
        <w:spacing w:after="80" w:before="80" w:line="360"/>
        <w:jc w:val="both"/>
      </w:pPr>
      <w:r>
        <w:rPr>
          <w:rFonts w:ascii="Arial" w:cs="Arial" w:eastAsia="Arial" w:hAnsi="Arial"/>
          <w:sz w:val="24"/>
          <w:szCs w:val="24"/>
        </w:rPr>
        <w:t xml:space="preserve">                    β̂ᵢ = ρ̂ᵢₘ × (σ̂ᵢ / σ̂ₘ)</w:t>
      </w:r>
    </w:p>
    <w:p>
      <w:pPr>
        <w:spacing w:after="80" w:before="80" w:line="360"/>
        <w:ind w:firstLine="720"/>
        <w:jc w:val="both"/>
      </w:pPr>
      <w:r>
        <w:rPr>
          <w:rFonts w:ascii="Arial" w:cs="Arial" w:eastAsia="Arial" w:hAnsi="Arial"/>
          <w:sz w:val="24"/>
          <w:szCs w:val="24"/>
        </w:rPr>
        <w:t xml:space="preserve">The individual stock's return volatility (σ̂ᵢ) and the market's return volatility (σ̂ₘ) are each estimated over a trailing 12-month rolling window using monthly returns. The correlation between the stock and the market (ρ̂ᵢₘ) is estimated over a longer 60-month rolling window, reflecting the empirical observation that correlations are more persistent than volatilities and benefit from a longer estimation window. A minimum of 12 months of data is required to estimate volatilities and 36 months for correlations.</w:t>
      </w:r>
    </w:p>
    <w:p>
      <w:pPr>
        <w:spacing w:after="80" w:before="80" w:line="360"/>
        <w:ind w:firstLine="720"/>
        <w:jc w:val="both"/>
      </w:pPr>
      <w:r>
        <w:rPr>
          <w:rFonts w:ascii="Arial" w:cs="Arial" w:eastAsia="Arial" w:hAnsi="Arial"/>
          <w:sz w:val="24"/>
          <w:szCs w:val="24"/>
        </w:rPr>
        <w:t xml:space="preserve">Following Vasicek (1973), we apply a shrinkage adjustment to all estimated betas, pulling them toward the cross-sectional mean of 1.0:</w:t>
      </w:r>
    </w:p>
    <w:p>
      <w:pPr>
        <w:spacing w:after="80" w:before="80" w:line="360"/>
        <w:jc w:val="both"/>
      </w:pPr>
      <w:r>
        <w:rPr>
          <w:rFonts w:ascii="Arial" w:cs="Arial" w:eastAsia="Arial" w:hAnsi="Arial"/>
          <w:sz w:val="24"/>
          <w:szCs w:val="24"/>
        </w:rPr>
        <w:t xml:space="preserve">                    β̂adj = 0.6 × β̂TS + 0.4 × 1.0</w:t>
      </w:r>
    </w:p>
    <w:p>
      <w:pPr>
        <w:spacing w:after="80" w:before="80" w:line="360"/>
        <w:ind w:firstLine="720"/>
        <w:jc w:val="both"/>
      </w:pPr>
      <w:r>
        <w:rPr>
          <w:rFonts w:ascii="Arial" w:cs="Arial" w:eastAsia="Arial" w:hAnsi="Arial"/>
          <w:sz w:val="24"/>
          <w:szCs w:val="24"/>
        </w:rPr>
        <w:t xml:space="preserve">The shrinkage weight of 0.6 is the value used by Frazzini and Pedersen and approximates the average Vasicek shrinkage weight when pooled across US stocks. This adjustment is particularly important because it prevents near-zero beta estimates, which would otherwise cause explosive leverage ratios (1/β) in the BAB factor construction. The shrinkage toward 1.0 is a conservative choice that does not affect the ranking of stocks into portfolios but does affect the leverage applied to each side of the BAB trade.</w:t>
      </w:r>
    </w:p>
    <w:p>
      <w:pPr>
        <w:pStyle w:val="Heading2"/>
      </w:pPr>
      <w:r>
        <w:rPr>
          <w:rFonts w:ascii="Arial" w:cs="Arial" w:eastAsia="Arial" w:hAnsi="Arial"/>
          <w:b/>
          <w:bCs/>
          <w:color w:val="2E5090"/>
          <w:sz w:val="26"/>
          <w:szCs w:val="26"/>
        </w:rPr>
        <w:t xml:space="preserve">3.3 Portfolio Construction</w:t>
      </w:r>
    </w:p>
    <w:p>
      <w:pPr>
        <w:spacing w:after="80" w:before="80" w:line="360"/>
        <w:ind w:firstLine="720"/>
        <w:jc w:val="both"/>
      </w:pPr>
      <w:r>
        <w:rPr>
          <w:rFonts w:ascii="Arial" w:cs="Arial" w:eastAsia="Arial" w:hAnsi="Arial"/>
          <w:sz w:val="24"/>
          <w:szCs w:val="24"/>
        </w:rPr>
        <w:t xml:space="preserve">At the beginning of each calendar month, all stocks with valid lagged beta estimates are ranked by their estimated beta. Stocks are assigned to ten decile portfolios based on NYSE breakpoints, as in Frazzini and Pedersen (2014). Within each decile, stocks are equally weighted. For the BAB factor specifically, stocks above the median beta are assigned to the high-beta portfolio and stocks below the median are assigned to the low-beta portfolio, with each security receiving a weight proportional to its ranked beta (a rank-weighted scheme that overweights extreme-beta stocks in each leg).</w:t>
      </w:r>
    </w:p>
    <w:p>
      <w:pPr>
        <w:spacing w:after="80" w:before="80" w:line="360"/>
        <w:ind w:firstLine="720"/>
        <w:jc w:val="both"/>
      </w:pPr>
      <w:r>
        <w:rPr>
          <w:rFonts w:ascii="Arial" w:cs="Arial" w:eastAsia="Arial" w:hAnsi="Arial"/>
          <w:sz w:val="24"/>
          <w:szCs w:val="24"/>
        </w:rPr>
        <w:t xml:space="preserve">Alpha is estimated as the intercept from a time-series regression of portfolio excess returns on the CAPM market excess return. We report the annualized alpha (monthly alpha multiplied by 12) and the t-statistic on the intercept. All t-statistics are computed using heteroskedasticity-consistent (White) standard errors.</w:t>
      </w:r>
    </w:p>
    <w:p>
      <w:r>
        <w:br w:type="page"/>
      </w:r>
    </w:p>
    <w:p>
      <w:pPr>
        <w:pStyle w:val="Heading1"/>
      </w:pPr>
      <w:r>
        <w:rPr>
          <w:rFonts w:ascii="Arial" w:cs="Arial" w:eastAsia="Arial" w:hAnsi="Arial"/>
          <w:b/>
          <w:bCs/>
          <w:color w:val="1F3864"/>
          <w:sz w:val="32"/>
          <w:szCs w:val="32"/>
        </w:rPr>
        <w:t xml:space="preserve">4. Proposition 1: The Security Market Line is Too Flat</w:t>
      </w:r>
    </w:p>
    <w:p>
      <w:pPr>
        <w:pStyle w:val="Heading2"/>
      </w:pPr>
      <w:r>
        <w:rPr>
          <w:rFonts w:ascii="Arial" w:cs="Arial" w:eastAsia="Arial" w:hAnsi="Arial"/>
          <w:b/>
          <w:bCs/>
          <w:color w:val="2E5090"/>
          <w:sz w:val="26"/>
          <w:szCs w:val="26"/>
        </w:rPr>
        <w:t xml:space="preserve">4.1 Hypothesis and Methodology</w:t>
      </w:r>
    </w:p>
    <w:p>
      <w:pPr>
        <w:spacing w:after="80" w:before="80" w:line="360"/>
        <w:ind w:firstLine="720"/>
        <w:jc w:val="both"/>
      </w:pPr>
      <w:r>
        <w:rPr>
          <w:rFonts w:ascii="Arial" w:cs="Arial" w:eastAsia="Arial" w:hAnsi="Arial"/>
          <w:sz w:val="24"/>
          <w:szCs w:val="24"/>
        </w:rPr>
        <w:t xml:space="preserve">Proposition 1 predicts that CAPM alphas should decline monotonically from low-beta to high-beta portfolios. In the standard CAPM without funding frictions, all portfolios should earn a zero alpha regardless of their beta. The presence of leverage constraints breaks this prediction: constrained investors bid up high-beta assets and depress their risk-adjusted returns, while low-beta assets are left with positive alphas because they require leverage that constrained investors cannot use.</w:t>
      </w:r>
    </w:p>
    <w:p>
      <w:pPr>
        <w:spacing w:after="80" w:before="80" w:line="360"/>
        <w:ind w:firstLine="720"/>
        <w:jc w:val="both"/>
      </w:pPr>
      <w:r>
        <w:rPr>
          <w:rFonts w:ascii="Arial" w:cs="Arial" w:eastAsia="Arial" w:hAnsi="Arial"/>
          <w:sz w:val="24"/>
          <w:szCs w:val="24"/>
        </w:rPr>
        <w:t xml:space="preserve">To test this proposition, we estimate CAPM alphas for each of the ten beta-decile portfolios using monthly excess returns over the full 1972–2022 sample period. The regression specification is: E(ri,t) − rf,t = αi + βi × (rM,t − rf,t) + εi,t. The intercept αi captures the average excess return unexplained by market exposure—that is, the risk-adjusted abnormal return attributable to the mispricing described in Proposition 1.</w:t>
      </w:r>
    </w:p>
    <w:p>
      <w:pPr>
        <w:pStyle w:val="Heading2"/>
      </w:pPr>
      <w:r>
        <w:rPr>
          <w:rFonts w:ascii="Arial" w:cs="Arial" w:eastAsia="Arial" w:hAnsi="Arial"/>
          <w:b/>
          <w:bCs/>
          <w:color w:val="2E5090"/>
          <w:sz w:val="26"/>
          <w:szCs w:val="26"/>
        </w:rPr>
        <w:t xml:space="preserve">4.2 Results</w:t>
      </w:r>
    </w:p>
    <w:p>
      <w:pPr>
        <w:spacing w:after="80" w:before="80" w:line="360"/>
        <w:ind w:firstLine="720"/>
        <w:jc w:val="both"/>
      </w:pPr>
      <w:r>
        <w:rPr>
          <w:rFonts w:ascii="Arial" w:cs="Arial" w:eastAsia="Arial" w:hAnsi="Arial"/>
          <w:sz w:val="24"/>
          <w:szCs w:val="24"/>
        </w:rPr>
        <w:t xml:space="preserve">Table 1 presents the annualized CAPM alpha and realized beta for each of the ten decile portfolios, along with the t-statistic on the alpha estimate.</w:t>
      </w:r>
    </w:p>
    <w:p>
      <w:pPr>
        <w:spacing w:after="0" w:before="80"/>
      </w:pPr>
      <w:r>
        <w:rPr>
          <w:sz w:val="24"/>
          <w:szCs w:val="24"/>
        </w:rPr>
        <w:t xml:space="preserve"/>
      </w:r>
    </w:p>
    <w:p>
      <w:pPr>
        <w:spacing w:after="60" w:before="80"/>
        <w:jc w:val="center"/>
      </w:pPr>
      <w:r>
        <w:rPr>
          <w:rFonts w:ascii="Arial" w:cs="Arial" w:eastAsia="Arial" w:hAnsi="Arial"/>
          <w:b/>
          <w:bCs/>
          <w:color w:val="1F3864"/>
          <w:sz w:val="22"/>
          <w:szCs w:val="22"/>
        </w:rPr>
        <w:t xml:space="preserve">Table 1: CAPM Alpha and Realized Beta by Beta Decile (1972–2022)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60"/>
        <w:gridCol w:w="1700"/>
        <w:gridCol w:w="2300"/>
      </w:tblGrid>
      <w:tr>
        <w:trPr>
          <w:tblHeader/>
        </w:trPr>
        <w:tc>
          <w:tcPr>
            <w:tcW w:type="dxa" w:w="14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Decile</w:t>
            </w:r>
          </w:p>
        </w:tc>
        <w:tc>
          <w:tcPr>
            <w:tcW w:type="dxa" w:w="14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Ex-Ante Beta</w:t>
            </w:r>
          </w:p>
        </w:tc>
        <w:tc>
          <w:tcPr>
            <w:tcW w:type="dxa" w:w="156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Realized Beta</w:t>
            </w:r>
          </w:p>
        </w:tc>
        <w:tc>
          <w:tcPr>
            <w:tcW w:type="dxa" w:w="17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Ann. Alpha (%)</w:t>
            </w:r>
          </w:p>
        </w:tc>
        <w:tc>
          <w:tcPr>
            <w:tcW w:type="dxa" w:w="23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t-Statistic</w:t>
            </w:r>
          </w:p>
        </w:tc>
      </w:tr>
      <w:tr>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P1 (Low)</w:t>
            </w:r>
          </w:p>
        </w:tc>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0.64</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0.61</w:t>
            </w:r>
          </w:p>
        </w:tc>
        <w:tc>
          <w:tcPr>
            <w:tcW w:type="dxa" w:w="17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4.64</w:t>
            </w:r>
          </w:p>
        </w:tc>
        <w:tc>
          <w:tcPr>
            <w:tcW w:type="dxa" w:w="23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4.61</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0.79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3.84</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4.35</w:t>
            </w:r>
          </w:p>
        </w:tc>
      </w:tr>
      <w:tr>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P3</w:t>
            </w:r>
          </w:p>
        </w:tc>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0.88</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0.99</w:t>
            </w:r>
          </w:p>
        </w:tc>
        <w:tc>
          <w:tcPr>
            <w:tcW w:type="dxa" w:w="17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3.57</w:t>
            </w:r>
          </w:p>
        </w:tc>
        <w:tc>
          <w:tcPr>
            <w:tcW w:type="dxa" w:w="23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3.65</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3.25</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3.42</w:t>
            </w:r>
          </w:p>
        </w:tc>
      </w:tr>
      <w:tr>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P5</w:t>
            </w:r>
          </w:p>
        </w:tc>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1.05</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1.16</w:t>
            </w:r>
          </w:p>
        </w:tc>
        <w:tc>
          <w:tcPr>
            <w:tcW w:type="dxa" w:w="17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2.82</w:t>
            </w:r>
          </w:p>
        </w:tc>
        <w:tc>
          <w:tcPr>
            <w:tcW w:type="dxa" w:w="23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2.71</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1.12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2.78</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2.51</w:t>
            </w:r>
          </w:p>
        </w:tc>
      </w:tr>
      <w:tr>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P7</w:t>
            </w:r>
          </w:p>
        </w:tc>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1.21</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1.37</w:t>
            </w:r>
          </w:p>
        </w:tc>
        <w:tc>
          <w:tcPr>
            <w:tcW w:type="dxa" w:w="17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1.77</w:t>
            </w:r>
          </w:p>
        </w:tc>
        <w:tc>
          <w:tcPr>
            <w:tcW w:type="dxa" w:w="23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1.44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1.31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1.85</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1.34</w:t>
            </w:r>
          </w:p>
        </w:tc>
      </w:tr>
      <w:tr>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P9</w:t>
            </w:r>
          </w:p>
        </w:tc>
        <w:tc>
          <w:tcPr>
            <w:tcW w:type="dxa" w:w="14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1.44</w:t>
            </w:r>
          </w:p>
        </w:tc>
        <w:tc>
          <w:tcPr>
            <w:tcW w:type="dxa" w:w="156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1.56</w:t>
            </w:r>
          </w:p>
        </w:tc>
        <w:tc>
          <w:tcPr>
            <w:tcW w:type="dxa" w:w="17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0.87</w:t>
            </w:r>
          </w:p>
        </w:tc>
        <w:tc>
          <w:tcPr>
            <w:tcW w:type="dxa" w:w="23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0.55</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P10 (High)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−0.83</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−0.39</w:t>
            </w:r>
          </w:p>
        </w:tc>
      </w:tr>
    </w:tbl>
    <w:p>
      <w:pPr>
        <w:spacing w:after="0" w:before="80"/>
      </w:pPr>
      <w:r>
        <w:rPr>
          <w:sz w:val="24"/>
          <w:szCs w:val="24"/>
        </w:rPr>
        <w:t xml:space="preserve"/>
      </w:r>
    </w:p>
    <w:p>
      <w:pPr>
        <w:spacing w:after="80" w:before="80" w:line="360"/>
        <w:ind w:firstLine="720"/>
        <w:jc w:val="both"/>
      </w:pPr>
      <w:r>
        <w:rPr>
          <w:rFonts w:ascii="Arial" w:cs="Arial" w:eastAsia="Arial" w:hAnsi="Arial"/>
          <w:sz w:val="24"/>
          <w:szCs w:val="24"/>
        </w:rPr>
        <w:t xml:space="preserve">The results in Table 1 are strikingly consistent with Proposition 1. Moving from Decile 1 (lowest beta) to Decile 10 (highest beta), the annualized alpha declines from 4.64% to −0.83%—a spread of more than five percentage points. The decline is nearly monotonic across the entire beta spectrum, with each successive decile generally earning a lower risk-adjusted return than the one before it.</w:t>
      </w:r>
    </w:p>
    <w:p>
      <w:pPr>
        <w:spacing w:after="80" w:before="80" w:line="360"/>
        <w:ind w:firstLine="720"/>
        <w:jc w:val="both"/>
      </w:pPr>
      <w:r>
        <w:rPr>
          <w:rFonts w:ascii="Arial" w:cs="Arial" w:eastAsia="Arial" w:hAnsi="Arial"/>
          <w:sz w:val="24"/>
          <w:szCs w:val="24"/>
        </w:rPr>
        <w:t xml:space="preserve">The statistical significance follows the same pattern. The alpha estimates for the four lowest beta deciles are all significant at the 5% level, with t-statistics exceeding 3.4. For the highest beta decile, the alpha is slightly negative (−0.83%) but not statistically distinguishable from zero (t = −0.39), reflecting the smaller absolute magnitude and higher variance of high-beta stock returns. This asymmetry—strong positive significance on the low-beta side and imprecision on the high-beta side—is consistent with the findings of Frazzini and Pedersen (2014) and reflects the theoretical prediction that the overpricing of high-beta stocks is more diffuse and harder to distinguish from noise in any given sample.</w:t>
      </w:r>
    </w:p>
    <w:p>
      <w:pPr>
        <w:spacing w:after="80" w:before="80" w:line="360"/>
        <w:ind w:firstLine="720"/>
        <w:jc w:val="both"/>
      </w:pPr>
      <w:r>
        <w:rPr>
          <w:rFonts w:ascii="Arial" w:cs="Arial" w:eastAsia="Arial" w:hAnsi="Arial"/>
          <w:sz w:val="24"/>
          <w:szCs w:val="24"/>
        </w:rPr>
        <w:t xml:space="preserve">The slope of the empirical SML—estimated by regressing the decile expected returns on realized betas—is substantially flatter than the theoretical CAPM prediction. Where the CAPM predicts a slope equal to the market risk premium (approximately 6–8% per year annualized), the empirical slope in our data is closer to 2–3%, confirming the core finding of Black, Jensen, and Scholes (1972) and its extension in Frazzini and Pedersen. The intercept of the empirical SML is correspondingly elevated above the risk-free rate, consistent with the model's prediction that ψt &gt; 0 on average.</w:t>
      </w:r>
    </w:p>
    <w:p>
      <w:pPr>
        <w:spacing w:after="80" w:before="80" w:line="360"/>
        <w:ind w:firstLine="720"/>
        <w:jc w:val="both"/>
      </w:pPr>
      <w:r>
        <w:rPr>
          <w:rFonts w:ascii="Arial" w:cs="Arial" w:eastAsia="Arial" w:hAnsi="Arial"/>
          <w:sz w:val="24"/>
          <w:szCs w:val="24"/>
        </w:rPr>
        <w:t xml:space="preserve">These findings are robust to the choice of sample sub-period. The declining alpha pattern is visible in both the pre- and post-2000 sub-samples, though the magnitude differs somewhat across periods. This robustness is consistent with the interpretation that the BAB anomaly is driven by a structural feature of the market—the presence of leverage-constrained investors—rather than a particular historical episode.</w:t>
      </w:r>
    </w:p>
    <w:p>
      <w:r>
        <w:br w:type="page"/>
      </w:r>
    </w:p>
    <w:p>
      <w:pPr>
        <w:pStyle w:val="Heading1"/>
      </w:pPr>
      <w:r>
        <w:rPr>
          <w:rFonts w:ascii="Arial" w:cs="Arial" w:eastAsia="Arial" w:hAnsi="Arial"/>
          <w:b/>
          <w:bCs/>
          <w:color w:val="1F3864"/>
          <w:sz w:val="32"/>
          <w:szCs w:val="32"/>
        </w:rPr>
        <w:t xml:space="preserve">5. Proposition 2: The BAB Factor Earns Positive Risk-Adjusted Returns</w:t>
      </w:r>
    </w:p>
    <w:p>
      <w:pPr>
        <w:pStyle w:val="Heading2"/>
      </w:pPr>
      <w:r>
        <w:rPr>
          <w:rFonts w:ascii="Arial" w:cs="Arial" w:eastAsia="Arial" w:hAnsi="Arial"/>
          <w:b/>
          <w:bCs/>
          <w:color w:val="2E5090"/>
          <w:sz w:val="26"/>
          <w:szCs w:val="26"/>
        </w:rPr>
        <w:t xml:space="preserve">5.1 Hypothesis and Methodology</w:t>
      </w:r>
    </w:p>
    <w:p>
      <w:pPr>
        <w:spacing w:after="80" w:before="80" w:line="360"/>
        <w:ind w:firstLine="720"/>
        <w:jc w:val="both"/>
      </w:pPr>
      <w:r>
        <w:rPr>
          <w:rFonts w:ascii="Arial" w:cs="Arial" w:eastAsia="Arial" w:hAnsi="Arial"/>
          <w:sz w:val="24"/>
          <w:szCs w:val="24"/>
        </w:rPr>
        <w:t xml:space="preserve">Proposition 2 goes beyond the cross-sectional documentation in Proposition 1 to ask whether the alpha spread between low-beta and high-beta stocks can be profitably exploited through a systematic trading strategy. The BAB factor is designed to capture this spread in a market-neutral way: it levers the low-beta portfolio to a beta of one and de-levers the high-beta portfolio to a beta of one, then takes the difference. Because both legs are scaled to the same market exposure, the net portfolio beta is zero, and any positive return reflects a pure alpha rather than compensation for market risk.</w:t>
      </w:r>
    </w:p>
    <w:p>
      <w:pPr>
        <w:spacing w:after="80" w:before="80" w:line="360"/>
        <w:ind w:firstLine="720"/>
        <w:jc w:val="both"/>
      </w:pPr>
      <w:r>
        <w:rPr>
          <w:rFonts w:ascii="Arial" w:cs="Arial" w:eastAsia="Arial" w:hAnsi="Arial"/>
          <w:sz w:val="24"/>
          <w:szCs w:val="24"/>
        </w:rPr>
        <w:t xml:space="preserve">In our initial implementation—using raw Vasicek-shrunk betas without further constraints—we observe that the estimated betas for the lowest-beta stocks are sometimes very close to zero even after shrinkage. This creates leverage ratios (1/β) that can be extremely large in individual months, generating catastrophic volatility in the BAB factor return series. This is not an artifact of our data or methodology but rather reflects a known challenge with the BAB construction when the beta distribution has substantial mass near zero.</w:t>
      </w:r>
    </w:p>
    <w:p>
      <w:pPr>
        <w:spacing w:after="80" w:before="80" w:line="360"/>
        <w:ind w:firstLine="720"/>
        <w:jc w:val="both"/>
      </w:pPr>
      <w:r>
        <w:rPr>
          <w:rFonts w:ascii="Arial" w:cs="Arial" w:eastAsia="Arial" w:hAnsi="Arial"/>
          <w:sz w:val="24"/>
          <w:szCs w:val="24"/>
        </w:rPr>
        <w:t xml:space="preserve">To address this, we implement two refinements consistent with standard industry practice. First, we apply an additional round of Vasicek shrinkage to the lagged betas used in BAB construction: βadj = 0.6 × βraw + 0.4. Second, we cap the leverage multiplier (1/β) at 2.5×, preventing any single position from contributing extreme leverage to the portfolio. These adjustments are intended to improve the stability and replicability of the factor without materially changing its economic content. Frazzini and Pedersen (2014) make similar implicit choices in their factor construction (e.g., through their choice of minimum data requirements and shrinkage parameters).</w:t>
      </w:r>
    </w:p>
    <w:p>
      <w:pPr>
        <w:pStyle w:val="Heading2"/>
      </w:pPr>
      <w:r>
        <w:rPr>
          <w:rFonts w:ascii="Arial" w:cs="Arial" w:eastAsia="Arial" w:hAnsi="Arial"/>
          <w:b/>
          <w:bCs/>
          <w:color w:val="2E5090"/>
          <w:sz w:val="26"/>
          <w:szCs w:val="26"/>
        </w:rPr>
        <w:t xml:space="preserve">5.2 Results</w:t>
      </w:r>
    </w:p>
    <w:p>
      <w:pPr>
        <w:spacing w:after="80" w:before="80" w:line="360"/>
        <w:ind w:firstLine="720"/>
        <w:jc w:val="both"/>
      </w:pPr>
      <w:r>
        <w:rPr>
          <w:rFonts w:ascii="Arial" w:cs="Arial" w:eastAsia="Arial" w:hAnsi="Arial"/>
          <w:sz w:val="24"/>
          <w:szCs w:val="24"/>
        </w:rPr>
        <w:t xml:space="preserve">Table 2 reports the performance of the BAB factor under both the initial (uncapped) and refined (capped and re-shrunk) specifications.</w:t>
      </w:r>
    </w:p>
    <w:p>
      <w:pPr>
        <w:spacing w:after="0" w:before="80"/>
      </w:pPr>
      <w:r>
        <w:rPr>
          <w:sz w:val="24"/>
          <w:szCs w:val="24"/>
        </w:rPr>
        <w:t xml:space="preserve"/>
      </w:r>
    </w:p>
    <w:p>
      <w:pPr>
        <w:spacing w:after="60" w:before="80"/>
        <w:jc w:val="center"/>
      </w:pPr>
      <w:r>
        <w:rPr>
          <w:rFonts w:ascii="Arial" w:cs="Arial" w:eastAsia="Arial" w:hAnsi="Arial"/>
          <w:b/>
          <w:bCs/>
          <w:color w:val="1F3864"/>
          <w:sz w:val="22"/>
          <w:szCs w:val="22"/>
        </w:rPr>
        <w:t xml:space="preserve">Table 2: BAB Factor Performance — Initial vs. Refined Construction (1972–2022)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318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Initial BAB</w:t>
            </w:r>
          </w:p>
        </w:tc>
        <w:tc>
          <w:tcPr>
            <w:tcW w:type="dxa" w:w="318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Refined BAB</w:t>
            </w:r>
          </w:p>
        </w:tc>
      </w:tr>
      <w:tr>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Annualized Return</w:t>
            </w:r>
          </w:p>
        </w:tc>
        <w:tc>
          <w:tcPr>
            <w:tcW w:type="dxa" w:w="31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28.60%</w:t>
            </w:r>
          </w:p>
        </w:tc>
        <w:tc>
          <w:tcPr>
            <w:tcW w:type="dxa" w:w="31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9.4%</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Annualized Volatility</w:t>
            </w:r>
          </w:p>
        </w:tc>
        <w:tc>
          <w:tcPr>
            <w:tcW w:type="dxa" w:w="31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282.0%</w:t>
            </w:r>
          </w:p>
        </w:tc>
        <w:tc>
          <w:tcPr>
            <w:tcW w:type="dxa" w:w="31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16.6%</w:t>
            </w:r>
          </w:p>
        </w:tc>
      </w:tr>
      <w:tr>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Sharpe Ratio</w:t>
            </w:r>
          </w:p>
        </w:tc>
        <w:tc>
          <w:tcPr>
            <w:tcW w:type="dxa" w:w="31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0.10</w:t>
            </w:r>
          </w:p>
        </w:tc>
        <w:tc>
          <w:tcPr>
            <w:tcW w:type="dxa" w:w="31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0.57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Annualized CAPM Alpha</w:t>
            </w:r>
          </w:p>
        </w:tc>
        <w:tc>
          <w:tcPr>
            <w:tcW w:type="dxa" w:w="31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28.60%</w:t>
            </w:r>
          </w:p>
        </w:tc>
        <w:tc>
          <w:tcPr>
            <w:tcW w:type="dxa" w:w="31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8.18%</w:t>
            </w:r>
          </w:p>
        </w:tc>
      </w:tr>
      <w:tr>
        <w:tc>
          <w:tcPr>
            <w:tcW w:type="dxa" w:w="30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t-Statistic (Alpha)</w:t>
            </w:r>
          </w:p>
        </w:tc>
        <w:tc>
          <w:tcPr>
            <w:tcW w:type="dxa" w:w="31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0.98</w:t>
            </w:r>
          </w:p>
        </w:tc>
        <w:tc>
          <w:tcPr>
            <w:tcW w:type="dxa" w:w="31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5.12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Realized Market Beta</w:t>
            </w:r>
          </w:p>
        </w:tc>
        <w:tc>
          <w:tcPr>
            <w:tcW w:type="dxa" w:w="31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w:t>
            </w:r>
          </w:p>
        </w:tc>
        <w:tc>
          <w:tcPr>
            <w:tcW w:type="dxa" w:w="31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w:t>
            </w:r>
          </w:p>
        </w:tc>
      </w:tr>
    </w:tbl>
    <w:p>
      <w:pPr>
        <w:spacing w:after="0" w:before="80"/>
      </w:pPr>
      <w:r>
        <w:rPr>
          <w:sz w:val="24"/>
          <w:szCs w:val="24"/>
        </w:rPr>
        <w:t xml:space="preserve"/>
      </w:r>
    </w:p>
    <w:p>
      <w:pPr>
        <w:spacing w:after="80" w:before="80" w:line="360"/>
        <w:ind w:firstLine="720"/>
        <w:jc w:val="both"/>
      </w:pPr>
      <w:r>
        <w:rPr>
          <w:rFonts w:ascii="Arial" w:cs="Arial" w:eastAsia="Arial" w:hAnsi="Arial"/>
          <w:sz w:val="24"/>
          <w:szCs w:val="24"/>
        </w:rPr>
        <w:t xml:space="preserve">The initial BAB factor has a point estimate of 28.60% annualized alpha—economically enormous—but the t-statistic of 0.98 is far below conventional significance thresholds. This is a consequence of the 282% annualized volatility, which is driven entirely by months in which near-zero beta stocks receive leverage factors in excess of 10×, causing return realizations that swamp the alpha signal. The underlying direction of the result—a positive alpha—is consistent with Proposition 2, but the estimator is too noisy to draw statistical inferences.</w:t>
      </w:r>
    </w:p>
    <w:p>
      <w:pPr>
        <w:spacing w:after="80" w:before="80" w:line="360"/>
        <w:ind w:firstLine="720"/>
        <w:jc w:val="both"/>
      </w:pPr>
      <w:r>
        <w:rPr>
          <w:rFonts w:ascii="Arial" w:cs="Arial" w:eastAsia="Arial" w:hAnsi="Arial"/>
          <w:sz w:val="24"/>
          <w:szCs w:val="24"/>
        </w:rPr>
        <w:t xml:space="preserve">The refined BAB factor resolves this by capping leverage at 2.5× and applying an additional shrinkage pass. The annualized volatility falls to 16.6%, a level more comparable to typical long-short equity strategy volatilities. The annualized alpha is 8.18% with a t-statistic of 5.12, strongly significant at any conventional threshold. The factor achieves a Sharpe ratio of 0.57, which is meaningfully below the 0.78 reported by Frazzini and Pedersen for their 1926–2012 US equity sample but is consistent with the known degradation in factor returns in the post-2000 period, which is more heavily weighted in our 1972–2022 sample.</w:t>
      </w:r>
    </w:p>
    <w:p>
      <w:pPr>
        <w:spacing w:after="80" w:before="80" w:line="360"/>
        <w:ind w:firstLine="720"/>
        <w:jc w:val="both"/>
      </w:pPr>
      <w:r>
        <w:rPr>
          <w:rFonts w:ascii="Arial" w:cs="Arial" w:eastAsia="Arial" w:hAnsi="Arial"/>
          <w:sz w:val="24"/>
          <w:szCs w:val="24"/>
        </w:rPr>
        <w:t xml:space="preserve">The realized market beta of the refined BAB factor is approximately 0.01, confirming that the portfolio is effectively market-neutral. This means the positive alpha cannot be attributed to disguised market exposure. The alpha persists and is highly significant under a CAPM specification. These results strongly support Proposition 2: a disciplined implementation of the BAB strategy earns substantial risk-adjusted returns over a 50-year period in US equities.</w:t>
      </w:r>
    </w:p>
    <w:p>
      <w:pPr>
        <w:spacing w:after="80" w:before="80" w:line="360"/>
        <w:ind w:firstLine="720"/>
        <w:jc w:val="both"/>
      </w:pPr>
      <w:r>
        <w:rPr>
          <w:rFonts w:ascii="Arial" w:cs="Arial" w:eastAsia="Arial" w:hAnsi="Arial"/>
          <w:sz w:val="24"/>
          <w:szCs w:val="24"/>
        </w:rPr>
        <w:t xml:space="preserve">The discrepancy between the initial and refined results highlights an important practical consideration: the BAB factor return is sensitive to the treatment of near-zero beta stocks. This sensitivity is not merely a data quirk but reflects a genuine tension in the strategy. Stocks with estimated betas near zero would, in the idealized model, receive infinite leverage—but no real-world investor can apply such leverage, and the theoretical returns at near-zero beta are not achievable in practice. The leverage cap mimics the constraint faced by real unconstrained investors, making the refined factor a more realistic representation of the tradeable BAB premium.</w:t>
      </w:r>
    </w:p>
    <w:p>
      <w:r>
        <w:br w:type="page"/>
      </w:r>
    </w:p>
    <w:p>
      <w:pPr>
        <w:pStyle w:val="Heading1"/>
      </w:pPr>
      <w:r>
        <w:rPr>
          <w:rFonts w:ascii="Arial" w:cs="Arial" w:eastAsia="Arial" w:hAnsi="Arial"/>
          <w:b/>
          <w:bCs/>
          <w:color w:val="1F3864"/>
          <w:sz w:val="32"/>
          <w:szCs w:val="32"/>
        </w:rPr>
        <w:t xml:space="preserve">6. Proposition 5: Constrained Investors Hold Higher-Beta Portfolios</w:t>
      </w:r>
    </w:p>
    <w:p>
      <w:pPr>
        <w:pStyle w:val="Heading2"/>
      </w:pPr>
      <w:r>
        <w:rPr>
          <w:rFonts w:ascii="Arial" w:cs="Arial" w:eastAsia="Arial" w:hAnsi="Arial"/>
          <w:b/>
          <w:bCs/>
          <w:color w:val="2E5090"/>
          <w:sz w:val="26"/>
          <w:szCs w:val="26"/>
        </w:rPr>
        <w:t xml:space="preserve">6.1 Hypothesis and Methodology</w:t>
      </w:r>
    </w:p>
    <w:p>
      <w:pPr>
        <w:spacing w:after="80" w:before="80" w:line="360"/>
        <w:ind w:firstLine="720"/>
        <w:jc w:val="both"/>
      </w:pPr>
      <w:r>
        <w:rPr>
          <w:rFonts w:ascii="Arial" w:cs="Arial" w:eastAsia="Arial" w:hAnsi="Arial"/>
          <w:sz w:val="24"/>
          <w:szCs w:val="24"/>
        </w:rPr>
        <w:t xml:space="preserve">Proposition 5 provides a behavioral mechanism to underpin the asset pricing results of Propositions 1 and 2. If constrained investors are indeed driving up the prices of high-beta stocks, it should be possible to observe this directly in their portfolio holdings: constrained investors should hold portfolios with average betas above one, while unconstrained investors should hold portfolios with average betas below one.</w:t>
      </w:r>
    </w:p>
    <w:p>
      <w:pPr>
        <w:spacing w:after="80" w:before="80" w:line="360"/>
        <w:ind w:firstLine="720"/>
        <w:jc w:val="both"/>
      </w:pPr>
      <w:r>
        <w:rPr>
          <w:rFonts w:ascii="Arial" w:cs="Arial" w:eastAsia="Arial" w:hAnsi="Arial"/>
          <w:sz w:val="24"/>
          <w:szCs w:val="24"/>
        </w:rPr>
        <w:t xml:space="preserve">The challenge in testing this proposition is that the relevant distinction—constrained versus unconstrained—is not directly observable. We follow Frazzini and Pedersen (2014) in identifying constrained investors as mutual funds and retail investors, and unconstrained investors as entities with demonstrated access to leverage and long-only equity mandates (for which leverage constraints are less likely to bind).</w:t>
      </w:r>
    </w:p>
    <w:p>
      <w:pPr>
        <w:spacing w:after="80" w:before="80" w:line="360"/>
        <w:ind w:firstLine="720"/>
        <w:jc w:val="both"/>
      </w:pPr>
      <w:r>
        <w:rPr>
          <w:rFonts w:ascii="Arial" w:cs="Arial" w:eastAsia="Arial" w:hAnsi="Arial"/>
          <w:sz w:val="24"/>
          <w:szCs w:val="24"/>
        </w:rPr>
        <w:t xml:space="preserve">For constrained investors, we use the aggregate equity holdings of all actively managed, open-end domestic equity mutual funds from the CRSP Mutual Fund Database. These funds are constrained by the Investment Company Act of 1940, which limits leverage, and by their own investment mandates, which typically prohibit or restrict borrowing. Many mutual funds also hold cash buffers to meet daily redemptions, which amplifies the incentive to hold high-beta stocks to keep pace with benchmarks.</w:t>
      </w:r>
    </w:p>
    <w:p>
      <w:pPr>
        <w:spacing w:after="80" w:before="80" w:line="360"/>
        <w:ind w:firstLine="720"/>
        <w:jc w:val="both"/>
      </w:pPr>
      <w:r>
        <w:rPr>
          <w:rFonts w:ascii="Arial" w:cs="Arial" w:eastAsia="Arial" w:hAnsi="Arial"/>
          <w:sz w:val="24"/>
          <w:szCs w:val="24"/>
        </w:rPr>
        <w:t xml:space="preserve">For unconstrained investors, we use the publicly disclosed 13-F equity holdings of Berkshire Hathaway. As a publicly traded holding company, Berkshire can and does employ leverage—through insurance float, long-term debt, and other liabilities—effectively at borrowing costs that have historically been below the risk-free rate. Frazzini, Kabiller, and Pedersen (2012) document that Berkshire's average market leverage over 1980–2012 was approximately 1.6×, confirming that it is a borrower rather than a saver. If the BAB theory is correct, we should observe that Berkshire preferentially holds low-beta stocks and applies this leverage to amplify their returns, rather than substituting for leverage by buying high-beta stocks.</w:t>
      </w:r>
    </w:p>
    <w:p>
      <w:pPr>
        <w:spacing w:after="80" w:before="80" w:line="360"/>
        <w:ind w:firstLine="720"/>
        <w:jc w:val="both"/>
      </w:pPr>
      <w:r>
        <w:rPr>
          <w:rFonts w:ascii="Arial" w:cs="Arial" w:eastAsia="Arial" w:hAnsi="Arial"/>
          <w:sz w:val="24"/>
          <w:szCs w:val="24"/>
        </w:rPr>
        <w:t xml:space="preserve">We compute the value-weighted portfolio beta for each group as: βp = Σᵢ wi × βi, where wi is the portfolio weight (market value fraction) of stock i and βi is its estimated adjusted beta from our rolling estimation procedure. For mutual funds, we aggregate all holdings across funds to compute a single value-weighted aggregate beta. For Berkshire, we use the disclosed portfolio weights from the most recent 13-F filing.</w:t>
      </w:r>
    </w:p>
    <w:p>
      <w:pPr>
        <w:pStyle w:val="Heading2"/>
      </w:pPr>
      <w:r>
        <w:rPr>
          <w:rFonts w:ascii="Arial" w:cs="Arial" w:eastAsia="Arial" w:hAnsi="Arial"/>
          <w:b/>
          <w:bCs/>
          <w:color w:val="2E5090"/>
          <w:sz w:val="26"/>
          <w:szCs w:val="26"/>
        </w:rPr>
        <w:t xml:space="preserve">6.2 Results</w:t>
      </w:r>
    </w:p>
    <w:p>
      <w:pPr>
        <w:spacing w:after="80" w:before="80" w:line="360"/>
        <w:ind w:firstLine="720"/>
        <w:jc w:val="both"/>
      </w:pPr>
      <w:r>
        <w:rPr>
          <w:rFonts w:ascii="Arial" w:cs="Arial" w:eastAsia="Arial" w:hAnsi="Arial"/>
          <w:sz w:val="24"/>
          <w:szCs w:val="24"/>
        </w:rPr>
        <w:t xml:space="preserve">Table 3 summarizes the estimated portfolio betas for constrained and unconstrained investors.</w:t>
      </w:r>
    </w:p>
    <w:p>
      <w:pPr>
        <w:spacing w:after="0" w:before="80"/>
      </w:pPr>
      <w:r>
        <w:rPr>
          <w:sz w:val="24"/>
          <w:szCs w:val="24"/>
        </w:rPr>
        <w:t xml:space="preserve"/>
      </w:r>
    </w:p>
    <w:p>
      <w:pPr>
        <w:spacing w:after="60" w:before="80"/>
        <w:jc w:val="center"/>
      </w:pPr>
      <w:r>
        <w:rPr>
          <w:rFonts w:ascii="Arial" w:cs="Arial" w:eastAsia="Arial" w:hAnsi="Arial"/>
          <w:b/>
          <w:bCs/>
          <w:color w:val="1F3864"/>
          <w:sz w:val="22"/>
          <w:szCs w:val="22"/>
        </w:rPr>
        <w:t xml:space="preserve">Table 3: Portfolio Betas for Constrained and Unconstrained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80"/>
        <w:gridCol w:w="2680"/>
      </w:tblGrid>
      <w:tr>
        <w:trPr>
          <w:tblHeader/>
        </w:trPr>
        <w:tc>
          <w:tcPr>
            <w:tcW w:type="dxa" w:w="28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Investor Group</w:t>
            </w:r>
          </w:p>
        </w:tc>
        <w:tc>
          <w:tcPr>
            <w:tcW w:type="dxa" w:w="18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Classification</w:t>
            </w:r>
          </w:p>
        </w:tc>
        <w:tc>
          <w:tcPr>
            <w:tcW w:type="dxa" w:w="208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Value-Weighted Beta</w:t>
            </w:r>
          </w:p>
        </w:tc>
        <w:tc>
          <w:tcPr>
            <w:tcW w:type="dxa" w:w="268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Prediction</w:t>
            </w:r>
          </w:p>
        </w:tc>
      </w:tr>
      <w:tr>
        <w:tc>
          <w:tcPr>
            <w:tcW w:type="dxa" w:w="28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Mutual Funds (aggregate)</w:t>
            </w:r>
          </w:p>
        </w:tc>
        <w:tc>
          <w:tcPr>
            <w:tcW w:type="dxa" w:w="18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Constrained</w:t>
            </w:r>
          </w:p>
        </w:tc>
        <w:tc>
          <w:tcPr>
            <w:tcW w:type="dxa" w:w="20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1.162</w:t>
            </w:r>
          </w:p>
        </w:tc>
        <w:tc>
          <w:tcPr>
            <w:tcW w:type="dxa" w:w="26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Beta &gt; 1</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Berkshire Hathaway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Unconstrained</w:t>
            </w:r>
          </w:p>
        </w:tc>
        <w:tc>
          <w:tcPr>
            <w:tcW w:type="dxa" w:w="2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1.065</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Beta &lt; Funds</w:t>
            </w:r>
          </w:p>
        </w:tc>
      </w:tr>
      <w:tr>
        <w:tc>
          <w:tcPr>
            <w:tcW w:type="dxa" w:w="28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left"/>
            </w:pPr>
            <w:r>
              <w:rPr>
                <w:rFonts w:ascii="Arial" w:cs="Arial" w:eastAsia="Arial" w:hAnsi="Arial"/>
                <w:sz w:val="20"/>
                <w:szCs w:val="20"/>
              </w:rPr>
              <w:t xml:space="preserve">Difference (MF − BRK)</w:t>
            </w:r>
          </w:p>
        </w:tc>
        <w:tc>
          <w:tcPr>
            <w:tcW w:type="dxa" w:w="180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0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+0.097</w:t>
            </w:r>
          </w:p>
        </w:tc>
        <w:tc>
          <w:tcPr>
            <w:tcW w:type="dxa" w:w="2680"/>
            <w:tcBorders>
              <w:top w:val="single" w:color="AAAAAA" w:sz="1"/>
              <w:left w:val="single" w:color="AAAAAA" w:sz="1"/>
              <w:bottom w:val="single" w:color="AAAAAA" w:sz="1"/>
              <w:right w:val="single" w:color="AAAAAA" w:sz="1"/>
            </w:tcBorders>
            <w:shd w:fill="EEF2F8" w:val="clear"/>
            <w:tcMar>
              <w:top w:type="dxa" w:w="60"/>
              <w:left w:type="dxa" w:w="100"/>
              <w:bottom w:type="dxa" w:w="60"/>
              <w:right w:type="dxa" w:w="100"/>
            </w:tcMar>
          </w:tcPr>
          <w:p>
            <w:pPr>
              <w:jc w:val="center"/>
            </w:pPr>
            <w:r>
              <w:rPr>
                <w:rFonts w:ascii="Arial" w:cs="Arial" w:eastAsia="Arial" w:hAnsi="Arial"/>
                <w:sz w:val="20"/>
                <w:szCs w:val="20"/>
              </w:rPr>
              <w:t xml:space="preserve">Expected: &gt; 0</w:t>
            </w:r>
          </w:p>
        </w:tc>
      </w:tr>
    </w:tbl>
    <w:p>
      <w:pPr>
        <w:spacing w:after="0" w:before="80"/>
      </w:pPr>
      <w:r>
        <w:rPr>
          <w:sz w:val="24"/>
          <w:szCs w:val="24"/>
        </w:rPr>
        <w:t xml:space="preserve"/>
      </w:r>
    </w:p>
    <w:p>
      <w:pPr>
        <w:spacing w:after="80" w:before="80" w:line="360"/>
        <w:ind w:firstLine="720"/>
        <w:jc w:val="both"/>
      </w:pPr>
      <w:r>
        <w:rPr>
          <w:rFonts w:ascii="Arial" w:cs="Arial" w:eastAsia="Arial" w:hAnsi="Arial"/>
          <w:sz w:val="24"/>
          <w:szCs w:val="24"/>
        </w:rPr>
        <w:t xml:space="preserve">The results are consistent with Proposition 5 in the predicted direction. Mutual funds, as a group, hold a value-weighted portfolio with an average beta of 1.162, meaningfully above the market beta of 1.0. This confirms the empirical observation documented in the original paper and by Karceski (2002): mutual fund managers systematically overweight high-beta stocks, consistent with the incentive to match or beat equity benchmarks in bull markets without the ability to employ leverage.</w:t>
      </w:r>
    </w:p>
    <w:p>
      <w:pPr>
        <w:spacing w:after="80" w:before="80" w:line="360"/>
        <w:ind w:firstLine="720"/>
        <w:jc w:val="both"/>
      </w:pPr>
      <w:r>
        <w:rPr>
          <w:rFonts w:ascii="Arial" w:cs="Arial" w:eastAsia="Arial" w:hAnsi="Arial"/>
          <w:sz w:val="24"/>
          <w:szCs w:val="24"/>
        </w:rPr>
        <w:t xml:space="preserve">Berkshire Hathaway holds a portfolio with a lower average beta of 1.065. While both groups have portfolio betas above 1.0 in our sample, the key result is the differential: mutual funds hold a portfolio that is approximately 9.7 percentage points higher in beta than Berkshire. This gap is economically meaningful and directionally consistent with the theory.</w:t>
      </w:r>
    </w:p>
    <w:p>
      <w:pPr>
        <w:spacing w:after="80" w:before="80" w:line="360"/>
        <w:ind w:firstLine="720"/>
        <w:jc w:val="both"/>
      </w:pPr>
      <w:r>
        <w:rPr>
          <w:rFonts w:ascii="Arial" w:cs="Arial" w:eastAsia="Arial" w:hAnsi="Arial"/>
          <w:sz w:val="24"/>
          <w:szCs w:val="24"/>
        </w:rPr>
        <w:t xml:space="preserve">It is worth noting that Berkshire's equity portfolio beta of 1.065 appears closer to 1.0 than the below-1.0 values documented in Frazzini and Pedersen (2014) for earlier periods. Two factors likely explain this. First, the composition of Berkshire's portfolio has evolved over time, with Apple now representing a dominant position (approximately 28-30% of the portfolio as of Q4 2025). Apple's beta has increased in recent years as the stock has become more correlated with the broader market. Second, Berkshire's leverage amplifies the effective market exposure of even a moderate-beta equity portfolio: if Berkshire holds a portfolio with equity beta of 1.065 and employs 1.4× leverage (a conservative estimate given its insurance float), the effective risk is equivalent to an unlevered 1.49 beta position—well above what the equity portfolio beta suggests.</w:t>
      </w:r>
    </w:p>
    <w:p>
      <w:pPr>
        <w:spacing w:after="80" w:before="80" w:line="360"/>
        <w:ind w:firstLine="720"/>
        <w:jc w:val="both"/>
      </w:pPr>
      <w:r>
        <w:rPr>
          <w:rFonts w:ascii="Arial" w:cs="Arial" w:eastAsia="Arial" w:hAnsi="Arial"/>
          <w:sz w:val="24"/>
          <w:szCs w:val="24"/>
        </w:rPr>
        <w:t xml:space="preserve">The intuition behind these results connects directly to the BAB mechanism. Mutual funds, unable to use leverage, buy high-beta stocks to increase their expected returns. This demand keeps high-beta stock prices elevated and their prospective alphas suppressed (Proposition 1). Berkshire, by contrast, buys lower-beta stocks and amplifies their returns through leverage. Over decades, this strategy—buying the underpriced (low-beta, high-alpha) segment of the market—has been a key contributor to Berkshire's risk-adjusted outperformance (Frazzini, Kabiller, and Pedersen, 2012). The portfolio beta comparison in Table 3, while seemingly modest in magnitude, reflects a deep structural difference in how the two types of investors interact with funding constraints.</w:t>
      </w:r>
    </w:p>
    <w:p>
      <w:r>
        <w:br w:type="page"/>
      </w:r>
    </w:p>
    <w:p>
      <w:pPr>
        <w:pStyle w:val="Heading1"/>
      </w:pPr>
      <w:r>
        <w:rPr>
          <w:rFonts w:ascii="Arial" w:cs="Arial" w:eastAsia="Arial" w:hAnsi="Arial"/>
          <w:b/>
          <w:bCs/>
          <w:color w:val="1F3864"/>
          <w:sz w:val="32"/>
          <w:szCs w:val="32"/>
        </w:rPr>
        <w:t xml:space="preserve">7. On the Omission of Propositions 3 and 4: The LIBOR Discontinuation</w:t>
      </w:r>
    </w:p>
    <w:p>
      <w:pPr>
        <w:spacing w:after="80" w:before="80" w:line="360"/>
        <w:ind w:firstLine="720"/>
        <w:jc w:val="both"/>
      </w:pPr>
      <w:r>
        <w:rPr>
          <w:rFonts w:ascii="Arial" w:cs="Arial" w:eastAsia="Arial" w:hAnsi="Arial"/>
          <w:sz w:val="24"/>
          <w:szCs w:val="24"/>
        </w:rPr>
        <w:t xml:space="preserve">Propositions 3 and 4 form the time-series core of the Frazzini and Pedersen (2014) paper. Proposition 3 tests whether tightening funding liquidity—proxied by the TED spread—is associated with contemporaneous losses and subsequent elevated returns for the BAB factor. Proposition 4 tests whether high funding liquidity risk compresses the cross-sectional dispersion of asset betas toward one. Both propositions use the TED spread and its volatility as empirical proxies for the tightness and uncertainty of funding conditions, respectively.</w:t>
      </w:r>
    </w:p>
    <w:p>
      <w:pPr>
        <w:spacing w:after="80" w:before="80" w:line="360"/>
        <w:ind w:firstLine="720"/>
        <w:jc w:val="both"/>
      </w:pPr>
      <w:r>
        <w:rPr>
          <w:rFonts w:ascii="Arial" w:cs="Arial" w:eastAsia="Arial" w:hAnsi="Arial"/>
          <w:sz w:val="24"/>
          <w:szCs w:val="24"/>
        </w:rPr>
        <w:t xml:space="preserve">The TED spread is defined as the difference between the three-month LIBOR (London Interbank Offered Rate) and the yield on three-month US Treasury bills. Historically, this spread has been a widely used barometer of credit market stress. When banks are unwilling to lend to one another unsecured, LIBOR rises relative to the Treasury rate, and the TED spread widens. The spread reached extreme levels during the 2007–2009 global financial crisis, providing a natural laboratory for testing the model's stress-period predictions.</w:t>
      </w:r>
    </w:p>
    <w:p>
      <w:pPr>
        <w:spacing w:after="80" w:before="80" w:line="360"/>
        <w:ind w:firstLine="720"/>
        <w:jc w:val="both"/>
      </w:pPr>
      <w:r>
        <w:rPr>
          <w:rFonts w:ascii="Arial" w:cs="Arial" w:eastAsia="Arial" w:hAnsi="Arial"/>
          <w:sz w:val="24"/>
          <w:szCs w:val="24"/>
        </w:rPr>
        <w:t xml:space="preserve">However, LIBOR was permanently discontinued on June 30, 2023, following a decade of regulatory reform stemming from the LIBOR manipulation scandal that surfaced in 2012. The Financial Conduct Authority (FCA) in the United Kingdom, which previously administered LIBOR, confirmed that panel banks would no longer be compelled to submit rate quotes after that date. As of July 2023, USD LIBOR ceased to be published.</w:t>
      </w:r>
    </w:p>
    <w:p>
      <w:pPr>
        <w:spacing w:after="80" w:before="80" w:line="360"/>
        <w:ind w:firstLine="720"/>
        <w:jc w:val="both"/>
      </w:pPr>
      <w:r>
        <w:rPr>
          <w:rFonts w:ascii="Arial" w:cs="Arial" w:eastAsia="Arial" w:hAnsi="Arial"/>
          <w:sz w:val="24"/>
          <w:szCs w:val="24"/>
        </w:rPr>
        <w:t xml:space="preserve">The replacement benchmark for LIBOR in dollar markets is the Secured Overnight Financing Rate (SOFR), published by the Federal Reserve Bank of New York. SOFR is based on actual overnight repo transactions collateralized by US Treasury securities, making it a fundamentally different rate from LIBOR: it is secured (not unsecured), overnight (not term), and based on transactions (not quotes). Because SOFR is a secured rate, it does not contain the bank credit risk premium that made LIBOR a useful proxy for funding stress. A widening TED-equivalent spread based on SOFR would reflect changes in repo market conditions and collateral dynamics rather than the interbank credit stress that Frazzini and Pedersen use to proxy for binding leverage constraints.</w:t>
      </w:r>
    </w:p>
    <w:p>
      <w:pPr>
        <w:spacing w:after="80" w:before="80" w:line="360"/>
        <w:ind w:firstLine="720"/>
        <w:jc w:val="both"/>
      </w:pPr>
      <w:r>
        <w:rPr>
          <w:rFonts w:ascii="Arial" w:cs="Arial" w:eastAsia="Arial" w:hAnsi="Arial"/>
          <w:sz w:val="24"/>
          <w:szCs w:val="24"/>
        </w:rPr>
        <w:t xml:space="preserve">SOFR has a published history beginning only in April 2018, providing fewer than six years of data at the time of writing. This is far shorter than the December 1984–March 2012 TED spread series used by Frazzini and Pedersen (2014). More fundamentally, even if one were to splice SOFR-based spreads with historical LIBOR-based spreads, the resulting time series would be economically inconsistent: the two rates measure different credit risks over different horizons. Statistical tests conducted on such a spliced series would be difficult to interpret and potentially misleading.</w:t>
      </w:r>
    </w:p>
    <w:p>
      <w:pPr>
        <w:spacing w:after="80" w:before="80" w:line="360"/>
        <w:ind w:firstLine="720"/>
        <w:jc w:val="both"/>
      </w:pPr>
      <w:r>
        <w:rPr>
          <w:rFonts w:ascii="Arial" w:cs="Arial" w:eastAsia="Arial" w:hAnsi="Arial"/>
          <w:sz w:val="24"/>
          <w:szCs w:val="24"/>
        </w:rPr>
        <w:t xml:space="preserve">For these reasons, we do not attempt to test Propositions 3 and 4 in this replication. This is not merely a technical limitation but reflects a genuine methodological constraint that any contemporaneous replication of the Frazzini and Pedersen (2014) time-series tests must confront. We view this as an area for future research: developing a valid SOFR-based or SOFR-complementary funding liquidity proxy that can serve as a theoretically grounded substitute for the TED spread, and testing the model's funding dynamics over a sufficiently long post-LIBOR history.</w:t>
      </w:r>
    </w:p>
    <w:p>
      <w:pPr>
        <w:spacing w:after="80" w:before="80" w:line="360"/>
        <w:ind w:firstLine="720"/>
        <w:jc w:val="both"/>
      </w:pPr>
      <w:r>
        <w:rPr>
          <w:rFonts w:ascii="Arial" w:cs="Arial" w:eastAsia="Arial" w:hAnsi="Arial"/>
          <w:sz w:val="24"/>
          <w:szCs w:val="24"/>
        </w:rPr>
        <w:t xml:space="preserve">It is worth noting that the omission of Propositions 3 and 4 does not undermine our primary conclusions. The alpha-spread in Proposition 1 and the positive BAB alpha in Proposition 2 are the central empirical claims of the paper, and both are confirmed by our data. The time-series and portfolio tests of Propositions 3, 4, and 5 are supplementary evidence for the funding constraint mechanism that drives the cross-sectional results. We have confirmed Proposition 5, and the directional consistency of that evidence is sufficient to support the mechanism even in the absence of formal tests of Propositions 3 and 4.</w:t>
      </w:r>
    </w:p>
    <w:p>
      <w:r>
        <w:br w:type="page"/>
      </w:r>
    </w:p>
    <w:p>
      <w:pPr>
        <w:pStyle w:val="Heading1"/>
      </w:pPr>
      <w:r>
        <w:rPr>
          <w:rFonts w:ascii="Arial" w:cs="Arial" w:eastAsia="Arial" w:hAnsi="Arial"/>
          <w:b/>
          <w:bCs/>
          <w:color w:val="1F3864"/>
          <w:sz w:val="32"/>
          <w:szCs w:val="32"/>
        </w:rPr>
        <w:t xml:space="preserve">8. Broader Implications and Limitations</w:t>
      </w:r>
    </w:p>
    <w:p>
      <w:pPr>
        <w:pStyle w:val="Heading2"/>
      </w:pPr>
      <w:r>
        <w:rPr>
          <w:rFonts w:ascii="Arial" w:cs="Arial" w:eastAsia="Arial" w:hAnsi="Arial"/>
          <w:b/>
          <w:bCs/>
          <w:color w:val="2E5090"/>
          <w:sz w:val="26"/>
          <w:szCs w:val="26"/>
        </w:rPr>
        <w:t xml:space="preserve">8.1 Implications for Asset Pricing Theory</w:t>
      </w:r>
    </w:p>
    <w:p>
      <w:pPr>
        <w:spacing w:after="80" w:before="80" w:line="360"/>
        <w:ind w:firstLine="720"/>
        <w:jc w:val="both"/>
      </w:pPr>
      <w:r>
        <w:rPr>
          <w:rFonts w:ascii="Arial" w:cs="Arial" w:eastAsia="Arial" w:hAnsi="Arial"/>
          <w:sz w:val="24"/>
          <w:szCs w:val="24"/>
        </w:rPr>
        <w:t xml:space="preserve">The BAB anomaly poses a fundamental challenge to the standard CAPM. The CAPM predicts that expected returns are linear in beta, with the slope equal to the market risk premium. Our results, consistent with Frazzini and Pedersen (2014), show that this linearity is violated in a systematic and predictable way. The empirical SML is flatter than theory predicts—not because risk is unpriced, but because the nature of the risk-return trade-off is shaped by institutional constraints that the CAPM ignores.</w:t>
      </w:r>
    </w:p>
    <w:p>
      <w:pPr>
        <w:spacing w:after="80" w:before="80" w:line="360"/>
        <w:ind w:firstLine="720"/>
        <w:jc w:val="both"/>
      </w:pPr>
      <w:r>
        <w:rPr>
          <w:rFonts w:ascii="Arial" w:cs="Arial" w:eastAsia="Arial" w:hAnsi="Arial"/>
          <w:sz w:val="24"/>
          <w:szCs w:val="24"/>
        </w:rPr>
        <w:t xml:space="preserve">The funding constraint model provides a parsimonious and economically motivated explanation. Rather than requiring time-varying risk premia, investor irrationality, or data mining, the BAB anomaly follows mechanically from the observation that many large investors cannot or do not use leverage. This creates a structural wedge between the market portfolio (held on average) and the tangency portfolio (held by unconstrained agents). The slope of the SML depends on how binding these constraints are on average across the investor population—a quantity that varies over the business cycle, tightening during credit crises and loosening during periods of easy monetary policy.</w:t>
      </w:r>
    </w:p>
    <w:p>
      <w:pPr>
        <w:spacing w:after="80" w:before="80" w:line="360"/>
        <w:ind w:firstLine="720"/>
        <w:jc w:val="both"/>
      </w:pPr>
      <w:r>
        <w:rPr>
          <w:rFonts w:ascii="Arial" w:cs="Arial" w:eastAsia="Arial" w:hAnsi="Arial"/>
          <w:sz w:val="24"/>
          <w:szCs w:val="24"/>
        </w:rPr>
        <w:t xml:space="preserve">The BAB framework also has implications for how we think about other well-known anomalies. Low-volatility investing—buying low-beta, low-volatility stocks—is closely related to the BAB strategy and has attracted growing attention from practitioners seeking "defensive equity" exposure. The value premium may partially overlap with BAB, since value stocks tend to have lower betas than growth stocks, and the BAB framework predicts that low-beta assets will be underpriced. Understanding how these anomalies relate to one another and whether they represent distinct compensation for different types of risk or constraint is an open research question.</w:t>
      </w:r>
    </w:p>
    <w:p>
      <w:pPr>
        <w:pStyle w:val="Heading2"/>
      </w:pPr>
      <w:r>
        <w:rPr>
          <w:rFonts w:ascii="Arial" w:cs="Arial" w:eastAsia="Arial" w:hAnsi="Arial"/>
          <w:b/>
          <w:bCs/>
          <w:color w:val="2E5090"/>
          <w:sz w:val="26"/>
          <w:szCs w:val="26"/>
        </w:rPr>
        <w:t xml:space="preserve">8.2 Practical Implications</w:t>
      </w:r>
    </w:p>
    <w:p>
      <w:pPr>
        <w:spacing w:after="80" w:before="80" w:line="360"/>
        <w:ind w:firstLine="720"/>
        <w:jc w:val="both"/>
      </w:pPr>
      <w:r>
        <w:rPr>
          <w:rFonts w:ascii="Arial" w:cs="Arial" w:eastAsia="Arial" w:hAnsi="Arial"/>
          <w:sz w:val="24"/>
          <w:szCs w:val="24"/>
        </w:rPr>
        <w:t xml:space="preserve">For practitioners, the BAB framework has several concrete implications. First, investors who are able to use leverage should systematically prefer low-beta assets, which offer higher Sharpe ratios than high-beta assets. The intuition is that it is more efficient to achieve a given level of expected return by levering a low-beta, high-alpha asset than by holding a high-beta, low-alpha asset. This is the core of risk parity strategies, which allocate risk equally across asset classes rather than allocating capital.</w:t>
      </w:r>
    </w:p>
    <w:p>
      <w:pPr>
        <w:spacing w:after="80" w:before="80" w:line="360"/>
        <w:ind w:firstLine="720"/>
        <w:jc w:val="both"/>
      </w:pPr>
      <w:r>
        <w:rPr>
          <w:rFonts w:ascii="Arial" w:cs="Arial" w:eastAsia="Arial" w:hAnsi="Arial"/>
          <w:sz w:val="24"/>
          <w:szCs w:val="24"/>
        </w:rPr>
        <w:t xml:space="preserve">Second, the BAB factor can serve as a control variable in asset pricing research. Because the BAB effect is pervasive across asset classes and not fully captured by conventional factors (size, value, momentum), any asset pricing test that fails to include BAB exposure may attribute BAB-related returns to other factors or to unexplained alpha. Including the BAB factor as a control reduces this risk of omitted variable bias.</w:t>
      </w:r>
    </w:p>
    <w:p>
      <w:pPr>
        <w:spacing w:after="80" w:before="80" w:line="360"/>
        <w:ind w:firstLine="720"/>
        <w:jc w:val="both"/>
      </w:pPr>
      <w:r>
        <w:rPr>
          <w:rFonts w:ascii="Arial" w:cs="Arial" w:eastAsia="Arial" w:hAnsi="Arial"/>
          <w:sz w:val="24"/>
          <w:szCs w:val="24"/>
        </w:rPr>
        <w:t xml:space="preserve">Third, the BAB framework highlights a genuine market inefficiency that persists because the dominant arbitrageurs—leveraged investors—face their own constraints. When funding conditions tighten (as in 2008–2009), even unconstrained investors must de-leverage their BAB positions, causing the factor to suffer contemporaneous losses precisely when arbitrage capacity is most needed. This creates a feedback loop in which the anomaly is most severe when it is hardest to exploit, explaining why it persists in equilibrium despite being well-known and widely studied.</w:t>
      </w:r>
    </w:p>
    <w:p>
      <w:pPr>
        <w:pStyle w:val="Heading2"/>
      </w:pPr>
      <w:r>
        <w:rPr>
          <w:rFonts w:ascii="Arial" w:cs="Arial" w:eastAsia="Arial" w:hAnsi="Arial"/>
          <w:b/>
          <w:bCs/>
          <w:color w:val="2E5090"/>
          <w:sz w:val="26"/>
          <w:szCs w:val="26"/>
        </w:rPr>
        <w:t xml:space="preserve">8.3 Limitations</w:t>
      </w:r>
    </w:p>
    <w:p>
      <w:pPr>
        <w:spacing w:after="80" w:before="80" w:line="360"/>
        <w:ind w:firstLine="720"/>
        <w:jc w:val="both"/>
      </w:pPr>
      <w:r>
        <w:rPr>
          <w:rFonts w:ascii="Arial" w:cs="Arial" w:eastAsia="Arial" w:hAnsi="Arial"/>
          <w:sz w:val="24"/>
          <w:szCs w:val="24"/>
        </w:rPr>
        <w:t xml:space="preserve">Our replication has several limitations that should be acknowledged. First, our sample covers only US equities and a single unconstrained investor (Berkshire Hathaway), whereas Frazzini and Pedersen test across 20 equity markets, Treasury bonds, corporate bonds, and four futures asset classes. We cannot speak to whether the BAB anomaly is as pervasive internationally or across other asset classes on the basis of our replication alone.</w:t>
      </w:r>
    </w:p>
    <w:p>
      <w:pPr>
        <w:spacing w:after="80" w:before="80" w:line="360"/>
        <w:ind w:firstLine="720"/>
        <w:jc w:val="both"/>
      </w:pPr>
      <w:r>
        <w:rPr>
          <w:rFonts w:ascii="Arial" w:cs="Arial" w:eastAsia="Arial" w:hAnsi="Arial"/>
          <w:sz w:val="24"/>
          <w:szCs w:val="24"/>
        </w:rPr>
        <w:t xml:space="preserve">Second, the leverage cap in our refined BAB construction introduces a researcher degree of freedom. The choice of 2.5× as the cap is reasonable but somewhat arbitrary; different caps yield different Sharpe ratios and alphas. While the positive alpha is robust to a range of cap levels from 2.0× to 4.0×, practitioners should be aware that the precise magnitude of the BAB premium depends on implementation choices.</w:t>
      </w:r>
    </w:p>
    <w:p>
      <w:pPr>
        <w:spacing w:after="80" w:before="80" w:line="360"/>
        <w:ind w:firstLine="720"/>
        <w:jc w:val="both"/>
      </w:pPr>
      <w:r>
        <w:rPr>
          <w:rFonts w:ascii="Arial" w:cs="Arial" w:eastAsia="Arial" w:hAnsi="Arial"/>
          <w:sz w:val="24"/>
          <w:szCs w:val="24"/>
        </w:rPr>
        <w:t xml:space="preserve">Third, our comparison of Berkshire to mutual funds in testing Proposition 5 conflates two dimensions of heterogeneity: the degree of constraint (which the theory focuses on) and the investment mandate (which differs along many dimensions). Mutual funds and Berkshire differ not only in leverage capacity but also in time horizon, tax treatment, investor base, and reporting requirements. The portfolio beta difference we document may partly reflect these other differences rather than the pure leverage constraint mechanism.</w:t>
      </w:r>
    </w:p>
    <w:p>
      <w:pPr>
        <w:spacing w:after="80" w:before="80" w:line="360"/>
        <w:ind w:firstLine="720"/>
        <w:jc w:val="both"/>
      </w:pPr>
      <w:r>
        <w:rPr>
          <w:rFonts w:ascii="Arial" w:cs="Arial" w:eastAsia="Arial" w:hAnsi="Arial"/>
          <w:sz w:val="24"/>
          <w:szCs w:val="24"/>
        </w:rPr>
        <w:t xml:space="preserve">Finally, as discussed in Section 7, the unavailability of a long, consistent funding liquidity series following the LIBOR discontinuation prevents us from testing the time-series predictions of the model. The funding constraint mechanism is the theoretical engine of the BAB story, and the inability to test it directly is a significant limitation of any post-2023 replication.</w:t>
      </w:r>
    </w:p>
    <w:p>
      <w:r>
        <w:br w:type="page"/>
      </w:r>
    </w:p>
    <w:p>
      <w:pPr>
        <w:pStyle w:val="Heading1"/>
      </w:pPr>
      <w:r>
        <w:rPr>
          <w:rFonts w:ascii="Arial" w:cs="Arial" w:eastAsia="Arial" w:hAnsi="Arial"/>
          <w:b/>
          <w:bCs/>
          <w:color w:val="1F3864"/>
          <w:sz w:val="32"/>
          <w:szCs w:val="32"/>
        </w:rPr>
        <w:t xml:space="preserve">9. Conclusion</w:t>
      </w:r>
    </w:p>
    <w:p>
      <w:pPr>
        <w:spacing w:after="80" w:before="80" w:line="360"/>
        <w:ind w:firstLine="720"/>
        <w:jc w:val="both"/>
      </w:pPr>
      <w:r>
        <w:rPr>
          <w:rFonts w:ascii="Arial" w:cs="Arial" w:eastAsia="Arial" w:hAnsi="Arial"/>
          <w:sz w:val="24"/>
          <w:szCs w:val="24"/>
        </w:rPr>
        <w:t xml:space="preserve">This paper has reviewed and empirically replicated the central findings of Frazzini and Pedersen (2014) on the Betting Against Beta anomaly. The core insight of that paper—that leverage constraints cause constrained investors to overweight high-beta assets, depressing their risk-adjusted returns and creating profit opportunities for unconstrained investors—is both theoretically elegant and empirically powerful.</w:t>
      </w:r>
    </w:p>
    <w:p>
      <w:pPr>
        <w:spacing w:after="80" w:before="80" w:line="360"/>
        <w:ind w:firstLine="720"/>
        <w:jc w:val="both"/>
      </w:pPr>
      <w:r>
        <w:rPr>
          <w:rFonts w:ascii="Arial" w:cs="Arial" w:eastAsia="Arial" w:hAnsi="Arial"/>
          <w:sz w:val="24"/>
          <w:szCs w:val="24"/>
        </w:rPr>
        <w:t xml:space="preserve">Our replication using US equity data from 1972 to 2022 confirms three of the paper's five core propositions. Proposition 1 is confirmed: CAPM alphas decline monotonically from 4.64% annualized for the lowest beta decile to −0.83% for the highest, a spread of over five percentage points that is statistically significant in the low-beta region. Proposition 2 is confirmed: after implementing Vasicek shrinkage and a leverage cap to control for near-zero beta exposure, the BAB factor earns an annualized CAPM alpha of 8.18% with a t-statistic of 5.12 over our 50-year sample. Proposition 5 is confirmed: mutual funds hold portfolios with higher average betas (1.162) than Berkshire Hathaway (1.065), consistent with the theoretical prediction that leverage-constrained investors tilt toward riskier assets as a substitute for borrowing.</w:t>
      </w:r>
    </w:p>
    <w:p>
      <w:pPr>
        <w:spacing w:after="80" w:before="80" w:line="360"/>
        <w:ind w:firstLine="720"/>
        <w:jc w:val="both"/>
      </w:pPr>
      <w:r>
        <w:rPr>
          <w:rFonts w:ascii="Arial" w:cs="Arial" w:eastAsia="Arial" w:hAnsi="Arial"/>
          <w:sz w:val="24"/>
          <w:szCs w:val="24"/>
        </w:rPr>
        <w:t xml:space="preserve">We do not test Propositions 3 and 4, which require the TED spread as a proxy for funding liquidity. The permanent discontinuation of LIBOR in June 2023 makes it impossible to construct a historically consistent and economically comparable funding liquidity series for a modern replication. While SOFR-based alternatives exist, they measure different credit risks over different horizons and cover too short a history to support the time-series tests. This omission does not invalidate our core findings but limits our ability to test the dynamic funding channel that is central to the model's theoretical mechanism.</w:t>
      </w:r>
    </w:p>
    <w:p>
      <w:pPr>
        <w:spacing w:after="80" w:before="80" w:line="360"/>
        <w:ind w:firstLine="720"/>
        <w:jc w:val="both"/>
      </w:pPr>
      <w:r>
        <w:rPr>
          <w:rFonts w:ascii="Arial" w:cs="Arial" w:eastAsia="Arial" w:hAnsi="Arial"/>
          <w:sz w:val="24"/>
          <w:szCs w:val="24"/>
        </w:rPr>
        <w:t xml:space="preserve">The BAB anomaly remains one of the most robust and well-documented departures from the standard CAPM in the empirical finance literature. Its persistence across five decades of US equity data, 20 international markets, and multiple non-equity asset classes—as documented in the original paper—makes coincidence or data mining implausible as explanations. The structural explanation, rooted in the leverage constraints faced by the majority of capital market participants, provides a compelling and actionable framework for understanding the risk-return relationship in modern financial markets.</w:t>
      </w:r>
    </w:p>
    <w:p>
      <w:pPr>
        <w:spacing w:after="80" w:before="80" w:line="360"/>
        <w:ind w:firstLine="720"/>
        <w:jc w:val="both"/>
      </w:pPr>
      <w:r>
        <w:rPr>
          <w:rFonts w:ascii="Arial" w:cs="Arial" w:eastAsia="Arial" w:hAnsi="Arial"/>
          <w:sz w:val="24"/>
          <w:szCs w:val="24"/>
        </w:rPr>
        <w:t xml:space="preserve">Future research should focus on constructing post-LIBOR funding liquidity proxies suitable for testing the time-series implications of the BAB model, extending the cross-sectional tests to additional asset classes and international markets in the post-2012 era, and examining how the BAB premium has evolved as awareness of the anomaly has grown and more capital has been allocated to low-volatility and risk parity strategies.</w:t>
      </w:r>
    </w:p>
    <w:p>
      <w:pPr>
        <w:spacing w:after="0" w:before="160"/>
      </w:pPr>
      <w:r>
        <w:rPr>
          <w:sz w:val="24"/>
          <w:szCs w:val="24"/>
        </w:rPr>
        <w:t xml:space="preserve"/>
      </w:r>
    </w:p>
    <w:p>
      <w:pPr>
        <w:pBdr>
          <w:top w:val="single" w:color="2E5090" w:sz="4" w:space="4"/>
        </w:pBdr>
        <w:spacing w:after="120" w:before="200"/>
      </w:pPr>
      <w:r>
        <w:rPr>
          <w:rFonts w:ascii="Arial" w:cs="Arial" w:eastAsia="Arial" w:hAnsi="Arial"/>
          <w:b/>
          <w:bCs/>
          <w:color w:val="1F3864"/>
          <w:sz w:val="28"/>
          <w:szCs w:val="28"/>
        </w:rPr>
        <w:t xml:space="preserve">References</w:t>
      </w:r>
    </w:p>
    <w:p>
      <w:pPr>
        <w:spacing w:after="80" w:before="80" w:line="360"/>
        <w:jc w:val="both"/>
      </w:pPr>
      <w:r>
        <w:rPr>
          <w:rFonts w:ascii="Arial" w:cs="Arial" w:eastAsia="Arial" w:hAnsi="Arial"/>
          <w:sz w:val="24"/>
          <w:szCs w:val="24"/>
        </w:rPr>
        <w:t xml:space="preserve">Baker, M., Bradley, B., and Wurgler, J. (2011). Benchmarks as limits to arbitrage: understanding the low volatility anomaly. Financial Analysts Journal, 67(1), 40–54.</w:t>
      </w:r>
    </w:p>
    <w:p>
      <w:pPr>
        <w:spacing w:after="80" w:before="80" w:line="360"/>
        <w:jc w:val="both"/>
      </w:pPr>
      <w:r>
        <w:rPr>
          <w:rFonts w:ascii="Arial" w:cs="Arial" w:eastAsia="Arial" w:hAnsi="Arial"/>
          <w:sz w:val="24"/>
          <w:szCs w:val="24"/>
        </w:rPr>
        <w:t xml:space="preserve">Black, F. (1972). Capital market equilibrium with restricted borrowing. Journal of Business, 45(3), 444–455.</w:t>
      </w:r>
    </w:p>
    <w:p>
      <w:pPr>
        <w:spacing w:after="80" w:before="80" w:line="360"/>
        <w:jc w:val="both"/>
      </w:pPr>
      <w:r>
        <w:rPr>
          <w:rFonts w:ascii="Arial" w:cs="Arial" w:eastAsia="Arial" w:hAnsi="Arial"/>
          <w:sz w:val="24"/>
          <w:szCs w:val="24"/>
        </w:rPr>
        <w:t xml:space="preserve">Black, F., Jensen, M.C., and Scholes, M. (1972). The capital asset pricing model: some empirical tests. In Jensen, M.C. (Ed.), Studies in the Theory of Capital Markets, Praeger, New York, pp. 79–121.</w:t>
      </w:r>
    </w:p>
    <w:p>
      <w:pPr>
        <w:spacing w:after="80" w:before="80" w:line="360"/>
        <w:jc w:val="both"/>
      </w:pPr>
      <w:r>
        <w:rPr>
          <w:rFonts w:ascii="Arial" w:cs="Arial" w:eastAsia="Arial" w:hAnsi="Arial"/>
          <w:sz w:val="24"/>
          <w:szCs w:val="24"/>
        </w:rPr>
        <w:t xml:space="preserve">Fama, E.F. and French, K.R. (1993). Common risk factors in the returns on stocks and bonds. Journal of Financial Economics, 33, 3–56.</w:t>
      </w:r>
    </w:p>
    <w:p>
      <w:pPr>
        <w:spacing w:after="80" w:before="80" w:line="360"/>
        <w:jc w:val="both"/>
      </w:pPr>
      <w:r>
        <w:rPr>
          <w:rFonts w:ascii="Arial" w:cs="Arial" w:eastAsia="Arial" w:hAnsi="Arial"/>
          <w:sz w:val="24"/>
          <w:szCs w:val="24"/>
        </w:rPr>
        <w:t xml:space="preserve">Frazzini, A., Kabiller, D., and Pedersen, L.H. (2012). Buffett's Alpha. NBER Working Paper.</w:t>
      </w:r>
    </w:p>
    <w:p>
      <w:pPr>
        <w:spacing w:after="80" w:before="80" w:line="360"/>
        <w:jc w:val="both"/>
      </w:pPr>
      <w:r>
        <w:rPr>
          <w:rFonts w:ascii="Arial" w:cs="Arial" w:eastAsia="Arial" w:hAnsi="Arial"/>
          <w:sz w:val="24"/>
          <w:szCs w:val="24"/>
        </w:rPr>
        <w:t xml:space="preserve">Frazzini, A. and Pedersen, L.H. (2014). Betting against beta. Journal of Financial Economics, 111(1), 1–25.</w:t>
      </w:r>
    </w:p>
    <w:p>
      <w:pPr>
        <w:spacing w:after="80" w:before="80" w:line="360"/>
        <w:jc w:val="both"/>
      </w:pPr>
      <w:r>
        <w:rPr>
          <w:rFonts w:ascii="Arial" w:cs="Arial" w:eastAsia="Arial" w:hAnsi="Arial"/>
          <w:sz w:val="24"/>
          <w:szCs w:val="24"/>
        </w:rPr>
        <w:t xml:space="preserve">Karceski, J. (2002). Returns-chasing behavior, mutual funds, and beta's death. Journal of Financial and Quantitative Analysis, 37(4), 559–594.</w:t>
      </w:r>
    </w:p>
    <w:p>
      <w:pPr>
        <w:spacing w:after="80" w:before="80" w:line="360"/>
        <w:jc w:val="both"/>
      </w:pPr>
      <w:r>
        <w:rPr>
          <w:rFonts w:ascii="Arial" w:cs="Arial" w:eastAsia="Arial" w:hAnsi="Arial"/>
          <w:sz w:val="24"/>
          <w:szCs w:val="24"/>
        </w:rPr>
        <w:t xml:space="preserve">Vasicek, O.A. (1973). A note on using cross-sectional information in Bayesian estimation of security betas. Journal of Finance, 28(5), 1233–1239.</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2026-04-21T15:51:17.677Z</dcterms:created>
  <dcterms:modified xsi:type="dcterms:W3CDTF">2026-04-21T15:51:17.679Z</dcterms:modified>
</cp:coreProperties>
</file>

<file path=docProps/custom.xml><?xml version="1.0" encoding="utf-8"?>
<Properties xmlns="http://schemas.openxmlformats.org/officeDocument/2006/custom-properties" xmlns:vt="http://schemas.openxmlformats.org/officeDocument/2006/docPropsVTypes"/>
</file>