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Documentation Index v2.1</w:t>
      </w:r>
    </w:p>
    <w:p>
      <w:r>
        <w:t>STATUS: MASTER REGISTRY (AUTHORITATIVE DOCUMENT REGISTER) - Supersedes Documentation Index v2.0. Complete register at the close of the Specification Era.</w:t>
      </w:r>
    </w:p>
    <w:p>
      <w:pPr>
        <w:pStyle w:val="Heading1"/>
      </w:pPr>
      <w:r>
        <w:t>Purpose</w:t>
      </w:r>
    </w:p>
    <w:p>
      <w:r>
        <w:t>The single entry point to the frozen ARVES corpus. Every document with its status, version, type (Normative / Informative / Implementation Decision), conformance applicability, and its supersession or governing document. This register, not any prose, is the complete list.</w:t>
      </w:r>
    </w:p>
    <w:p>
      <w:pPr>
        <w:pStyle w:val="Heading1"/>
      </w:pPr>
      <w:r>
        <w:t>Legend</w:t>
      </w:r>
    </w:p>
    <w:p>
      <w:r>
        <w:t>Status: Frozen | Ratified | Active | Superseded | Informative. Type: Normative (binding) · Informative (explanatory) · Impl-Decision (reference implementation, non-normative). Conf. = conformance required.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Document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Ver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Status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Conf.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Supersedes / Governed by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CLAUDE.md (Engineering Constitution)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governs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Governed by Reference Lifecycle; refs Invariant Registry, Baseline, Freeze Record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Documentation Index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v2.1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Supersedes Index v2.0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Documentation Index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v2.0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 by v2.1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Documentation Index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 by v2.0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Invariant Registry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 + Normative refs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Registers invariants; proposed entries pending CCP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Specification Freeze Record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v1.0 signature; Freeze Date 2026-07-01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Baseline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v1.0 scope of record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Architecture Readiness Review (ARR)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Entry gate; result PASS after Amendments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Amendments - CCP Batch 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partial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Registers OWN/LAYER/SHARD-001; A-001..006; governed by Reference Lifecycle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ARVES_00 Gap Analysis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 IDR Batch 1 - Kernel Distribution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Active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Impl-Decision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IDR-001..005; governed by Reference Lifecycle; non-normative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Universal Cognitive Ontology Spec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Supersedes entity/rel lists in Vol 3/13/19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Engine Graph Specification (ABI)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Depends on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Scenario Conformance Framework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Validates Engine ABI &amp; runtimes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Reference Lifecycle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Process constitution; governs CCP/IDR/Amendment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9 Cognitive Control Plane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Supersedes Vol 9 v1; registers ORCH-001..004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Master Blueprint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Overview; coverage note below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 Foundation Constitution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2 Tenant &amp; Identity Constitution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v2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Frozen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3 Information Core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Entity lists superseded by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4 Cognitive Core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Working Memory ownership amended (A-001 -&gt; LCW)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5 Strategic Core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6 Experience Core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7 Evolution Core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8 Embodied Core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Aspirational scope (Baseline Part 4)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9 Runtime &amp; Event Fabric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Reclassified as Data Plane runtime under Vol 9 v2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10 Engineering Bible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11 Capability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L3/L4 aspirational (Baseline Part 4)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12 Domain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13 Ontology &amp; Knowledge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Entity/rel lists superseded by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14 Agent Architecture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15 Product &amp; UX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16 Reference Architecture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17 Security &amp; Governance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Vol 18 Deployment &amp; Operations Atlas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ARVES-19 Canonical Ontology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Superseded by Universal Cognitive Ontology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ARVES-20 Service Catalog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ARVES-21 Event Catalog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ARVES-22 Data Catalog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ARVES-23 Agent Catalog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ARVES-24 API Catalog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Yes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(25) unassigned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Numbering gap - reserved</w:t>
            </w:r>
          </w:p>
        </w:tc>
      </w:tr>
      <w:tr>
        <w:tc>
          <w:tcPr>
            <w:tcW w:type="dxa" w:w="2040"/>
          </w:tcPr>
          <w:p>
            <w:r>
              <w:rPr>
                <w:sz w:val="16"/>
              </w:rPr>
              <w:t>ARVES-26 Master Backlog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v1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Ratified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Informative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No</w:t>
            </w:r>
          </w:p>
        </w:tc>
        <w:tc>
          <w:tcPr>
            <w:tcW w:type="dxa" w:w="2040"/>
          </w:tcPr>
          <w:p>
            <w:r>
              <w:rPr>
                <w:sz w:val="16"/>
              </w:rPr>
              <w:t>Execution backlog</w:t>
            </w:r>
          </w:p>
        </w:tc>
      </w:tr>
    </w:tbl>
    <w:p>
      <w:pPr>
        <w:pStyle w:val="Heading1"/>
      </w:pPr>
      <w:r>
        <w:t>Documentation Integrity Check</w:t>
      </w:r>
    </w:p>
    <w:p>
      <w:r>
        <w:t>Run at the close of the Specification Era. Result: PASS (with recorded notes).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080"/>
        <w:gridCol w:w="4080"/>
        <w:gridCol w:w="4080"/>
      </w:tblGrid>
      <w:tr>
        <w:tc>
          <w:tcPr>
            <w:tcW w:type="dxa" w:w="4080"/>
          </w:tcPr>
          <w:p>
            <w:r/>
            <w:r>
              <w:rPr>
                <w:b/>
              </w:rPr>
              <w:t>Check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Result</w:t>
            </w:r>
          </w:p>
        </w:tc>
        <w:tc>
          <w:tcPr>
            <w:tcW w:type="dxa" w:w="4080"/>
          </w:tcPr>
          <w:p>
            <w:r/>
            <w:r>
              <w:rPr>
                <w:b/>
              </w:rPr>
              <w:t>Note</w:t>
            </w:r>
          </w:p>
        </w:tc>
      </w:tr>
      <w:tr>
        <w:tc>
          <w:tcPr>
            <w:tcW w:type="dxa" w:w="4080"/>
          </w:tcPr>
          <w:p>
            <w:r>
              <w:t>Broken references</w:t>
            </w:r>
          </w:p>
        </w:tc>
        <w:tc>
          <w:tcPr>
            <w:tcW w:type="dxa" w:w="4080"/>
          </w:tcPr>
          <w:p>
            <w:r>
              <w:t>PASS</w:t>
            </w:r>
          </w:p>
        </w:tc>
        <w:tc>
          <w:tcPr>
            <w:tcW w:type="dxa" w:w="4080"/>
          </w:tcPr>
          <w:p>
            <w:r>
              <w:t>CLAUDE.md, Freeze Record, ARR, IDR all resolve to existing files; Invariant Registry now present</w:t>
            </w:r>
          </w:p>
        </w:tc>
      </w:tr>
      <w:tr>
        <w:tc>
          <w:tcPr>
            <w:tcW w:type="dxa" w:w="4080"/>
          </w:tcPr>
          <w:p>
            <w:r>
              <w:t>Superseded chains</w:t>
            </w:r>
          </w:p>
        </w:tc>
        <w:tc>
          <w:tcPr>
            <w:tcW w:type="dxa" w:w="4080"/>
          </w:tcPr>
          <w:p>
            <w:r>
              <w:t>PASS</w:t>
            </w:r>
          </w:p>
        </w:tc>
        <w:tc>
          <w:tcPr>
            <w:tcW w:type="dxa" w:w="4080"/>
          </w:tcPr>
          <w:p>
            <w:r>
              <w:t>Index v1-&gt;v2-&gt;v2.1; Vol 9 v1-&gt;v2; ARVES-19-&gt;Ontology; Vol 3/13 entity lists superseded-in-part</w:t>
            </w:r>
          </w:p>
        </w:tc>
      </w:tr>
      <w:tr>
        <w:tc>
          <w:tcPr>
            <w:tcW w:type="dxa" w:w="4080"/>
          </w:tcPr>
          <w:p>
            <w:r>
              <w:t>Single owner per document</w:t>
            </w:r>
          </w:p>
        </w:tc>
        <w:tc>
          <w:tcPr>
            <w:tcW w:type="dxa" w:w="4080"/>
          </w:tcPr>
          <w:p>
            <w:r>
              <w:t>PASS</w:t>
            </w:r>
          </w:p>
        </w:tc>
        <w:tc>
          <w:tcPr>
            <w:tcW w:type="dxa" w:w="4080"/>
          </w:tcPr>
          <w:p>
            <w:r>
              <w:t>Each document has exactly one type/owner</w:t>
            </w:r>
          </w:p>
        </w:tc>
      </w:tr>
      <w:tr>
        <w:tc>
          <w:tcPr>
            <w:tcW w:type="dxa" w:w="4080"/>
          </w:tcPr>
          <w:p>
            <w:r>
              <w:t>Single source per invariant</w:t>
            </w:r>
          </w:p>
        </w:tc>
        <w:tc>
          <w:tcPr>
            <w:tcW w:type="dxa" w:w="4080"/>
          </w:tcPr>
          <w:p>
            <w:r>
              <w:t>PASS</w:t>
            </w:r>
          </w:p>
        </w:tc>
        <w:tc>
          <w:tcPr>
            <w:tcW w:type="dxa" w:w="4080"/>
          </w:tcPr>
          <w:p>
            <w:r>
              <w:t>ORCH-* only in Vol 9 v2; OWN/LAYER/SHARD only in Amendments; O-* only in Ontology; no dual definition</w:t>
            </w:r>
          </w:p>
        </w:tc>
      </w:tr>
      <w:tr>
        <w:tc>
          <w:tcPr>
            <w:tcW w:type="dxa" w:w="4080"/>
          </w:tcPr>
          <w:p>
            <w:r>
              <w:t>Duplicate registration</w:t>
            </w:r>
          </w:p>
        </w:tc>
        <w:tc>
          <w:tcPr>
            <w:tcW w:type="dxa" w:w="4080"/>
          </w:tcPr>
          <w:p>
            <w:r>
              <w:t>PASS</w:t>
            </w:r>
          </w:p>
        </w:tc>
        <w:tc>
          <w:tcPr>
            <w:tcW w:type="dxa" w:w="4080"/>
          </w:tcPr>
          <w:p>
            <w:r>
              <w:t>Superseded index versions marked; no two documents claim the same authority</w:t>
            </w:r>
          </w:p>
        </w:tc>
      </w:tr>
      <w:tr>
        <w:tc>
          <w:tcPr>
            <w:tcW w:type="dxa" w:w="4080"/>
          </w:tcPr>
          <w:p>
            <w:r>
              <w:t>Invariant reference integrity</w:t>
            </w:r>
          </w:p>
        </w:tc>
        <w:tc>
          <w:tcPr>
            <w:tcW w:type="dxa" w:w="4080"/>
          </w:tcPr>
          <w:p>
            <w:r>
              <w:t>PASS</w:t>
            </w:r>
          </w:p>
        </w:tc>
        <w:tc>
          <w:tcPr>
            <w:tcW w:type="dxa" w:w="4080"/>
          </w:tcPr>
          <w:p>
            <w:r>
              <w:t>All CLAUDE.md invariant refs resolve to Registry; proposed vs registered separated</w:t>
            </w:r>
          </w:p>
        </w:tc>
      </w:tr>
    </w:tbl>
    <w:p>
      <w:pPr>
        <w:pStyle w:val="Heading1"/>
      </w:pPr>
      <w:r>
        <w:t>Notes</w:t>
      </w:r>
    </w:p>
    <w:p>
      <w:pPr>
        <w:pStyle w:val="ListBullet"/>
      </w:pPr>
      <w:r>
        <w:t>Master Blueprint predates the catalogs and Specification-Era standards; this register (not the Blueprint prose) is the complete list.</w:t>
      </w:r>
    </w:p>
    <w:p>
      <w:pPr>
        <w:pStyle w:val="ListBullet"/>
      </w:pPr>
      <w:r>
        <w:t>Document 25 remains unassigned (reserved).</w:t>
      </w:r>
    </w:p>
    <w:p>
      <w:pPr>
        <w:pStyle w:val="ListBullet"/>
      </w:pPr>
      <w:r>
        <w:t>IDR Batch 1 is an Implementation Decision (non-normative): it implements but never changes the frozen spec.</w:t>
      </w:r>
    </w:p>
    <w:p>
      <w:pPr>
        <w:pStyle w:val="ListBullet"/>
      </w:pPr>
      <w:r>
        <w:t>Proposed invariants (G-001, QUERY-001, LCW-001, PERSIST-001, CAP-001..009, ENG-001..005) are informative until ratified via CCP.</w:t>
      </w:r>
    </w:p>
    <w:p>
      <w:r>
        <w:rPr>
          <w:i/>
        </w:rPr>
        <w:t>Final Definition  Documentation Index v2.1 = The Sealed Master Registry of the ARVES Specification Era.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