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ARVES Gap Analysis v1.0</w:t>
      </w:r>
    </w:p>
    <w:p>
      <w:r>
        <w:t>STATUS: GAP ANALYSIS (WHAT IS MISSING ACROSS THE CORPUS)</w:t>
      </w:r>
    </w:p>
    <w:p>
      <w:pPr>
        <w:pStyle w:val="Heading1"/>
      </w:pPr>
      <w:r>
        <w:t>Executive Summary</w:t>
      </w:r>
    </w:p>
    <w:p>
      <w:r>
        <w:t>The ARVES corpus (26 documents) is a strong, internally consistent VISION and framework: the Information -&gt; Cognitive -&gt; Strategic -&gt; Experience -&gt; Evolution (+ Embodied) spine is applied uniformly, ownership and tenancy principles are sound, and the catalog structure is the right shape. However it is NOT yet an implementable specification. Almost every entry is a heading plus a one-line restatement; the concrete design layer (schemas, contracts, diagrams, examples, numbers) is absent. This document registers exactly what is missing, grouped into six areas, with impact and recommended action for each.</w:t>
      </w:r>
    </w:p>
    <w:p>
      <w:r>
        <w:t>Maturity today: roughly 90% "naming &amp; structure", 10% "content". The single highest-value next step is to deepen one vertical slice end-to-end and reconcile the conflicting canonical models, rather than adding more headings.</w:t>
      </w:r>
    </w:p>
    <w:p>
      <w:pPr>
        <w:pStyle w:val="Heading1"/>
      </w:pPr>
      <w:r>
        <w:t>Gap Register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Area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Missing Item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Impact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Recommended Action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Source Doc</w:t>
            </w:r>
          </w:p>
        </w:tc>
      </w:tr>
      <w:tr>
        <w:tc>
          <w:tcPr>
            <w:tcW w:type="dxa" w:w="1728"/>
          </w:tcPr>
          <w:p>
            <w:r>
              <w:t>Content depth</w:t>
            </w:r>
          </w:p>
        </w:tc>
        <w:tc>
          <w:tcPr>
            <w:tcW w:type="dxa" w:w="1728"/>
          </w:tcPr>
          <w:p>
            <w:r>
              <w:t>Real entity schemas (field types, required, cardinality)</w:t>
            </w:r>
          </w:p>
        </w:tc>
        <w:tc>
          <w:tcPr>
            <w:tcW w:type="dxa" w:w="1728"/>
          </w:tcPr>
          <w:p>
            <w:r>
              <w:rPr>
                <w:b/>
                <w:color w:val="B00000"/>
              </w:rPr>
              <w:t>High</w:t>
            </w:r>
          </w:p>
        </w:tc>
        <w:tc>
          <w:tcPr>
            <w:tcW w:type="dxa" w:w="1728"/>
          </w:tcPr>
          <w:p>
            <w:r>
              <w:t>Replace copy-paste definitions with typed schemas per entity</w:t>
            </w:r>
          </w:p>
        </w:tc>
        <w:tc>
          <w:tcPr>
            <w:tcW w:type="dxa" w:w="1728"/>
          </w:tcPr>
          <w:p>
            <w:r>
              <w:t>ARVES-19, Vol 3, Vol 13</w:t>
            </w:r>
          </w:p>
        </w:tc>
      </w:tr>
      <w:tr>
        <w:tc>
          <w:tcPr>
            <w:tcW w:type="dxa" w:w="1728"/>
          </w:tcPr>
          <w:p>
            <w:r>
              <w:t>Content depth</w:t>
            </w:r>
          </w:p>
        </w:tc>
        <w:tc>
          <w:tcPr>
            <w:tcW w:type="dxa" w:w="1728"/>
          </w:tcPr>
          <w:p>
            <w:r>
              <w:t>Example payloads / sample data</w:t>
            </w:r>
          </w:p>
        </w:tc>
        <w:tc>
          <w:tcPr>
            <w:tcW w:type="dxa" w:w="1728"/>
          </w:tcPr>
          <w:p>
            <w:r>
              <w:rPr>
                <w:b/>
                <w:color w:val="B00000"/>
              </w:rPr>
              <w:t>High</w:t>
            </w:r>
          </w:p>
        </w:tc>
        <w:tc>
          <w:tcPr>
            <w:tcW w:type="dxa" w:w="1728"/>
          </w:tcPr>
          <w:p>
            <w:r>
              <w:t>Add one concrete JSON example per entity, event, API</w:t>
            </w:r>
          </w:p>
        </w:tc>
        <w:tc>
          <w:tcPr>
            <w:tcW w:type="dxa" w:w="1728"/>
          </w:tcPr>
          <w:p>
            <w:r>
              <w:t>ARVES-19/21/22/24</w:t>
            </w:r>
          </w:p>
        </w:tc>
      </w:tr>
      <w:tr>
        <w:tc>
          <w:tcPr>
            <w:tcW w:type="dxa" w:w="1728"/>
          </w:tcPr>
          <w:p>
            <w:r>
              <w:t>Content depth</w:t>
            </w:r>
          </w:p>
        </w:tc>
        <w:tc>
          <w:tcPr>
            <w:tcW w:type="dxa" w:w="1728"/>
          </w:tcPr>
          <w:p>
            <w:r>
              <w:t>API signatures (paths, verbs, params, errors)</w:t>
            </w:r>
          </w:p>
        </w:tc>
        <w:tc>
          <w:tcPr>
            <w:tcW w:type="dxa" w:w="1728"/>
          </w:tcPr>
          <w:p>
            <w:r>
              <w:rPr>
                <w:b/>
                <w:color w:val="B00000"/>
              </w:rPr>
              <w:t>High</w:t>
            </w:r>
          </w:p>
        </w:tc>
        <w:tc>
          <w:tcPr>
            <w:tcW w:type="dxa" w:w="1728"/>
          </w:tcPr>
          <w:p>
            <w:r>
              <w:t>Specify endpoints, request/response bodies, status &amp; error models</w:t>
            </w:r>
          </w:p>
        </w:tc>
        <w:tc>
          <w:tcPr>
            <w:tcW w:type="dxa" w:w="1728"/>
          </w:tcPr>
          <w:p>
            <w:r>
              <w:t>ARVES-24</w:t>
            </w:r>
          </w:p>
        </w:tc>
      </w:tr>
      <w:tr>
        <w:tc>
          <w:tcPr>
            <w:tcW w:type="dxa" w:w="1728"/>
          </w:tcPr>
          <w:p>
            <w:r>
              <w:t>Content depth</w:t>
            </w:r>
          </w:p>
        </w:tc>
        <w:tc>
          <w:tcPr>
            <w:tcW w:type="dxa" w:w="1728"/>
          </w:tcPr>
          <w:p>
            <w:r>
              <w:t>Event payload schemas &amp; versioning examples</w:t>
            </w:r>
          </w:p>
        </w:tc>
        <w:tc>
          <w:tcPr>
            <w:tcW w:type="dxa" w:w="1728"/>
          </w:tcPr>
          <w:p>
            <w:r>
              <w:rPr>
                <w:b/>
                <w:color w:val="B00000"/>
              </w:rPr>
              <w:t>High</w:t>
            </w:r>
          </w:p>
        </w:tc>
        <w:tc>
          <w:tcPr>
            <w:tcW w:type="dxa" w:w="1728"/>
          </w:tcPr>
          <w:p>
            <w:r>
              <w:t>Define payload schema + sample message per event</w:t>
            </w:r>
          </w:p>
        </w:tc>
        <w:tc>
          <w:tcPr>
            <w:tcW w:type="dxa" w:w="1728"/>
          </w:tcPr>
          <w:p>
            <w:r>
              <w:t>ARVES-21</w:t>
            </w:r>
          </w:p>
        </w:tc>
      </w:tr>
      <w:tr>
        <w:tc>
          <w:tcPr>
            <w:tcW w:type="dxa" w:w="1728"/>
          </w:tcPr>
          <w:p>
            <w:r>
              <w:t>Content depth</w:t>
            </w:r>
          </w:p>
        </w:tc>
        <w:tc>
          <w:tcPr>
            <w:tcW w:type="dxa" w:w="1728"/>
          </w:tcPr>
          <w:p>
            <w:r>
              <w:t>Storage design (tables, indexes, tenant isolation)</w:t>
            </w:r>
          </w:p>
        </w:tc>
        <w:tc>
          <w:tcPr>
            <w:tcW w:type="dxa" w:w="1728"/>
          </w:tcPr>
          <w:p>
            <w:r>
              <w:rPr>
                <w:b/>
                <w:color w:val="B00000"/>
              </w:rPr>
              <w:t>High</w:t>
            </w:r>
          </w:p>
        </w:tc>
        <w:tc>
          <w:tcPr>
            <w:tcW w:type="dxa" w:w="1728"/>
          </w:tcPr>
          <w:p>
            <w:r>
              <w:t>Add physical data model + isolation mechanics</w:t>
            </w:r>
          </w:p>
        </w:tc>
        <w:tc>
          <w:tcPr>
            <w:tcW w:type="dxa" w:w="1728"/>
          </w:tcPr>
          <w:p>
            <w:r>
              <w:t>ARVES-22</w:t>
            </w:r>
          </w:p>
        </w:tc>
      </w:tr>
      <w:tr>
        <w:tc>
          <w:tcPr>
            <w:tcW w:type="dxa" w:w="1728"/>
          </w:tcPr>
          <w:p>
            <w:r>
              <w:t>Visuals</w:t>
            </w:r>
          </w:p>
        </w:tc>
        <w:tc>
          <w:tcPr>
            <w:tcW w:type="dxa" w:w="1728"/>
          </w:tcPr>
          <w:p>
            <w:r>
              <w:t>Architecture / C4 / sequence / ER / deployment diagrams</w:t>
            </w:r>
          </w:p>
        </w:tc>
        <w:tc>
          <w:tcPr>
            <w:tcW w:type="dxa" w:w="1728"/>
          </w:tcPr>
          <w:p>
            <w:r>
              <w:rPr>
                <w:b/>
                <w:color w:val="B00000"/>
              </w:rPr>
              <w:t>High</w:t>
            </w:r>
          </w:p>
        </w:tc>
        <w:tc>
          <w:tcPr>
            <w:tcW w:type="dxa" w:w="1728"/>
          </w:tcPr>
          <w:p>
            <w:r>
              <w:t>Add at least layer, ER and one runtime sequence diagram</w:t>
            </w:r>
          </w:p>
        </w:tc>
        <w:tc>
          <w:tcPr>
            <w:tcW w:type="dxa" w:w="1728"/>
          </w:tcPr>
          <w:p>
            <w:r>
              <w:t>Vol 16, Vol 9</w:t>
            </w:r>
          </w:p>
        </w:tc>
      </w:tr>
      <w:tr>
        <w:tc>
          <w:tcPr>
            <w:tcW w:type="dxa" w:w="1728"/>
          </w:tcPr>
          <w:p>
            <w:r>
              <w:t>Visuals</w:t>
            </w:r>
          </w:p>
        </w:tc>
        <w:tc>
          <w:tcPr>
            <w:tcW w:type="dxa" w:w="1728"/>
          </w:tcPr>
          <w:p>
            <w:r>
              <w:t>Dependency graphs (service, capability, event producer/consumer)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Fill the catalog templates with actual dependency links</w:t>
            </w:r>
          </w:p>
        </w:tc>
        <w:tc>
          <w:tcPr>
            <w:tcW w:type="dxa" w:w="1728"/>
          </w:tcPr>
          <w:p>
            <w:r>
              <w:t>ARVES-20/21, Vol 11</w:t>
            </w:r>
          </w:p>
        </w:tc>
      </w:tr>
      <w:tr>
        <w:tc>
          <w:tcPr>
            <w:tcW w:type="dxa" w:w="1728"/>
          </w:tcPr>
          <w:p>
            <w:r>
              <w:t>Engineering realism</w:t>
            </w:r>
          </w:p>
        </w:tc>
        <w:tc>
          <w:tcPr>
            <w:tcW w:type="dxa" w:w="1728"/>
          </w:tcPr>
          <w:p>
            <w:r>
              <w:t>Committed vs. aspirational split (AGI/robotics)</w:t>
            </w:r>
          </w:p>
        </w:tc>
        <w:tc>
          <w:tcPr>
            <w:tcW w:type="dxa" w:w="1728"/>
          </w:tcPr>
          <w:p>
            <w:r>
              <w:rPr>
                <w:b/>
                <w:color w:val="B00000"/>
              </w:rPr>
              <w:t>High</w:t>
            </w:r>
          </w:p>
        </w:tc>
        <w:tc>
          <w:tcPr>
            <w:tcW w:type="dxa" w:w="1728"/>
          </w:tcPr>
          <w:p>
            <w:r>
              <w:t>Tag near-term vs north-star; sequence the roadmap</w:t>
            </w:r>
          </w:p>
        </w:tc>
        <w:tc>
          <w:tcPr>
            <w:tcW w:type="dxa" w:w="1728"/>
          </w:tcPr>
          <w:p>
            <w:r>
              <w:t>Blueprint, Vol 8/11, ARVES-26</w:t>
            </w:r>
          </w:p>
        </w:tc>
      </w:tr>
      <w:tr>
        <w:tc>
          <w:tcPr>
            <w:tcW w:type="dxa" w:w="1728"/>
          </w:tcPr>
          <w:p>
            <w:r>
              <w:t>Engineering realism</w:t>
            </w:r>
          </w:p>
        </w:tc>
        <w:tc>
          <w:tcPr>
            <w:tcW w:type="dxa" w:w="1728"/>
          </w:tcPr>
          <w:p>
            <w:r>
              <w:t>Concrete non-functional targets (SLO/SLA, scale)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Set p99 latency, uptime %, throughput, capacity numbers</w:t>
            </w:r>
          </w:p>
        </w:tc>
        <w:tc>
          <w:tcPr>
            <w:tcW w:type="dxa" w:w="1728"/>
          </w:tcPr>
          <w:p>
            <w:r>
              <w:t>Vol 10, Vol 18</w:t>
            </w:r>
          </w:p>
        </w:tc>
      </w:tr>
      <w:tr>
        <w:tc>
          <w:tcPr>
            <w:tcW w:type="dxa" w:w="1728"/>
          </w:tcPr>
          <w:p>
            <w:r>
              <w:t>Engineering realism</w:t>
            </w:r>
          </w:p>
        </w:tc>
        <w:tc>
          <w:tcPr>
            <w:tcW w:type="dxa" w:w="1728"/>
          </w:tcPr>
          <w:p>
            <w:r>
              <w:t>FinOps / budget policy (token, compute)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Define concrete cost budgets &amp; routing cost policy</w:t>
            </w:r>
          </w:p>
        </w:tc>
        <w:tc>
          <w:tcPr>
            <w:tcW w:type="dxa" w:w="1728"/>
          </w:tcPr>
          <w:p>
            <w:r>
              <w:t>Vol 18, Vol 10</w:t>
            </w:r>
          </w:p>
        </w:tc>
      </w:tr>
      <w:tr>
        <w:tc>
          <w:tcPr>
            <w:tcW w:type="dxa" w:w="1728"/>
          </w:tcPr>
          <w:p>
            <w:r>
              <w:t>Consistency</w:t>
            </w:r>
          </w:p>
        </w:tc>
        <w:tc>
          <w:tcPr>
            <w:tcW w:type="dxa" w:w="1728"/>
          </w:tcPr>
          <w:p>
            <w:r>
              <w:t>Conflicting canonical entity/relationship models</w:t>
            </w:r>
          </w:p>
        </w:tc>
        <w:tc>
          <w:tcPr>
            <w:tcW w:type="dxa" w:w="1728"/>
          </w:tcPr>
          <w:p>
            <w:r>
              <w:rPr>
                <w:b/>
                <w:color w:val="B00000"/>
              </w:rPr>
              <w:t>High</w:t>
            </w:r>
          </w:p>
        </w:tc>
        <w:tc>
          <w:tcPr>
            <w:tcW w:type="dxa" w:w="1728"/>
          </w:tcPr>
          <w:p>
            <w:r>
              <w:t>Make ARVES-19 the single source of truth; others reference it</w:t>
            </w:r>
          </w:p>
        </w:tc>
        <w:tc>
          <w:tcPr>
            <w:tcW w:type="dxa" w:w="1728"/>
          </w:tcPr>
          <w:p>
            <w:r>
              <w:t>Vol 3, Vol 13, ARVES-19</w:t>
            </w:r>
          </w:p>
        </w:tc>
      </w:tr>
      <w:tr>
        <w:tc>
          <w:tcPr>
            <w:tcW w:type="dxa" w:w="1728"/>
          </w:tcPr>
          <w:p>
            <w:r>
              <w:t>Consistency</w:t>
            </w:r>
          </w:p>
        </w:tc>
        <w:tc>
          <w:tcPr>
            <w:tcW w:type="dxa" w:w="1728"/>
          </w:tcPr>
          <w:p>
            <w:r>
              <w:t>Numbering gap (document 25 missing)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Assign #25 or renumber; record decision</w:t>
            </w:r>
          </w:p>
        </w:tc>
        <w:tc>
          <w:tcPr>
            <w:tcW w:type="dxa" w:w="1728"/>
          </w:tcPr>
          <w:p>
            <w:r>
              <w:t>Corpus-wide</w:t>
            </w:r>
          </w:p>
        </w:tc>
      </w:tr>
      <w:tr>
        <w:tc>
          <w:tcPr>
            <w:tcW w:type="dxa" w:w="1728"/>
          </w:tcPr>
          <w:p>
            <w:r>
              <w:t>Consistency</w:t>
            </w:r>
          </w:p>
        </w:tc>
        <w:tc>
          <w:tcPr>
            <w:tcW w:type="dxa" w:w="1728"/>
          </w:tcPr>
          <w:p>
            <w:r>
              <w:t>Version drift (v2 vs v1, no changelog)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Add changelog to v2 docs; confirm v1 alignment</w:t>
            </w:r>
          </w:p>
        </w:tc>
        <w:tc>
          <w:tcPr>
            <w:tcW w:type="dxa" w:w="1728"/>
          </w:tcPr>
          <w:p>
            <w:r>
              <w:t>Blueprint, Vol 1, Vol 2</w:t>
            </w:r>
          </w:p>
        </w:tc>
      </w:tr>
      <w:tr>
        <w:tc>
          <w:tcPr>
            <w:tcW w:type="dxa" w:w="1728"/>
          </w:tcPr>
          <w:p>
            <w:r>
              <w:t>Consistency</w:t>
            </w:r>
          </w:p>
        </w:tc>
        <w:tc>
          <w:tcPr>
            <w:tcW w:type="dxa" w:w="1728"/>
          </w:tcPr>
          <w:p>
            <w:r>
              <w:t>No traceability matrix (backlog-&gt;capability-&gt;service-&gt;event-&gt;API)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Build a trace matrix linking every backlog item</w:t>
            </w:r>
          </w:p>
        </w:tc>
        <w:tc>
          <w:tcPr>
            <w:tcW w:type="dxa" w:w="1728"/>
          </w:tcPr>
          <w:p>
            <w:r>
              <w:t>ARVES-26</w:t>
            </w:r>
          </w:p>
        </w:tc>
      </w:tr>
      <w:tr>
        <w:tc>
          <w:tcPr>
            <w:tcW w:type="dxa" w:w="1728"/>
          </w:tcPr>
          <w:p>
            <w:r>
              <w:t>Product layer</w:t>
            </w:r>
          </w:p>
        </w:tc>
        <w:tc>
          <w:tcPr>
            <w:tcW w:type="dxa" w:w="1728"/>
          </w:tcPr>
          <w:p>
            <w:r>
              <w:t>Personas, user stories, acceptance criteria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Add personas and end-to-end user scenarios</w:t>
            </w:r>
          </w:p>
        </w:tc>
        <w:tc>
          <w:tcPr>
            <w:tcW w:type="dxa" w:w="1728"/>
          </w:tcPr>
          <w:p>
            <w:r>
              <w:t>Vol 15, ARVES-26</w:t>
            </w:r>
          </w:p>
        </w:tc>
      </w:tr>
      <w:tr>
        <w:tc>
          <w:tcPr>
            <w:tcW w:type="dxa" w:w="1728"/>
          </w:tcPr>
          <w:p>
            <w:r>
              <w:t>Product layer</w:t>
            </w:r>
          </w:p>
        </w:tc>
        <w:tc>
          <w:tcPr>
            <w:tcW w:type="dxa" w:w="1728"/>
          </w:tcPr>
          <w:p>
            <w:r>
              <w:t>Wireframes / UX flows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Add at least one end-to-end UX flow</w:t>
            </w:r>
          </w:p>
        </w:tc>
        <w:tc>
          <w:tcPr>
            <w:tcW w:type="dxa" w:w="1728"/>
          </w:tcPr>
          <w:p>
            <w:r>
              <w:t>Vol 15</w:t>
            </w:r>
          </w:p>
        </w:tc>
      </w:tr>
      <w:tr>
        <w:tc>
          <w:tcPr>
            <w:tcW w:type="dxa" w:w="1728"/>
          </w:tcPr>
          <w:p>
            <w:r>
              <w:t>Governance/Ops</w:t>
            </w:r>
          </w:p>
        </w:tc>
        <w:tc>
          <w:tcPr>
            <w:tcW w:type="dxa" w:w="1728"/>
          </w:tcPr>
          <w:p>
            <w:r>
              <w:t>RACI / ownership matrix (team -&gt; core/service)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Define who owns each core and service</w:t>
            </w:r>
          </w:p>
        </w:tc>
        <w:tc>
          <w:tcPr>
            <w:tcW w:type="dxa" w:w="1728"/>
          </w:tcPr>
          <w:p>
            <w:r>
              <w:t>Vol 2, ARVES-20</w:t>
            </w:r>
          </w:p>
        </w:tc>
      </w:tr>
      <w:tr>
        <w:tc>
          <w:tcPr>
            <w:tcW w:type="dxa" w:w="1728"/>
          </w:tcPr>
          <w:p>
            <w:r>
              <w:t>Governance/Ops</w:t>
            </w:r>
          </w:p>
        </w:tc>
        <w:tc>
          <w:tcPr>
            <w:tcW w:type="dxa" w:w="1728"/>
          </w:tcPr>
          <w:p>
            <w:r>
              <w:t>Concrete test strategy (coverage targets, examples)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Set coverage goals and example test cases</w:t>
            </w:r>
          </w:p>
        </w:tc>
        <w:tc>
          <w:tcPr>
            <w:tcW w:type="dxa" w:w="1728"/>
          </w:tcPr>
          <w:p>
            <w:r>
              <w:t>Vol 10</w:t>
            </w:r>
          </w:p>
        </w:tc>
      </w:tr>
      <w:tr>
        <w:tc>
          <w:tcPr>
            <w:tcW w:type="dxa" w:w="1728"/>
          </w:tcPr>
          <w:p>
            <w:r>
              <w:t>Governance/Ops</w:t>
            </w:r>
          </w:p>
        </w:tc>
        <w:tc>
          <w:tcPr>
            <w:tcW w:type="dxa" w:w="1728"/>
          </w:tcPr>
          <w:p>
            <w:r>
              <w:t>Compliance control mapping (GDPR/SOC2/ISO -&gt; mechanism)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Map each control to a concrete platform mechanism</w:t>
            </w:r>
          </w:p>
        </w:tc>
        <w:tc>
          <w:tcPr>
            <w:tcW w:type="dxa" w:w="1728"/>
          </w:tcPr>
          <w:p>
            <w:r>
              <w:t>Vol 17</w:t>
            </w:r>
          </w:p>
        </w:tc>
      </w:tr>
      <w:tr>
        <w:tc>
          <w:tcPr>
            <w:tcW w:type="dxa" w:w="1728"/>
          </w:tcPr>
          <w:p>
            <w:r>
              <w:t>Governance/Ops</w:t>
            </w:r>
          </w:p>
        </w:tc>
        <w:tc>
          <w:tcPr>
            <w:tcW w:type="dxa" w:w="1728"/>
          </w:tcPr>
          <w:p>
            <w:r>
              <w:t>Glossary / terminology dictionary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Define all specialized terms in one place</w:t>
            </w:r>
          </w:p>
        </w:tc>
        <w:tc>
          <w:tcPr>
            <w:tcW w:type="dxa" w:w="1728"/>
          </w:tcPr>
          <w:p>
            <w:r>
              <w:t>Corpus-wide</w:t>
            </w:r>
          </w:p>
        </w:tc>
      </w:tr>
    </w:tbl>
    <w:p>
      <w:pPr>
        <w:pStyle w:val="Heading1"/>
      </w:pPr>
      <w:r>
        <w:t>1. Content Depth (most critical)</w:t>
      </w:r>
    </w:p>
    <w:p>
      <w:pPr>
        <w:pStyle w:val="ListBullet"/>
      </w:pPr>
      <w:r>
        <w:t>No real schemas: no field types, requiredness, length, format, or cardinality anywhere. In ARVES-19 all 16 entities share the identical definition, which cannot be correct.</w:t>
      </w:r>
    </w:p>
    <w:p>
      <w:pPr>
        <w:pStyle w:val="ListBullet"/>
      </w:pPr>
      <w:r>
        <w:t>No example payloads or sample data: not a single JSON event, API request/response body, or example record exists.</w:t>
      </w:r>
    </w:p>
    <w:p>
      <w:pPr>
        <w:pStyle w:val="ListBullet"/>
      </w:pPr>
      <w:r>
        <w:t>No API signatures: ARVES-24 lists API names only - no paths, HTTP verbs, parameters, status codes, or error models.</w:t>
      </w:r>
    </w:p>
    <w:p>
      <w:pPr>
        <w:pStyle w:val="ListBullet"/>
      </w:pPr>
      <w:r>
        <w:t>No event schemas: ARVES-21 lists envelope fields but no per-event payload schema, versioning example, or sample message.</w:t>
      </w:r>
    </w:p>
    <w:p>
      <w:pPr>
        <w:pStyle w:val="ListBullet"/>
      </w:pPr>
      <w:r>
        <w:t>No storage design: ARVES-22 says which data lives in which store but gives no table/collection design, indexes, or partition/tenant isolation mechanics.</w:t>
      </w:r>
    </w:p>
    <w:p>
      <w:pPr>
        <w:pStyle w:val="Heading1"/>
      </w:pPr>
      <w:r>
        <w:t>2. Visual &amp; Structural Assets</w:t>
      </w:r>
    </w:p>
    <w:p>
      <w:pPr>
        <w:pStyle w:val="ListBullet"/>
      </w:pPr>
      <w:r>
        <w:t>Not a single diagram exists - no architecture/layer, C4, sequence, ER, data-flow, deployment topology, or event-flow diagram.</w:t>
      </w:r>
    </w:p>
    <w:p>
      <w:pPr>
        <w:pStyle w:val="ListBullet"/>
      </w:pPr>
      <w:r>
        <w:t>No dependency maps: service-to-service, capability-to-capability, or event producer/consumer graphs. The catalogs define templates but leave them unfilled.</w:t>
      </w:r>
    </w:p>
    <w:p>
      <w:pPr>
        <w:pStyle w:val="Heading1"/>
      </w:pPr>
      <w:r>
        <w:t>3. Engineering Realism</w:t>
      </w:r>
    </w:p>
    <w:p>
      <w:pPr>
        <w:pStyle w:val="ListBullet"/>
      </w:pPr>
      <w:r>
        <w:t>No committed-vs-aspirational split: SaaS identity and L4 AGI / robotics / drones carry the same "FROZEN/approved" weight. The roadmap has no timing, sequencing, dependencies, or team/effort estimates.</w:t>
      </w:r>
    </w:p>
    <w:p>
      <w:pPr>
        <w:pStyle w:val="ListBullet"/>
      </w:pPr>
      <w:r>
        <w:t>Non-functional requirements are not concrete: SLO/SLA is "measured" but no real targets (p99 latency, uptime %, throughput). No capacity/scale numbers.</w:t>
      </w:r>
    </w:p>
    <w:p>
      <w:pPr>
        <w:pStyle w:val="ListBullet"/>
      </w:pPr>
      <w:r>
        <w:t>No cost/FinOps model: model routing says "manage cost" but there is no concrete token/compute budget policy.</w:t>
      </w:r>
    </w:p>
    <w:p>
      <w:pPr>
        <w:pStyle w:val="Heading1"/>
      </w:pPr>
      <w:r>
        <w:t>4. Consistency / Governance Gaps</w:t>
      </w:r>
    </w:p>
    <w:p>
      <w:pPr>
        <w:pStyle w:val="ListBullet"/>
      </w:pPr>
      <w:r>
        <w:t>Single-source-of-truth conflict: Docs 3, 13 and 19 each present a different "canonical" entity/relationship model (Workspace/Document/Location, SUPPORTS/USES, Email/Meeting differences).</w:t>
      </w:r>
    </w:p>
    <w:p>
      <w:pPr>
        <w:pStyle w:val="ListBullet"/>
      </w:pPr>
      <w:r>
        <w:t>Numbering gap: document 25 is missing (24 jumps to 26).</w:t>
      </w:r>
    </w:p>
    <w:p>
      <w:pPr>
        <w:pStyle w:val="ListBullet"/>
      </w:pPr>
      <w:r>
        <w:t>Version drift: Blueprint/Vol1/Vol2 = v2, the rest v1, with no changelog.</w:t>
      </w:r>
    </w:p>
    <w:p>
      <w:pPr>
        <w:pStyle w:val="ListBullet"/>
      </w:pPr>
      <w:r>
        <w:t>No traceability: the Backlog (26) says every item must trace to a capability/service/event, but no actual trace matrix (backlog -&gt; capability -&gt; service -&gt; event -&gt; API) exists.</w:t>
      </w:r>
    </w:p>
    <w:p>
      <w:pPr>
        <w:pStyle w:val="Heading1"/>
      </w:pPr>
      <w:r>
        <w:t>5. Product / User Layer</w:t>
      </w:r>
    </w:p>
    <w:p>
      <w:pPr>
        <w:pStyle w:val="ListBullet"/>
      </w:pPr>
      <w:r>
        <w:t>No personas, user scenarios, user stories, or acceptance criteria. The Product Atlas (15) lists surfaces but describes no single end-to-end flow (e.g. user creates a goal -&gt; agent assigned -&gt; result returned).</w:t>
      </w:r>
    </w:p>
    <w:p>
      <w:pPr>
        <w:pStyle w:val="ListBullet"/>
      </w:pPr>
      <w:r>
        <w:t>No wireframes or UX flows.</w:t>
      </w:r>
    </w:p>
    <w:p>
      <w:pPr>
        <w:pStyle w:val="Heading1"/>
      </w:pPr>
      <w:r>
        <w:t>6. Governance / Operations Detail</w:t>
      </w:r>
    </w:p>
    <w:p>
      <w:pPr>
        <w:pStyle w:val="ListBullet"/>
      </w:pPr>
      <w:r>
        <w:t>No RACI / ownership matrix (which team owns which core/service).</w:t>
      </w:r>
    </w:p>
    <w:p>
      <w:pPr>
        <w:pStyle w:val="ListBullet"/>
      </w:pPr>
      <w:r>
        <w:t>Test strategy is not concrete: Vol 10 lists test types but gives no coverage target or example.</w:t>
      </w:r>
    </w:p>
    <w:p>
      <w:pPr>
        <w:pStyle w:val="ListBullet"/>
      </w:pPr>
      <w:r>
        <w:t>No compliance control mapping: GDPR/SOC2/ISO27001 are named, but controls are not mapped to mechanisms.</w:t>
      </w:r>
    </w:p>
    <w:p>
      <w:pPr>
        <w:pStyle w:val="ListBullet"/>
      </w:pPr>
      <w:r>
        <w:t>No glossary / terminology dictionary despite many specialized terms.</w:t>
      </w:r>
    </w:p>
    <w:p>
      <w:pPr>
        <w:pStyle w:val="Heading1"/>
      </w:pPr>
      <w:r>
        <w:t>Recommended Closure Order</w:t>
      </w:r>
    </w:p>
    <w:p>
      <w:pPr>
        <w:pStyle w:val="ListNumber"/>
      </w:pPr>
      <w:r>
        <w:t>Reconcile the canonical model: make ARVES-19 authoritative; update Vol 3 and Vol 13 to reference it. (Removes the most damaging inconsistency.)</w:t>
      </w:r>
    </w:p>
    <w:p>
      <w:pPr>
        <w:pStyle w:val="ListNumber"/>
      </w:pPr>
      <w:r>
        <w:t>Deepen one vertical slice end-to-end (e.g. Person): entity schema -&gt; Data Contract -&gt; Service -&gt; Events -&gt; API, with real field types and one example payload. This becomes the template for all others and proves the catalog templates work.</w:t>
      </w:r>
    </w:p>
    <w:p>
      <w:pPr>
        <w:pStyle w:val="ListNumber"/>
      </w:pPr>
      <w:r>
        <w:t>Add core diagrams: layer architecture, ER for the canonical entities, and one runtime sequence (goal -&gt; plan -&gt; agent -&gt; execution -&gt; result).</w:t>
      </w:r>
    </w:p>
    <w:p>
      <w:pPr>
        <w:pStyle w:val="ListNumber"/>
      </w:pPr>
      <w:r>
        <w:t>Split committed vs. aspirational and sequence the roadmap with dependencies and rough effort.</w:t>
      </w:r>
    </w:p>
    <w:p>
      <w:pPr>
        <w:pStyle w:val="ListNumber"/>
      </w:pPr>
      <w:r>
        <w:t>Set concrete non-functional targets and a traceability matrix.</w:t>
      </w:r>
    </w:p>
    <w:p>
      <w:pPr>
        <w:pStyle w:val="ListNumber"/>
      </w:pPr>
      <w:r>
        <w:t>Fill the remaining governance/product gaps: RACI, personas/stories, compliance mapping, glossary.</w:t>
      </w:r>
    </w:p>
    <w:p/>
    <w:p>
      <w:r>
        <w:rPr>
          <w:i/>
        </w:rPr>
        <w:t>Final Definition  Gap Analysis = The Register of What the ARVES Corpus Must Add to Become Buildable.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