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Volume-3: Information Core Bible v1.0</w:t>
      </w:r>
    </w:p>
    <w:p>
      <w:r>
        <w:t>STATUS: CORE CONSTITUTION (FROZEN AFTER APPROVAL)</w:t>
      </w:r>
    </w:p>
    <w:p>
      <w:pPr>
        <w:pStyle w:val="Heading1"/>
      </w:pPr>
      <w:r>
        <w:t>Part 1 — Purpose</w:t>
      </w:r>
    </w:p>
    <w:p>
      <w:r>
        <w:t>Transform Any Information into Canonical Knowledge.</w:t>
      </w:r>
    </w:p>
    <w:p>
      <w:pPr>
        <w:pStyle w:val="Heading1"/>
      </w:pPr>
      <w:r>
        <w:t>Part 2 — Information Philosophy</w:t>
      </w:r>
    </w:p>
    <w:p>
      <w:r>
        <w:t>ARVES does not manage raw data. ARVES manages structured meaning and knowledge.</w:t>
      </w:r>
    </w:p>
    <w:p>
      <w:pPr>
        <w:pStyle w:val="Heading1"/>
      </w:pPr>
      <w:r>
        <w:t>Part 3 — World Model</w:t>
      </w:r>
    </w:p>
    <w:p>
      <w:r>
        <w:t>Represent people, organizations, teams, agents, devices, documents, events, goals, strategies, conversations and resources.</w:t>
      </w:r>
    </w:p>
    <w:p>
      <w:pPr>
        <w:pStyle w:val="Heading1"/>
      </w:pPr>
      <w:r>
        <w:t>Part 4 — Information Lifecycle</w:t>
      </w:r>
    </w:p>
    <w:p>
      <w:r>
        <w:t>Observe → Discover → Understand → Normalize → Resolve → Model → Link → Store → Query → Evolve.</w:t>
      </w:r>
    </w:p>
    <w:p>
      <w:pPr>
        <w:pStyle w:val="Heading1"/>
      </w:pPr>
      <w:r>
        <w:t>Part 5 — Provider Model</w:t>
      </w:r>
    </w:p>
    <w:p>
      <w:r>
        <w:t>Providers are information sources such as databases, APIs, files, email systems, SaaS platforms and enterprise systems.</w:t>
      </w:r>
    </w:p>
    <w:p>
      <w:pPr>
        <w:pStyle w:val="Heading1"/>
      </w:pPr>
      <w:r>
        <w:t>Part 6 — Provider Registry</w:t>
      </w:r>
    </w:p>
    <w:p>
      <w:r>
        <w:t>Provider registration, validation, versioning, monitoring and governance.</w:t>
      </w:r>
    </w:p>
    <w:p>
      <w:pPr>
        <w:pStyle w:val="Heading1"/>
      </w:pPr>
      <w:r>
        <w:t>Part 7 — Discovery Engine</w:t>
      </w:r>
    </w:p>
    <w:p>
      <w:r>
        <w:t>Discover schemas, entities, relationships and metadata from providers.</w:t>
      </w:r>
    </w:p>
    <w:p>
      <w:pPr>
        <w:pStyle w:val="Heading1"/>
      </w:pPr>
      <w:r>
        <w:t>Part 8 — Connector Framework</w:t>
      </w:r>
    </w:p>
    <w:p>
      <w:r>
        <w:t>Pull, Push, Streaming and Hybrid connector architecture.</w:t>
      </w:r>
    </w:p>
    <w:p>
      <w:pPr>
        <w:pStyle w:val="Heading1"/>
      </w:pPr>
      <w:r>
        <w:t>Part 9 — Schema Intelligence</w:t>
      </w:r>
    </w:p>
    <w:p>
      <w:r>
        <w:t>Understand, classify and normalize heterogeneous source schemas.</w:t>
      </w:r>
    </w:p>
    <w:p>
      <w:pPr>
        <w:pStyle w:val="Heading1"/>
      </w:pPr>
      <w:r>
        <w:t>Part 10 — Semantic Language</w:t>
      </w:r>
    </w:p>
    <w:p>
      <w:r>
        <w:t>Universal semantic language used across all information sources.</w:t>
      </w:r>
    </w:p>
    <w:p>
      <w:pPr>
        <w:pStyle w:val="Heading1"/>
      </w:pPr>
      <w:r>
        <w:t>Part 11 — Canonical Model Constitution</w:t>
      </w:r>
    </w:p>
    <w:p>
      <w:r>
        <w:t>Person, Organization, Team, Agent, Device, Document, Email, Meeting, Task, Project, Goal, Strategy, Event, Conversation and Knowledge Object.</w:t>
      </w:r>
    </w:p>
    <w:p>
      <w:pPr>
        <w:pStyle w:val="Heading1"/>
      </w:pPr>
      <w:r>
        <w:t>Part 12 — Entity Resolution</w:t>
      </w:r>
    </w:p>
    <w:p>
      <w:r>
        <w:t>Many representations become one canonical entity.</w:t>
      </w:r>
    </w:p>
    <w:p>
      <w:pPr>
        <w:pStyle w:val="Heading1"/>
      </w:pPr>
      <w:r>
        <w:t>Part 13 — Ontology Constitution</w:t>
      </w:r>
    </w:p>
    <w:p>
      <w:r>
        <w:t>Concepts, relationships, taxonomy and semantic meaning definitions.</w:t>
      </w:r>
    </w:p>
    <w:p>
      <w:pPr>
        <w:pStyle w:val="Heading1"/>
      </w:pPr>
      <w:r>
        <w:t>Part 14 — Knowledge Graph Constitution</w:t>
      </w:r>
    </w:p>
    <w:p>
      <w:r>
        <w:t>World model storage layer with nodes, relationships, constraints and indexes.</w:t>
      </w:r>
    </w:p>
    <w:p>
      <w:pPr>
        <w:pStyle w:val="Heading1"/>
      </w:pPr>
      <w:r>
        <w:t>Part 15 — Trust Model</w:t>
      </w:r>
    </w:p>
    <w:p>
      <w:r>
        <w:t>Trust score based on source quality, freshness, verification and consistency.</w:t>
      </w:r>
    </w:p>
    <w:p>
      <w:pPr>
        <w:pStyle w:val="Heading1"/>
      </w:pPr>
      <w:r>
        <w:t>Part 16 — Provenance Model</w:t>
      </w:r>
    </w:p>
    <w:p>
      <w:r>
        <w:t>Track where information came from, when it was collected and how it was derived.</w:t>
      </w:r>
    </w:p>
    <w:p>
      <w:pPr>
        <w:pStyle w:val="Heading1"/>
      </w:pPr>
      <w:r>
        <w:t>Part 17 — Contradiction Resolution</w:t>
      </w:r>
    </w:p>
    <w:p>
      <w:r>
        <w:t>Detect and resolve conflicting information.</w:t>
      </w:r>
    </w:p>
    <w:p>
      <w:pPr>
        <w:pStyle w:val="Heading1"/>
      </w:pPr>
      <w:r>
        <w:t>Part 18 — Knowledge Views</w:t>
      </w:r>
    </w:p>
    <w:p>
      <w:r>
        <w:t>Consumer-facing knowledge projections.</w:t>
      </w:r>
    </w:p>
    <w:p>
      <w:pPr>
        <w:pStyle w:val="Heading1"/>
      </w:pPr>
      <w:r>
        <w:t>Part 19 — Domain Views</w:t>
      </w:r>
    </w:p>
    <w:p>
      <w:r>
        <w:t>Finance, HR, Sales, Research and domain-specific perspectives.</w:t>
      </w:r>
    </w:p>
    <w:p>
      <w:pPr>
        <w:pStyle w:val="Heading1"/>
      </w:pPr>
      <w:r>
        <w:t>Part 20 — Metadata Catalog</w:t>
      </w:r>
    </w:p>
    <w:p>
      <w:r>
        <w:t>Inventory and governance of information assets.</w:t>
      </w:r>
    </w:p>
    <w:p>
      <w:pPr>
        <w:pStyle w:val="Heading1"/>
      </w:pPr>
      <w:r>
        <w:t>Part 21 — Data Lineage</w:t>
      </w:r>
    </w:p>
    <w:p>
      <w:r>
        <w:t>Track information flow and transformations.</w:t>
      </w:r>
    </w:p>
    <w:p>
      <w:pPr>
        <w:pStyle w:val="Heading1"/>
      </w:pPr>
      <w:r>
        <w:t>Part 22 — Knowledge Lifecycle</w:t>
      </w:r>
    </w:p>
    <w:p>
      <w:r>
        <w:t>Created, Updated, Verified, Deprecated and Archived.</w:t>
      </w:r>
    </w:p>
    <w:p>
      <w:pPr>
        <w:pStyle w:val="Heading1"/>
      </w:pPr>
      <w:r>
        <w:t>Part 23 — Information Memory</w:t>
      </w:r>
    </w:p>
    <w:p>
      <w:r>
        <w:t>Persistent knowledge memory owned by Information Core.</w:t>
      </w:r>
    </w:p>
    <w:p>
      <w:pPr>
        <w:pStyle w:val="Heading1"/>
      </w:pPr>
      <w:r>
        <w:t>Part 24 — Unified Query Layer</w:t>
      </w:r>
    </w:p>
    <w:p>
      <w:r>
        <w:t>Single query interface across all knowledge assets.</w:t>
      </w:r>
    </w:p>
    <w:p>
      <w:pPr>
        <w:pStyle w:val="Heading1"/>
      </w:pPr>
      <w:r>
        <w:t>Part 25 — Provider SDK</w:t>
      </w:r>
    </w:p>
    <w:p>
      <w:r>
        <w:t>Standardized provider integration development model.</w:t>
      </w:r>
    </w:p>
    <w:p>
      <w:pPr>
        <w:pStyle w:val="Heading1"/>
      </w:pPr>
      <w:r>
        <w:t>Part 26 — Multi-Tenant Information Model</w:t>
      </w:r>
    </w:p>
    <w:p>
      <w:r>
        <w:t>Tenant-aware knowledge isolation and governance.</w:t>
      </w:r>
    </w:p>
    <w:p>
      <w:pPr>
        <w:pStyle w:val="Heading1"/>
      </w:pPr>
      <w:r>
        <w:t>Part 27 — Ownership Constitution</w:t>
      </w:r>
    </w:p>
    <w:p>
      <w:r>
        <w:t>Information Core owns Knowledge, Ontology, Metadata, Lineage, Knowledge Graph, Provider Registry and Information Memory.</w:t>
      </w:r>
    </w:p>
    <w:p>
      <w:pPr>
        <w:pStyle w:val="Heading1"/>
      </w:pPr>
      <w:r>
        <w:t>Part 28 — Information Runtime Flow</w:t>
      </w:r>
    </w:p>
    <w:p>
      <w:r>
        <w:t>Provider → Discovery → Schema Intelligence → Entity Resolution → Canonical Model → Ontology → Knowledge Graph → Knowledge View → Query.</w:t>
      </w:r>
    </w:p>
    <w:p>
      <w:pPr>
        <w:pStyle w:val="Heading1"/>
      </w:pPr>
      <w:r>
        <w:t>Part 29 — Information Contracts</w:t>
      </w:r>
    </w:p>
    <w:p>
      <w:r>
        <w:t>Provider Contract, Schema Contract, Ontology Contract and Knowledge Contract.</w:t>
      </w:r>
    </w:p>
    <w:p>
      <w:pPr>
        <w:pStyle w:val="Heading1"/>
      </w:pPr>
      <w:r>
        <w:t>Part 30 — Success Criteria</w:t>
      </w:r>
    </w:p>
    <w:p>
      <w:r>
        <w:t>Every provider must be transformed into canonical knowledge consistently, traceably and safely.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