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1.0.0 -->
  <w:body>
    <w:p w:rsidR="00C46926" w:rsidRPr="002A6DA0">
      <w:pPr>
        <w:pStyle w:val="ANNEXTITLE"/>
      </w:pPr>
      <w:r w:rsidRPr="002A6DA0" w:rsidR="00305EF0">
        <w:t>ANNEX</w:t>
      </w:r>
    </w:p>
    <w:p w:rsidR="00C46926" w:rsidRPr="002A6DA0">
      <w:pPr>
        <w:pStyle w:val="STYTAB"/>
      </w:pPr>
    </w:p>
    <w:p w:rsidR="00C46926" w:rsidRPr="002A6DA0">
      <w:pPr>
        <w:pStyle w:val="VOTERESULT"/>
      </w:pPr>
      <w:r w:rsidRPr="002A6DA0" w:rsidR="00305EF0">
        <w:t>RESULTS OF VOTES</w:t>
      </w:r>
    </w:p>
    <w:tbl>
      <w:tblPr>
        <w:tblStyle w:val="TableNormal"/>
        <w:tblW w:w="8377" w:type="dxa"/>
        <w:tblInd w:w="421" w:type="dxa"/>
        <w:tblLayout w:type="fixed"/>
        <w:tblCellMar>
          <w:left w:w="10" w:type="dxa"/>
          <w:right w:w="10" w:type="dxa"/>
        </w:tblCellMar>
        <w:tblLook w:val="04A0"/>
      </w:tblPr>
      <w:tblGrid>
        <w:gridCol w:w="2550"/>
        <w:gridCol w:w="5827"/>
      </w:tblGrid>
      <w:tr>
        <w:tblPrEx>
          <w:tblW w:w="8377" w:type="dxa"/>
          <w:tblInd w:w="421" w:type="dxa"/>
          <w:tblLayout w:type="fixed"/>
          <w:tblCellMar>
            <w:left w:w="10" w:type="dxa"/>
            <w:right w:w="10" w:type="dxa"/>
          </w:tblCellMar>
          <w:tblLook w:val="04A0"/>
        </w:tblPrEx>
        <w:trPr>
          <w:trHeight w:hRule="exact" w:val="1106"/>
        </w:trPr>
        <w:tc>
          <w:tcPr>
            <w:tcW w:w="837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tcPr>
          <w:p w:rsidR="00C46926" w:rsidRPr="002A6DA0">
            <w:pPr>
              <w:pStyle w:val="SIGNIFICATIONTITLE"/>
              <w:snapToGrid w:val="0"/>
            </w:pPr>
            <w:r w:rsidRPr="002A6DA0" w:rsidR="00305EF0">
              <w:t>Abbreviations and symbols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adopted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rejected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lapsed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withdrawn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RCV (..., ..., ...)</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roll-call vote (for, against, abstentions)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EV (..., ..., ...)</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electronic vote (for, against, abstentions)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split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split vote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sep</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 xml:space="preserve">separate </w:t>
            </w:r>
            <w:r w:rsidRPr="002A6DA0" w:rsidR="00305EF0">
              <w:t>vote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am</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CA</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compromise 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CP</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corresponding part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D</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deleting 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identical amendments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paragraph</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art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article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rec</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recital</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MOT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motion for resolution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JT MOT</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joint motion for a resolution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shd w:val="clear" w:color="auto" w:fill="auto"/>
            <w:tcMar>
              <w:top w:w="0" w:type="dxa"/>
              <w:left w:w="0" w:type="dxa"/>
              <w:bottom w:w="0" w:type="dxa"/>
              <w:right w:w="0" w:type="dxa"/>
            </w:tcMar>
          </w:tcPr>
          <w:p w:rsidR="00C46926" w:rsidRPr="002A6DA0">
            <w:pPr>
              <w:pStyle w:val="SIGNIFICATIONABR"/>
            </w:pPr>
            <w:r w:rsidRPr="002A6DA0" w:rsidR="00305EF0">
              <w:t>SEC</w:t>
            </w:r>
          </w:p>
        </w:tc>
        <w:tc>
          <w:tcPr>
            <w:tcW w:w="5827" w:type="dxa"/>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46926" w:rsidRPr="002A6DA0">
            <w:pPr>
              <w:pStyle w:val="SIGNIFICATIONDESC"/>
            </w:pPr>
            <w:r w:rsidRPr="002A6DA0" w:rsidR="00305EF0">
              <w:t>secret ballot</w:t>
            </w:r>
          </w:p>
        </w:tc>
      </w:tr>
    </w:tbl>
    <w:p w:rsidR="00C46926" w:rsidRPr="002A6DA0"/>
    <w:p w:rsidR="00C46926" w:rsidRPr="002A6DA0">
      <w:pPr>
        <w:pStyle w:val="VOTEFIRSTTITLE"/>
        <w:numPr>
          <w:ilvl w:val="0"/>
          <w:numId w:val="4"/>
        </w:numPr>
        <w:outlineLvl w:val="9"/>
      </w:pPr>
      <w:r w:rsidRPr="002A6DA0" w:rsidR="00305EF0">
        <w:t>Protection of individuals with regard to the processing of personal data ***II</w:t>
      </w:r>
    </w:p>
    <w:p w:rsidR="00C46926" w:rsidRPr="002A6DA0">
      <w:pPr>
        <w:pStyle w:val="VOTEREPORTTITLE"/>
      </w:pPr>
      <w:r w:rsidRPr="002A6DA0" w:rsidR="00305EF0">
        <w:t>Recommendation for second reading: Jan Philipp Albrecht (A8-0139/2016)</w:t>
      </w:r>
    </w:p>
    <w:tbl>
      <w:tblPr>
        <w:tblStyle w:val="TableNormal"/>
        <w:tblW w:w="9071" w:type="dxa"/>
        <w:tblInd w:w="108" w:type="dxa"/>
        <w:tblLayout w:type="fixed"/>
        <w:tblCellMar>
          <w:left w:w="10" w:type="dxa"/>
          <w:right w:w="10" w:type="dxa"/>
        </w:tblCellMar>
        <w:tblLook w:val="04A0"/>
      </w:tblPr>
      <w:tblGrid>
        <w:gridCol w:w="3260"/>
        <w:gridCol w:w="2409"/>
        <w:gridCol w:w="1440"/>
        <w:gridCol w:w="1906"/>
        <w:gridCol w:w="56"/>
      </w:tblGrid>
      <w:tr w:rsidTr="00093276">
        <w:tblPrEx>
          <w:tblW w:w="9071" w:type="dxa"/>
          <w:tblInd w:w="108" w:type="dxa"/>
          <w:tblLayout w:type="fixed"/>
          <w:tblCellMar>
            <w:left w:w="10" w:type="dxa"/>
            <w:right w:w="10" w:type="dxa"/>
          </w:tblCellMar>
          <w:tblLook w:val="04A0"/>
        </w:tblPrEx>
        <w:trPr>
          <w:gridAfter w:val="1"/>
          <w:wAfter w:w="56" w:type="dxa"/>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0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rsidTr="00093276">
        <w:tblPrEx>
          <w:tblW w:w="9071" w:type="dxa"/>
          <w:tblInd w:w="108" w:type="dxa"/>
          <w:tblLayout w:type="fixed"/>
          <w:tblCellMar>
            <w:left w:w="10" w:type="dxa"/>
            <w:right w:w="10" w:type="dxa"/>
          </w:tblCellMar>
          <w:tblLook w:val="04A0"/>
        </w:tblPrEx>
        <w:trPr>
          <w:cantSplit/>
        </w:trPr>
        <w:tc>
          <w:tcPr>
            <w:tcW w:w="90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93276" w:rsidRPr="002A6DA0" w:rsidP="00305EF0">
            <w:pPr>
              <w:pStyle w:val="VOTINGTABLECELLOBJECT"/>
            </w:pPr>
            <w:r w:rsidRPr="002A6DA0">
              <w:t>Approval without vote</w:t>
            </w:r>
          </w:p>
        </w:tc>
      </w:tr>
    </w:tbl>
    <w:p w:rsidR="00C46926" w:rsidRPr="002A6DA0">
      <w:pPr>
        <w:pStyle w:val="STYTAB"/>
      </w:pPr>
    </w:p>
    <w:p w:rsidR="00C46926" w:rsidRPr="002A6DA0">
      <w:pPr>
        <w:pStyle w:val="VOTINGTABLEHEADER"/>
      </w:pPr>
    </w:p>
    <w:p w:rsidR="00C46926" w:rsidRPr="002A6DA0">
      <w:pPr>
        <w:pStyle w:val="VOTETITLE"/>
        <w:numPr>
          <w:ilvl w:val="0"/>
          <w:numId w:val="4"/>
        </w:numPr>
        <w:outlineLvl w:val="9"/>
      </w:pPr>
      <w:r w:rsidRPr="002A6DA0" w:rsidR="00305EF0">
        <w:t>Processing of personal data for the purposes of crime prevention ***II</w:t>
      </w:r>
    </w:p>
    <w:p w:rsidR="00C46926" w:rsidRPr="002A6DA0">
      <w:pPr>
        <w:pStyle w:val="VOTEREPORTTITLE"/>
      </w:pPr>
      <w:r w:rsidRPr="002A6DA0" w:rsidR="00305EF0">
        <w:t>Recommendation for second reading: Marju Lauristin (A8-0138/2016)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rsidTr="00305EF0">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093276" w:rsidRPr="002A6DA0" w:rsidP="00093276">
            <w:pPr>
              <w:pStyle w:val="VOTINGTABLECELLOBJECT"/>
            </w:pPr>
            <w:r w:rsidRPr="002A6DA0">
              <w:t>Approval without vote</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Use of Passenger Name Record data (EU PNR) ***I</w:t>
      </w:r>
    </w:p>
    <w:p w:rsidR="00C46926" w:rsidRPr="002A6DA0">
      <w:pPr>
        <w:pStyle w:val="VOTEREPORTTITLE"/>
      </w:pPr>
      <w:r w:rsidRPr="002A6DA0" w:rsidR="00305EF0">
        <w:t>Second report: Timothy Kirkhope (A8-0248/2015)</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Proposal to reject the Commission proposal</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+ 40 Members</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146, 473, 13</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Text as a whole - Block No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460, 173, 6</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Block No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1-52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Amendment 53, Article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471, 149, 25</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(Amendment 53, Article 3, point 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470, 142, 32</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Article 2, point i (Amendment 53, Article 3, point 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481, 144, 17</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Article 4</w:t>
            </w:r>
            <w:r w:rsidRPr="002A6DA0" w:rsidR="00305EF0">
              <w:t>, § 1 (Amendment 53, Article 6, §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130, 491, 22</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490, 130, 26</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(Amendment 53, Article 6, § 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572, 67, 7</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484, 147, 13</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(Amendment 53, Article 8, § 1)</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558, 47, 42</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476, 147, 20</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Article 7, § 1 (Amendment 53, Article 9, §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163, 457, 29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496, 147, 8</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Article 9 (Amendment 53, Article 12)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467, 175, 7</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Article 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154, 491, 7</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(Amendment 53, Article 19, § 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502, 142, 8</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10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475, 157, 22</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32 (Amendment 53, recital 37)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53 CP</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469</w:t>
            </w:r>
            <w:r w:rsidRPr="002A6DA0" w:rsidR="00305EF0">
              <w:t>, 176, 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Commission proposal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463, 174, 16</w:t>
            </w: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legislative resolution</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461, 179, 9</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GUE/NGL:</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 55</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xml:space="preserve">Amendments 1-52 (block), 53, 54, 55, 56, 57, 58, 59, 60, 61, and </w:t>
            </w:r>
            <w:r w:rsidRPr="002A6DA0" w:rsidR="00305EF0">
              <w:t>Commission proposal</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PPE: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Amendments 53, 54, 55, 56, 57, 58, 59, 60, 61</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Article 2 of am 53, Article 3, point 3 of am 53; Article 19, § 3 of am 53</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Verts/ALE: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Article 6, § 9 of am 53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'The consequences of the assessments of passengers referred to in point (a) of paragraph 2 of this Article shall not jeopardise the right of entry of persons enjoying the Union right of free movement into the territory of the Member State concerned as laid down in Directive 2004/38/EC of the European Parliament and of the Council.'</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'In addition, where assessments are carried out in relation to intra-EU flights between Member States to which Regulation (EC) No 562/2006 of the European Parliament and of the Council  applies, the consequences of such assessments shall comply with that Regulation.'</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Article 8, § 1 of am 53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'Member States shall adopt the necessary measures to ensure that air carriers transfer, by the 'push method', the PNR data listed in Annex I, to the extent that they have already collected such data in the normal course of their business, to the database of the PIU of the Member State on the territory of which the flight will land or from the territory of which the flight will depart. Where the flight is code-shared between one or more air carriers the obligation to transfer the PNR data of all passengers on the flight shall be on the air carrier that operates the flight. Where an extra-EU flight has one or more stop-overs at airports of the Member States, air carriers shall transfer the PNR data of all passengers to the PIUs of all the Member States concerned.'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'This also applies where an intra-EU flight has one or more stopovers at the airports of different Member States, but only in relation to Member States which are collecting intra-EU flight PNR data.'</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Pakistan, in particular the attack in Lahore</w:t>
      </w:r>
    </w:p>
    <w:p w:rsidR="00C46926" w:rsidRPr="002A6DA0">
      <w:pPr>
        <w:pStyle w:val="VOTEREPORTTITLE"/>
      </w:pPr>
      <w:r w:rsidRPr="002A6DA0" w:rsidR="00305EF0">
        <w:t>Motions for resolutions: B8-0471/2016, B8-0474/2016, B8-0475/2016, B8-0476/2016, B8-0467/2016, B8-0468/2016, B8-0466/2016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xml:space="preserve">Joint motion for a resolution RC-B8-0466/2016 </w:t>
              <w:br/>
              <w:t>(PPE, S&amp;D, ECR, ALDE, Verts/ALE, EFDD)</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12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13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Recital L:</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Motions for resolutions by political groups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B8-0466/2016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B8-0467/2016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B8-0468/2016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B8-0471/2016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B8-0474/2016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ECR</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B8-0475/2016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B8-0476/2016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bl>
    <w:p w:rsidR="00C46926" w:rsidRPr="002A6DA0">
      <w:pPr>
        <w:pStyle w:val="STYTAB"/>
      </w:pPr>
    </w:p>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Honduras: situation of human rights defenders</w:t>
      </w:r>
    </w:p>
    <w:p w:rsidR="00C46926" w:rsidRPr="002A6DA0">
      <w:pPr>
        <w:pStyle w:val="VOTEREPORTTITLE"/>
      </w:pPr>
      <w:r w:rsidRPr="002A6DA0" w:rsidR="00305EF0">
        <w:t>Motions for resolutions: B8-0472/2016, B8-0473/2016, B</w:t>
      </w:r>
      <w:r w:rsidRPr="002A6DA0" w:rsidR="00305EF0">
        <w:t>8-0477/2016, B8-0480/2016, B8-0482/2016, B8-0470/2016, B8-0469/2016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xml:space="preserve">Motion for a joint resolution RC-B8-0469/2016 </w:t>
              <w:br/>
              <w:t>(PPE, S&amp;D, ECR, ALDE, GUE/NGL, Verts/ALE, EFDD, Barbara Kappel)</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421, 205, 22</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C</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J</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Motions f</w:t>
            </w:r>
            <w:r w:rsidRPr="002A6DA0" w:rsidR="00305EF0">
              <w:t>or resolutions by political groups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B8-0469/2016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ECR</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B8-0470/2016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B8-0472/2016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B8-0473/2016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B8-0477/2016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B8-0480/2016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B8-0482/2016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w:t>
            </w:r>
            <w:r w:rsidRPr="002A6DA0" w:rsidR="00305EF0">
              <w:t>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'Considers that European investors’ activities must be embedded in a strong set of environmental and social safeguard policies;'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'strongly supports the implementation of the UN Guiding Principles on Business and Human Rights, with clear due diligence requirements, risk management safeguards and the provision of effective remedies when needed;'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'welcomes the fact that both FMO and Finnfund have publicly condemned the killing of Berta Cáceres and have called for a thorough investigation, and the fact that on 16 March 2016, following reports of the murder of Nelson García, FMO suspended all of its activities;'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'arbitrary detention'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C</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in spite of the above, Honduras has now become one of the most dangerous countries in the region for human rights defenders; whereas Honduras is one of the world’s most violent countries'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'for environmental activists, at least 109 of whom were murdered between 2010 and 2015;'</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J</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the murder on 24 January 2016 of Paola Barraza, a defender of LGBTI rights, a trans woman and a member of the Arcoíris association, brings into focus the increasing danger faced by the LGBTI community in Honduras;'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her assassination is the latest in a string of violent deaths of active members of LGBTI human rights organisations in the last 11 months, including the killings of Angy Ferreira, Violeta Rivas, Gloria Carolina Hernández Vásquez (also known as Génesis Hernández), Jorge Alberto Castillo, Estefanía Zúñiga, Henry Matamoros and Josselin Janet Aceituno Suazo; whereas 235 LGBTI people have reportedly been killed in Honduras since 1994, with only 48 cases going to court; whereas the national human rights commissioner has alleged that 92 % of crimes have not been properly investigated and so remain unresolved;'</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TITLE"/>
            </w:pPr>
            <w:r w:rsidRPr="002A6DA0" w:rsidR="00305EF0">
              <w:t>Miscellaneous</w:t>
            </w:r>
          </w:p>
        </w:tc>
      </w:tr>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SIMPLE"/>
            </w:pPr>
            <w:r w:rsidRPr="002A6DA0" w:rsidR="00305EF0">
              <w:t>Marijana Petir (PPE Group) had withdrawn her signature from joint motion for a resolution RC-B8-0469/2016.</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Nigeria</w:t>
      </w:r>
    </w:p>
    <w:p w:rsidR="00C46926" w:rsidRPr="002A6DA0">
      <w:pPr>
        <w:pStyle w:val="VOTEREPORTTITLE"/>
      </w:pPr>
      <w:r w:rsidRPr="002A6DA0" w:rsidR="00305EF0">
        <w:t>Motions for resolutions: B8-0479/2016, B8-0481/2016, B8-0483/2016, B8-0484/2016, B8-0485/2016, B8-0486/2016, B8-0478/2016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xml:space="preserve">Motion for a joint resolution RC-B8-0478/2016 </w:t>
              <w:br/>
              <w:t>(PPE, S&amp;D, ECR, ALDE, GUE/NGL, Verts/ALE, EFDD, Barbara Kappel)</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After § 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15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Motions for resolutions by political gr</w:t>
            </w:r>
            <w:r w:rsidRPr="002A6DA0" w:rsidR="00305EF0">
              <w:t>oups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B8-0478/2016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B8-0479/2016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ECR</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B8-0481/2016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B8-0483/2016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B8-0484/2016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B8-0485/2016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B8-0486/2016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ECR:</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11</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Ame</w:t>
            </w:r>
            <w:r w:rsidRPr="002A6DA0" w:rsidR="00305EF0">
              <w:t>ndment 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for an international investigation under the auspices of UN to determine the third country responsibilities in the organization and financing of terrorist groups in the region like Boko Haram,'</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the responsibility of multinationals and governments in the hoarding of wealth and deepening economic, social and cultural tensions, including through tax fraud;'</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SIMPLE"/>
              <w:rPr>
                <w:i/>
              </w:rPr>
            </w:pPr>
            <w:r w:rsidRPr="002A6DA0" w:rsidR="00305EF0">
              <w:rPr>
                <w:i/>
              </w:rPr>
              <w:t>Miscellaneous:</w:t>
            </w:r>
          </w:p>
          <w:p w:rsidR="00C46926" w:rsidRPr="002A6DA0">
            <w:pPr>
              <w:pStyle w:val="REMARKTABLECELLSIMPLE"/>
            </w:pPr>
            <w:r w:rsidRPr="002A6DA0" w:rsidR="00305EF0">
              <w:t>Anna Záborská (PPE Group) had withdrawn her signature from joint motion for a resolution RC-B8-0478/2016.</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Protection of trade secrets against their unlawful acquisition, use and disclosure ***I</w:t>
      </w:r>
    </w:p>
    <w:p w:rsidR="00C46926" w:rsidRPr="002A6DA0">
      <w:pPr>
        <w:pStyle w:val="VOTEREPORTTITLE"/>
      </w:pPr>
      <w:r w:rsidRPr="002A6DA0" w:rsidR="00305EF0">
        <w:t>Report: Constance Le Grip (A8-0199/2015)</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Proposal to reject the Commission proposal</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+ 40 Members</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129, 509, 14</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Whole of text – Block No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Block No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committee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Commission proposal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legislative resolution</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503, 131, 18</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 3</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Parliament's estimates of revenue and expenditure for the financial year 2017</w:t>
      </w:r>
    </w:p>
    <w:p w:rsidR="00C46926" w:rsidRPr="002A6DA0">
      <w:pPr>
        <w:pStyle w:val="VOTEREPORTTITLE"/>
      </w:pPr>
      <w:r w:rsidRPr="002A6DA0" w:rsidR="00305EF0">
        <w:t>Report: Indrek Tarand (A8-0131/2016)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5</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362, 235, 46</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213, 407, 24</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280, 361, 7</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23</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419, 200, 21</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315, 288, 39</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546, 44, 58</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28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332, 292, 21</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130, 481, 20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238, 374, 30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32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438, 200, 8</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474, 118, 50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569, 49, 26</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38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39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268, 305, 69</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42</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70, 542, 18</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330, 2</w:t>
            </w:r>
            <w:r w:rsidRPr="002A6DA0" w:rsidR="00305EF0">
              <w:t>77, 39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14=</w:t>
              <w:br/>
              <w:t>23=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br/>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114, 477, 56</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245, 335, 62</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128, 498, 17</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52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w:t>
            </w:r>
            <w:r w:rsidRPr="002A6DA0" w:rsidR="00305EF0">
              <w:t>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55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EFDD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56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350, 219, 71</w:t>
            </w: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409, 221, 13</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ECR:</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37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Amendments 1, 2, 5, 16, 22, 24, 28</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GUE/NGL:</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26, 38</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Amendments 3, 4, 5 and § 37</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48, 53</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S&amp;D: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'Confirms that extraordinary expenditure representing a 0,2% increase over the 2016 budget for the phasing out of the temporary derogation measures for the usage of the Irish language that were established by Regulation No 1 of 15 April 1958'</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a 2,6% increase over the 2016 budget for the additional needs for security and cybersecurity have been requested;'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'following the analysis presented in February 2016 to the Bureau and supplemented by the screening made following the events of 22 March 2016'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'Is of the opinion that Members' need in their constituencies should be evaluated, also taking into account differences between constituencies, in order to better empower the Members at their constituency work;'</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'believes that mobile workspaces for Members and support in constituencies should be based on real needs and use assessment, and should not generate any significant or recurring additional costs to the Parliament; insists that no hardware should be provided as the GEA provides sufficient resources for the purchase of state-of-the-art devices; questions the need for developing a private mobile work space for Members as this does not seem to correspond to the way Members and their offices organise themselves;'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'particularly concerning the activities of the Intergroups of the European Parliament; considers that the linguistic profiling system in place since October 2014 for committee-stage amendments is an example of efficiencies that can be made and that can be further developed;'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ENF:</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'Acknowledges the role of Parliament's information offices (EIPOs) in terms of raising awareness on the activities of the Parliament and the Union in general; believes that efficiency measures should be envisaged with regard to Parliament's information offices;'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'considers that, EPIOs should, to a maximum extend, be housed in the same building as and share back office services with Commission representations; requests the evaluation of objectives, tasks and performances of the EPIOs, in light of which priorities should be defined;'</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SIMPLE"/>
              <w:rPr>
                <w:i/>
              </w:rPr>
            </w:pPr>
            <w:r w:rsidRPr="002A6DA0" w:rsidR="00305EF0">
              <w:rPr>
                <w:i/>
              </w:rPr>
              <w:t>Miscellaneous:</w:t>
            </w:r>
          </w:p>
          <w:p w:rsidR="00C46926" w:rsidRPr="002A6DA0">
            <w:pPr>
              <w:pStyle w:val="REMARKTABLECELLSIMPLE"/>
            </w:pPr>
            <w:r w:rsidRPr="002A6DA0" w:rsidR="00305EF0">
              <w:t>The President had ruled inadmissible the first part of Amendment 18: 'Believes that Members should be an example for citizens facing the disastrous effects of the economic crisis in several Member States and therefore asks for a reduction of at least 15% of their salaries and allowances;'</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2015 report on Turkey</w:t>
      </w:r>
    </w:p>
    <w:p w:rsidR="00C46926" w:rsidRPr="002A6DA0">
      <w:pPr>
        <w:pStyle w:val="VOTEREPORTTITLE"/>
      </w:pPr>
      <w:r w:rsidRPr="002A6DA0" w:rsidR="00305EF0">
        <w:t>Motion for a resolution: B8-0442/2016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 for a resolution B8-0442/2016 (AFET committee)</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80, 551, 8</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+ 40 Members</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227, 389, 20</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247, 355, 41</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159, 470, 12</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435, 176, 35</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115, 513, 13</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22=</w:t>
              <w:br/>
              <w:t>37=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r w:rsidR="000A4ED8">
              <w:t>,</w:t>
            </w:r>
            <w:r w:rsidRPr="002A6DA0" w:rsidR="00305EF0">
              <w:br/>
              <w:t>S&amp;D, 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479, 116, 45</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238, 358, 47</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397, 219, 16</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 ALDE, Verts/</w:t>
            </w:r>
            <w:r w:rsidRPr="002A6DA0" w:rsidR="00305EF0">
              <w:t>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amended orally</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7 S</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 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159, 431, 32</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562, 69, 1</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115, 458, 53</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w:t>
            </w:r>
            <w:r w:rsidRPr="002A6DA0" w:rsidR="00305EF0">
              <w:t xml:space="preserve"> 28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113, 447, 70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 GUE/NGL, 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31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149, 432, 49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 PPE, 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 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304, 297, 19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117, 464, 44</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39</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 ALDE, 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56, 495, 68</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407, 192, 15</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r w:rsidRPr="002A6DA0" w:rsidR="00305EF0">
              <w:t>, ALDE, 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101, 492, 21</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55, 538, 21</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70, 487, 53</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243, 331, 30</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173, 407, 25</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67, 522, 14</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202, 293, 104</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GUE/NGL</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106, 466, 28</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Citation 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Citation 10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341, 243, 16</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Citation 17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B</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C</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375, 133, 87</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5, Amendments 9, 10, 15, 17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GUE/NGL:</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Amendments 19, 20, 21, 22, 23, 24, 25, 26, 27, 28, 29, 30, 31, 34, 47, final vote</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PPE: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recitals B, C</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EFDD:</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44</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invite the Turkish Foreign Minister to attend Foreign Affairs Council meetings whenever relevant;'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Citation 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 'accession'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this word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EFDD: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'Supports a renewed political engagement between the EU and Turkey on geopolitical challenges, in particular the refugee and migration crisis;'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'acknowledges Turkey’s great humanitarian contribution in hosting the largest refugee population in the world; urges the EU and Turkey to join forces in improving and ensuring decent living conditions and basic capacities of refugee camps and to facilitate the work of the United Nations Refugee Agency (UNHCR), in order to avoid the massive exodus of migrants; urges the EU to continue to work with Turkish government officials to ensure correct documentation of migrants; recalls that Turkey is one of the key transit countries for migrants and refugees travelling to the EU, not just from Syria but from many other countries; stresses the importance of cooperating with Turkey in managing the refugee crisis and preventing losses of life at sea;'</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38</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'Welcomes the activation, on 29 November 2015, of the EU-Turkey Joint Action Plan on refugees and migration management, as part of a comprehensive cooperation agenda based on shared responsibility, mutual commitments and delivery, and insists on the need to implement it immediately;'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'emphasises that EU-Turkey cooperation on migration should not be linked to the calendar, content and conditionality of the negotiation process; believes that outsourcing the refugee crisis to Turkey is not a credible long-term solution to the problem; calls on EU Member States’ solidarity to increase the number of countries that will accept refugees for resettlement in a spirit of burden and responsibility sharing;'</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'Appreciates that Turkey has, until recently, maintained an open</w:t>
            </w:r>
            <w:r w:rsidRPr="002A6DA0" w:rsidR="00305EF0">
              <w:softHyphen/>
              <w:t>border policy for Syrian refugees; commends the entry into force of new rules in the Turkish visa regime, which already paved the way for a sharp decrease in irregular crossings; stresses, however, that a much stricter visa policy, in line with EU visa policy, must be applied vis-à-vis countries representing a major source of illegal migration, in order to curb the influx of migrants who are in no need of international protection via Turkey into Europe;'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'underlines that Turkey needs every assistance in tightening its border security and to step up its fight against human smugglers; calls on Turkey to show zero tolerance and take effective measures to stop traffickers of human beings and the flow of refugees towards the Greek islands resulting in severe humanitarian, political, social and security issues within the EU; encourages more cooperation between Turkey, Bulgaria and Greece in the area of search and rescue operations in the Aegean Sea, and calls on Frontex to offer its support to the Turkish coast guard and enhance the bilateral exchange of information; acknowledges that measures against criminal smuggling can only be effective in conjunction with the introduction of safe and legal routes for refugees and asylum seekers to enter the European Union;'</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 ENF:</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'Takes the view that, in keeping with the EU’s commitment to the rule of law and fundamental values, reforms in the areas of the judiciary and fundamental rights and of justice, freedom and security are urgently needed in Turkey;'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without prejudice to Member States’ positions, on the Council of the EU to propose, once the official opening benchmarks are met, the opening of chapters 23 (judiciary and fundamental rights) and 24 (justice, freedom and security) and to ensure that the reform process in Turkey is shaped on the basis of EU values and standards;'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Turkey to engage fully with the Council of Europe and with the Venice Commission in the areas of judicial reform;'</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TITLE"/>
            </w:pPr>
            <w:r w:rsidRPr="002A6DA0" w:rsidR="00305EF0">
              <w:t>Miscellaneous</w:t>
            </w:r>
          </w:p>
        </w:tc>
      </w:tr>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SIMPLE"/>
            </w:pPr>
            <w:r w:rsidRPr="002A6DA0" w:rsidR="00305EF0">
              <w:t>Bodil Valero moved an oral amendment to §13, which then read as follows:</w:t>
            </w:r>
          </w:p>
        </w:tc>
      </w:tr>
      <w:tr>
        <w:tblPrEx>
          <w:tblW w:w="9065" w:type="dxa"/>
          <w:tblLayout w:type="fixed"/>
          <w:tblCellMar>
            <w:left w:w="10" w:type="dxa"/>
            <w:right w:w="10" w:type="dxa"/>
          </w:tblCellMar>
          <w:tblLook w:val="04A0"/>
        </w:tblPrEx>
        <w:trPr>
          <w:cantSplit/>
        </w:trPr>
        <w:tc>
          <w:tcPr>
            <w:tcW w:w="9065" w:type="dxa"/>
            <w:shd w:val="clear" w:color="auto" w:fill="auto"/>
            <w:tcMar>
              <w:top w:w="0" w:type="dxa"/>
              <w:left w:w="0" w:type="dxa"/>
              <w:bottom w:w="0" w:type="dxa"/>
              <w:right w:w="0" w:type="dxa"/>
            </w:tcMar>
          </w:tcPr>
          <w:p w:rsidR="00C46926" w:rsidRPr="002A6DA0">
            <w:pPr>
              <w:pStyle w:val="REMARKTABLECELLSIMPLE"/>
            </w:pPr>
            <w:r w:rsidRPr="002A6DA0" w:rsidR="00305EF0">
              <w:t>'13.</w:t>
            </w:r>
            <w:r w:rsidRPr="002A6DA0" w:rsidR="00305EF0">
              <w:t xml:space="preserve"> Calls for the independence of the media of Koza İpek Holding and the Feza media groups to be restored and for all government representatives to be removed from the boards of directors, for the dozens of sacked employees who expressed their dissatisfaction</w:t>
            </w:r>
            <w:r w:rsidRPr="002A6DA0" w:rsidR="00305EF0">
              <w:t xml:space="preserve"> at the government takeover to be reappointed, and for the charges of terrorism to be withdrawn;'</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2015 report on Albania</w:t>
      </w:r>
    </w:p>
    <w:p w:rsidR="00C46926" w:rsidRPr="002A6DA0">
      <w:pPr>
        <w:pStyle w:val="VOTEREPORTTITLE"/>
      </w:pPr>
      <w:r w:rsidRPr="002A6DA0" w:rsidR="00305EF0">
        <w:t>Motion for a resolution: B8-0440/2016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 for a resolution B8-0440/2016 (AFET committee)</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4</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14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20</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307, 174, 25</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21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22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26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313, 192, 5</w:t>
            </w: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S&amp;D: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20</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'is concerned about widespread self-censorship among journalists, who are sometimes physically obstructed from covering specific events, assaulted, or threatened because of their work, and about cases of direct interference in editorial autonomy; deplores, in this context, that the Balkan Investigative Regional Network has been threatened with a defamation case following its investigations into the criminal past of a mayoral candidate during the local elections in 2015; calls for measures to be taken to strengthen the professional and ethical standards of journalists; calls for enhanced implementation of the Law on Audiovisual Media; stresses the need to enhance the transparency of government advertising in the media and to pursue additional efforts to guarantee the independence of the Audiovisual Media Authority (AMA) and of the public broadcaster; is concerned about changing procedures for the election of the General Director of the Albanian public radio and television broadcaster (RTSh);'</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the business community'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2015 Report on Bosnia and Herzegovina</w:t>
      </w:r>
    </w:p>
    <w:p w:rsidR="00C46926" w:rsidRPr="002A6DA0">
      <w:pPr>
        <w:pStyle w:val="VOTEREPORTTITLE"/>
      </w:pPr>
      <w:r w:rsidRPr="002A6DA0" w:rsidR="00305EF0">
        <w:t>Motion for a resolution: B8-0441/2016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907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Motion for a resolution B8-0441/2016 (AFET committee)</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423, 56, 27</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406, 67, 30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9</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ALDE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7</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10</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427, 71, 10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12</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14</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PPE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13</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ENF</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271, 201, 27</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36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S&amp;D</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6</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258, 216, 10</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After § 45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8</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Verts/ALE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Citation 10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Citation 11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Citation 12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1, 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S&amp;D:</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26 (2nd part)</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rsidP="000A4ED8">
            <w:pPr>
              <w:pStyle w:val="REMARKTABLECELLSIMPLE"/>
            </w:pPr>
            <w:r w:rsidRPr="002A6DA0" w:rsidR="00305EF0">
              <w:t>citations 10, 11</w:t>
            </w:r>
            <w:r w:rsidR="000A4ED8">
              <w:t>,</w:t>
            </w:r>
            <w:r w:rsidRPr="002A6DA0" w:rsidR="00305EF0">
              <w:t xml:space="preserve"> 12</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S&amp;D: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'three constituent peoples and all other'</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EFDD: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'calls for this idea of a referendum to be dropped altogether, as it challenges the cohesion, sovereignty and integrity of the country and risks undermining the efforts being made to improve the socio-economic situation of all BiH citizens and to make further progress towards EU integration;'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Meeting the antipoverty target in the light of increasing household costs</w:t>
      </w:r>
    </w:p>
    <w:p w:rsidR="00C46926" w:rsidRPr="002A6DA0">
      <w:pPr>
        <w:pStyle w:val="VOTEREPORTTITLE"/>
      </w:pPr>
      <w:r w:rsidRPr="002A6DA0" w:rsidR="00305EF0">
        <w:t>Report: Tamás Meszerics (A8-0040/2016)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370, 57, 44</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367, 71, 31</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219, 243, 8</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406, 45, 18</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194, 254, 2</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8</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351, 79, 29</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15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16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18</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19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22</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24</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32</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33</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34</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292, 130, 20</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240, 195, 5</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35</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42</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45</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49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342, 80, 13</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309, 113, 7</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54</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57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60</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64</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69</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71</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335, 75, 21</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B</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H</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406, 7, 16</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M</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N</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P</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Q</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185, 216, 11</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R</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T</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U</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V</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W</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AB</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AE</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AF</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AH</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AI</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Recital AJ</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AL</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AM</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AX</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232, 174, 2</w:t>
            </w: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310, 73, 26</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roll-call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ALDE: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49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ENF:</w:t>
            </w:r>
          </w:p>
        </w:tc>
        <w:tc>
          <w:tcPr>
            <w:tcW w:w="7495" w:type="dxa"/>
            <w:shd w:val="clear" w:color="auto" w:fill="auto"/>
            <w:tcMar>
              <w:top w:w="0" w:type="dxa"/>
              <w:left w:w="0" w:type="dxa"/>
              <w:bottom w:w="0" w:type="dxa"/>
              <w:right w:w="0" w:type="dxa"/>
            </w:tcMar>
          </w:tcPr>
          <w:p w:rsidR="00C46926" w:rsidRPr="002A6DA0" w:rsidP="000A4ED8">
            <w:pPr>
              <w:pStyle w:val="REMARKTABLECELLSIMPLE"/>
            </w:pPr>
            <w:r w:rsidR="000A4ED8">
              <w:t>recital H, §</w:t>
            </w:r>
            <w:r w:rsidRPr="002A6DA0" w:rsidR="000A4ED8">
              <w:t>§</w:t>
            </w:r>
            <w:r w:rsidR="000A4ED8">
              <w:t xml:space="preserve"> </w:t>
            </w:r>
            <w:r w:rsidRPr="002A6DA0" w:rsidR="00305EF0">
              <w:t>4, 8, 71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2, 3, 34</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PPE: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recitals T, AB, AF, §§ 3, 34, 35, 42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ECR:</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recitals U, AF, §§ 2, 3, 5, 8, 13, 15, 16, 34, 35, 36, 40, 41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ALDE: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recitals B, AB, AI, AJ, T, W, §§ 8, 23, 35, 43, 60</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GUE/NGL:</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9, 32, 41</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whereas it has now reached a critical level in all the Member States,'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AX</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the intersectionality of the gender aspects of poverty requires a holistic approach to tackle multiple discrimination'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issues such as housing, energy costs, public services, job security, precarious employment, and taxation policies;'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'Underlines that there is already a lost generation;'  and 'therefore'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69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'Notes that the gender pay and pension gap are key contributors to female poverty; notes the long-term impacts on female poverty of women’s exclusion from sectors of the economy traditionally dominated by men, such as technology, science, senior management and decision-making, and the over-representation of women in comparatively low-wage sectors such as care work, public services, part-time work, and low-paid precarious work;'</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'expresses concern that the feminisation of poverty is partially driven by long-standing gender-unequal norms, which lead to the prioritisation of male dominated sectors, such as the financial sector, in industrial policy and wage-setting agreements;'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ECR:</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AH</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housing represents the most significant expenditure item for European households;'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the rise in prices associated with housing (land, property, rents, energy consumption) constitutes a source of instability and anxiety and must be regarded as an issue of major concern;'</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19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'Reiterates the importance of the empowerment of women and girls through education, including formal and non-formal education, and the role of education in combating gender stereotypes and in combating the stigmatisation of poverty and in increasing income through women’s inclusion in sectors where they have been under-represented such as science, technology, engineering, and entrepreneurship,'</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calls on the Commission to incorporate vocational training targets for women in the country-specific recommendations;'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rsidP="002A6DA0">
            <w:pPr>
              <w:pStyle w:val="REMARKTABLECELLSIMPLE"/>
            </w:pPr>
            <w:r w:rsidRPr="002A6DA0" w:rsidR="002A6DA0">
              <w:t>Text as a whole excluding the words 'and the Commission where appropriate'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'Recalls that tenants have limited access to energy efficiency funding as they are not the property owners; recalls that tenants may have a lower incentive to invest as they relocate more easily and frequently than homeowners; welcomes the Commission pilot project on ‘Fuel/Energy poverty – assessment of the impact of the crisis and review of existing and possible new measures in the Member States’ which is meant to tackle this issue;'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the Commission, on the basis of the outcomes of this pilot project, to develop provisions for allowing EU funding for energy efficiency measures taken by tenants;'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'Welcomes the fact that European energy policy legislation recognises social aims in energy efficiency policies, notably in Directive 2012/27/EU on energy efficiency and Directive 2010/31/EU on the energy performance of buildings; finds regrettable that the relevant provisions of Directive 2012/27/EU to target households affected by energy poverty and social housing (Article 7(7)) are not used to their full potential by the Member States; calls on the Commission in its review and impact assessment of the energy efficiency package to evaluate the implementation and use of Articles 7(7) and 5(7);'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also on the Commission based on this evaluation to consider strengthening Article (7), in particular paragraph 7 thereof, so that Member States are encouraged to include social aims in their energy efficiency obligation schemes;'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64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'Notes that increasing energy efficiency, renovation, and renewable energy is key to tackling energy poverty;'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'expresses concern that housing renovation policies often fail to target those who are most vulnerable; insists that housing renovation policies must target poor, economically excluded and vulnerable households first and foremost, with an emphasis on those facing gender inequalities and multiple discrimination;'</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ALDE: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'above the poverty threshold of 60% of national median income in all Member States'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'such as younger women, single-parent families, the disabled and elderly women'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allow for an income above the poverty threshold'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M</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'austerity measures, rising housing prices'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P</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not having adequate housing and heating have a negative impact on a person's health, education and social and employment inclusion, in particular for the most vulnerable; whereas people are suffering from not being able to heat their houses both in the northern and southern Member States;'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EU-SILC figures show that housing cost overburden (by tenure status) is higher for tenants housed in the private rented sector in some Member States, which may be explained by low housing quality and high prices; whereas many families have difficulty in meeting the cost of essential goods and services, also as a consequence of rising energy prices;'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Q</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'high-energy prices, aggressive commercial and marketing techniques', 'or online services' and 'and the quality and energy performance of the housing stock'</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'high-energy prices, aggressive commercial and marketing techniques' '</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'or online services'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Fourth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the quality and energy performance of the housing stock'</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V</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the UN has affirmed that the human right to water and sanitation entitles everyone to good quality, safe, physically accessible, affordable, sufficient and acceptable water for personal and domestic uses; whereas a further UN recommendation has stated that 3 % of household income should be seen as a maximum for water payments where payments apply;'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the privatisation of water services has a negative impact on households living in, or at risk of, poverty;'</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ENF:</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'even though the Europe 2020 Strategy aims to reduce the number of people in this category by at least 20 million;'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16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xml:space="preserve">'Recalls the European Economic and Social Committee’s opinion entitled ‘For coordinated European measures to prevent and combat energy poverty’ and notes its recommendation ‘on setting up a European poverty observatory, whose main focus would be on energy poverty and which would bring together all the stakeholders to help define European energy poverty indicators (in conjunction with Eurostat), make an inventory of the situation, identify best practices and draw up recommendations for preventing and addressing the problem more effectively and establishing European solidarity in this sphere’;' </w:t>
            </w:r>
          </w:p>
          <w:p w:rsidR="00C46926" w:rsidRPr="002A6DA0">
            <w:pPr>
              <w:pStyle w:val="REMARKTABLECELLSIMPLE"/>
            </w:pP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'stresses the importance of developing indicators and collecting data on household consumption and costs in relation to energy poverty in order to provide reliable information and allow for evidence based policy making and effective monitoring;'</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18</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the Council and the Member States, in the context of increasing poverty, to intensify their efforts to come to the aid of people at risk of poverty or social exclusion, which includes a strong gender perspective,'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'for example in the form of a Council Recommendation, in order to reach the poverty reduction target laid down in the Europe 2020 Strategy;'</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'Welcomes the Commission’s work on a reference budget, which is a step in the right direction given that addressing income and expenditure of poor households in a more balanced way with a data-based approach is still a challenge ahead; points out that reference budgets reflecting household cost could be used to design the support to be provided and to test its adequacy; considers such an instrument to be of crucial value to revive the Union's social cohesion, reduce inequalities and achieve the Europe 2020 poverty and social exclusion target;'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'stresses that lowering household expenditure for poor households will impact positively on the concerned households as well as on the economy, in particular the local economy, and on social cohesion;'</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33</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 'poor'</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this word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'Stresses that there is so far no definition of energy poverty at Union level and therefore it is very difficult to properly assess the seriousness, the causes and the consequences of this aspect of poverty in the Union;'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the Commission to develop with stakeholders a common definition of energy poverty and to define the factors contributing to the vulnerability of households;'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49</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"Commission and"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between 2008 and 2013, the number of people at risk of poverty or social exclusion in the EU increased from 117 million to 122.6 million; whereas in 2013 16.7 % of the population of the EU was at risk of poverty after social transfers, 9.6 % were in a situation of serious material deprivation and 10.7 % of households were considered to have very low work intensity;'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'whereas this development runs counter to the strategic objective of the EU that is defined in its Europe 2020 Strategy and which aims to reduce the number of people in or at risk of poverty and social exclusion by at least 20 million by 2020;'</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R</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minorities'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'whereas the European Semester has identified housing cost overburden as a ‘social trend to watch’ ' and 'the EU and'</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AI</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'(i.e. Eastern and Mediterranean countries)'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AL</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'essential' and 'in achieving the Europe 2020 objective of reducing poverty'</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AM</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'Eurofound report entitled ‘Access to benefits: reducing non-take-up’ clearly highlights the problem that'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GUE/NGL:</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'in the context of the European Semester'</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ECR, ALDE</w:t>
            </w:r>
            <w:r w:rsidR="000A4ED8">
              <w:t>:</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'including minimum income above the poverty threshold throughout the life cycle'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'including minimum income'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'above the poverty threshold throughout the life cycle'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 ALDE</w:t>
            </w:r>
            <w:r w:rsidR="000A4ED8">
              <w:t>:</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'Invites the Commission to present a communication on energy poverty in Europe accompanied by an action plan to support Member States in this respect;'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the Commission to provide impact assessments and information on best practices to fight energy poverty in the Member States in this context;'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'emphasises that energy must be affordable to all Union citizens;'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ECR, ENF</w:t>
            </w:r>
            <w:r w:rsidR="000A4ED8">
              <w:t>:</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45</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'Recalls that targeting certain policies and Union funding with a view to reducing energy costs of poor households by investing in renewables and energy efficiency may have multiple positive effects in the medium term: improvement of living conditions and the health of people concerned, reduction of household costs providing budgetary relief for poor families, an increase in local investments, local job creation' excluding the words 'and Union funding'</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Union funding'</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'and contribution to the EU 2020 strategy objectives'</w:t>
            </w:r>
          </w:p>
        </w:tc>
      </w:tr>
    </w:tbl>
    <w:p w:rsidR="00C46926" w:rsidRPr="002A6DA0">
      <w:pPr>
        <w:pStyle w:val="STYTAB"/>
      </w:pPr>
    </w:p>
    <w:p w:rsidR="00C46926" w:rsidRPr="002A6DA0">
      <w:pPr>
        <w:pStyle w:val="STYTAB"/>
      </w:pPr>
    </w:p>
    <w:p w:rsidR="00C46926" w:rsidRPr="002A6DA0">
      <w:pPr>
        <w:pStyle w:val="VOTETITLE"/>
        <w:numPr>
          <w:ilvl w:val="0"/>
          <w:numId w:val="4"/>
        </w:numPr>
        <w:outlineLvl w:val="9"/>
      </w:pPr>
      <w:r w:rsidRPr="002A6DA0" w:rsidR="00305EF0">
        <w:t>Private sector and development</w:t>
      </w:r>
    </w:p>
    <w:p w:rsidR="00C46926" w:rsidRPr="002A6DA0">
      <w:pPr>
        <w:pStyle w:val="VOTEREPORTTITLE"/>
      </w:pPr>
      <w:r w:rsidRPr="002A6DA0" w:rsidR="00305EF0">
        <w:t>Report: Nirj Deva (A8-0043/2016)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C46926" w:rsidRPr="002A6DA0">
            <w:pPr>
              <w:pStyle w:val="VOTINGTABLEHEADER"/>
            </w:pPr>
            <w:r w:rsidRPr="002A6DA0" w:rsidR="00305EF0">
              <w:t>RCV/EV – remarks</w:t>
            </w: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4</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11</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17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21</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23</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25</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32</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345, 23, 19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195, 168, 20</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36</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37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3/EV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284, 76, 19</w:t>
            </w: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4</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5</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41</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55</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SIMPLEOBJECT"/>
            </w:pPr>
            <w:r w:rsidRPr="002A6DA0" w:rsidR="00305EF0">
              <w:t>§ 56</w:t>
            </w:r>
          </w:p>
        </w:tc>
        <w:tc>
          <w:tcPr>
            <w:tcW w:w="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sep</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196, 162, 19</w:t>
            </w: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 57</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N</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Recital U</w:t>
            </w:r>
          </w:p>
        </w:tc>
        <w:tc>
          <w:tcPr>
            <w:tcW w:w="9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w:t>
            </w:r>
          </w:p>
        </w:tc>
        <w:tc>
          <w:tcPr>
            <w:tcW w:w="151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UTHOR"/>
            </w:pPr>
            <w:r w:rsidRPr="002A6DA0" w:rsidR="00305EF0">
              <w:t>original text</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split</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1</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p>
        </w:tc>
      </w:tr>
      <w:tr>
        <w:tblPrEx>
          <w:tblW w:w="9071" w:type="dxa"/>
          <w:tblInd w:w="108" w:type="dxa"/>
          <w:tblLayout w:type="fixed"/>
          <w:tblCellMar>
            <w:left w:w="10" w:type="dxa"/>
            <w:right w:w="10" w:type="dxa"/>
          </w:tblCellMar>
          <w:tblLook w:val="04A0"/>
        </w:tblPrEx>
        <w:trPr>
          <w:cantSplit/>
        </w:trPr>
        <w:tc>
          <w:tcPr>
            <w:tcW w:w="22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151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2/EV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191, 184, 4</w:t>
            </w:r>
          </w:p>
        </w:tc>
      </w:tr>
      <w:tr>
        <w:tblPrEx>
          <w:tblW w:w="9071" w:type="dxa"/>
          <w:tblInd w:w="108" w:type="dxa"/>
          <w:tblLayout w:type="fixed"/>
          <w:tblCellMar>
            <w:left w:w="10" w:type="dxa"/>
            <w:right w:w="10" w:type="dxa"/>
          </w:tblCellMar>
          <w:tblLook w:val="04A0"/>
        </w:tblPrEx>
        <w:trPr>
          <w:cantSplit/>
        </w:trPr>
        <w:tc>
          <w:tcPr>
            <w:tcW w:w="46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OBJECT"/>
            </w:pPr>
            <w:r w:rsidRPr="002A6DA0" w:rsidR="00305EF0">
              <w:t>Vote: resolution (text as a whole)</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AN"/>
            </w:pPr>
            <w:r w:rsidRPr="002A6DA0" w:rsidR="00305EF0">
              <w:t>RCV</w:t>
            </w:r>
          </w:p>
        </w:tc>
        <w:tc>
          <w:tcPr>
            <w:tcW w:w="14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VOTE"/>
            </w:pPr>
            <w:r w:rsidRPr="002A6DA0" w:rsidR="00305EF0">
              <w: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46926" w:rsidRPr="002A6DA0">
            <w:pPr>
              <w:pStyle w:val="VOTINGTABLECELLREMARK"/>
            </w:pPr>
            <w:r w:rsidRPr="002A6DA0" w:rsidR="00305EF0">
              <w:t>266, 56, 39</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 for roll-call vote</w:t>
              <w:br/>
            </w:r>
            <w:r w:rsidRPr="002A6DA0" w:rsidR="00305EF0">
              <w:rPr>
                <w:i w:val="0"/>
              </w:rPr>
              <w:t>ECR:                    § 32</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rPr>
                <w:i w:val="0"/>
              </w:rPr>
            </w:pP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separate votes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ECR:</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4</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SIMPLE"/>
            </w:pPr>
            <w:r w:rsidRPr="002A6DA0" w:rsidR="00305EF0">
              <w:t>Verts/ALE:</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23, 36, 56</w:t>
            </w:r>
          </w:p>
        </w:tc>
      </w:tr>
    </w:tbl>
    <w:p w:rsidR="00C46926" w:rsidRPr="002A6DA0">
      <w:pPr>
        <w:pStyle w:val="STYTAB"/>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TITLE"/>
            </w:pPr>
            <w:r w:rsidRPr="002A6DA0" w:rsidR="00305EF0">
              <w:t>Requests for split votes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ECR:</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17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'Acknowledges also the right of all countries, particularly developing countries, to impose temporary capital restrictions in order to prevent financial crises from occurring as a result of short-term and volatile private financial flows;'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for the removal of constraints on this right from all trade and investment agreements, including at the WTO;'</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25</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'Recalls that tariff regimes are an essential component of a regulatory environment tailored to pro-poor private sector development and job creation;'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'notes with concern, however, that Economic Partnership Agreements (EPAs) mandate import tariff reduction across a wide range of ACP countries’ economic sectors, while eliminating all tariffs on EU imports would considerably lower tariff revenues, in some cases by as much as 15-20 % of government revenues; urges the EU to frame its trade policy in line with the principle of Policy Coherence for Development;'</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55</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'associated with direct grants to CSOs and are'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36</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'with their free, prior and informed consent'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Verts/ALE: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21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xml:space="preserve">Text as a whole excluding the words 'modernise their regulatory frameworks by creating a friendly environment for private </w:t>
            </w:r>
            <w:r w:rsidRPr="002A6DA0" w:rsidR="00305EF0">
              <w:t>initiatives, providing support mechanisms for businesses, while at the same time' and  'calls on partner governments to introduce a sunset clause, whereby redundant measures can be annulled; notes that legislation should be subject to impact assessments aimed at gauging negative job creation and threats to environmental standards;'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'modernise their regulatory frameworks by creating a friendly environment for private initiatives, providing support mechanisms for businesses, while at the same time'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on partner governments to introduce a sunset clause, whereby redundant measures can be annulled; notes that legislation should be subject to impact assessments aimed at gauging negative job creation and threats to environmental standards;'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41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'and support PPPs'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57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'Calls for a stronger commitment on the part of the Commission, when it comes to leveraging its political weight and pursuing avenues of dialogue with partner governments and local authorities, to facilitate a greater and more positive interaction with the private sector; highlights the fact that Country Strategy Papers, National Indicative Programmes and budget support may be the most valuable instruments in spearheading business environment reforms in partner countries and promoting domestic industrialisation;'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'recommends that the EU endorse UNCTAD's Action Plan for Investing in the SDGs; draws attention to the fact that the designing, structuring and implementing of PPPs remains a challenging and complex endeavour and that their success is also dependent upon the enabling environment in which they operate;'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U</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 xml:space="preserve">'whereas PPPs in developing countries are to date mostly concentrated in the energy, infrastructure and telecommunications sectors,' </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'while their potential in sectors such as agriculture, education, green technologies, research and innovation, healthcare and property rights remains largely untapped;'</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ECR, PPE:</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recital 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'by EU Member States'</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11</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'mandatory and publicly available'</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32</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Text as a whole excluding the words 'binding rules on'</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those words</w:t>
            </w:r>
          </w:p>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tc>
      </w:tr>
      <w:tr>
        <w:tblPrEx>
          <w:tblW w:w="9065" w:type="dxa"/>
          <w:tblLayout w:type="fixed"/>
          <w:tblCellMar>
            <w:left w:w="10" w:type="dxa"/>
            <w:right w:w="10" w:type="dxa"/>
          </w:tblCellMar>
          <w:tblLook w:val="04A0"/>
        </w:tblPrEx>
        <w:trPr>
          <w:cantSplit/>
        </w:trPr>
        <w:tc>
          <w:tcPr>
            <w:tcW w:w="9065" w:type="dxa"/>
            <w:gridSpan w:val="2"/>
            <w:shd w:val="clear" w:color="auto" w:fill="auto"/>
            <w:tcMar>
              <w:top w:w="0" w:type="dxa"/>
              <w:left w:w="0" w:type="dxa"/>
              <w:bottom w:w="0" w:type="dxa"/>
              <w:right w:w="0" w:type="dxa"/>
            </w:tcMar>
          </w:tcPr>
          <w:p w:rsidR="00C46926" w:rsidRPr="002A6DA0">
            <w:pPr>
              <w:pStyle w:val="REMARKTABLECELLSIMPLE"/>
            </w:pPr>
            <w:r w:rsidRPr="002A6DA0" w:rsidR="00305EF0">
              <w:t>§ 37</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First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'Highlights also the risks associated with PPPs in agriculture, including land grabbing, which must be prevented; stresses the importance of focusing assistance on small-scale farmers, in particular women; calls on the Commission to couple any PPPs in the agricultural sector involving EU money with comprehensive measures to protect small-holder farmers, pastoralists and other vulnerable land users against the potential loss of access to land or water; emphasises that safeguards should include social and environmental risk assessment,'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Second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'mandatory consultation with legitimate representatives of the affected communities, with their free, prior and informed consent'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Third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'as a condition for the launch of the respective project and legal support for these communities when they so need; recommends that G8 New Alliance projects be replaced with initiatives under the Comprehensive Africa Agriculture Development Programme (CAADP); stresses that'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Fourth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'financial and social compensations must be binding commitments and that'</w:t>
            </w:r>
          </w:p>
        </w:tc>
      </w:tr>
      <w:tr>
        <w:tblPrEx>
          <w:tblW w:w="9065" w:type="dxa"/>
          <w:tblLayout w:type="fixed"/>
          <w:tblCellMar>
            <w:left w:w="10" w:type="dxa"/>
            <w:right w:w="10" w:type="dxa"/>
          </w:tblCellMar>
          <w:tblLook w:val="04A0"/>
        </w:tblPrEx>
        <w:trPr>
          <w:cantSplit/>
        </w:trPr>
        <w:tc>
          <w:tcPr>
            <w:tcW w:w="1570" w:type="dxa"/>
            <w:shd w:val="clear" w:color="auto" w:fill="auto"/>
            <w:tcMar>
              <w:top w:w="0" w:type="dxa"/>
              <w:left w:w="0" w:type="dxa"/>
              <w:bottom w:w="0" w:type="dxa"/>
              <w:right w:w="0" w:type="dxa"/>
            </w:tcMar>
          </w:tcPr>
          <w:p w:rsidR="00C46926" w:rsidRPr="002A6DA0">
            <w:pPr>
              <w:pStyle w:val="REMARKTABLECELLITALIC"/>
            </w:pPr>
            <w:r w:rsidRPr="002A6DA0" w:rsidR="00305EF0">
              <w:t>Fifth part</w:t>
            </w:r>
          </w:p>
        </w:tc>
        <w:tc>
          <w:tcPr>
            <w:tcW w:w="7495" w:type="dxa"/>
            <w:shd w:val="clear" w:color="auto" w:fill="auto"/>
            <w:tcMar>
              <w:top w:w="0" w:type="dxa"/>
              <w:left w:w="0" w:type="dxa"/>
              <w:bottom w:w="0" w:type="dxa"/>
              <w:right w:w="0" w:type="dxa"/>
            </w:tcMar>
          </w:tcPr>
          <w:p w:rsidR="00C46926" w:rsidRPr="002A6DA0">
            <w:pPr>
              <w:pStyle w:val="REMARKTABLECELLSIMPLE"/>
            </w:pPr>
            <w:r w:rsidRPr="002A6DA0" w:rsidR="00305EF0">
              <w:t>'alternative development plans should always be taken into consideration;'</w:t>
            </w:r>
          </w:p>
        </w:tc>
      </w:tr>
    </w:tbl>
    <w:p w:rsidR="00C46926" w:rsidRPr="002A6DA0"/>
    <w:sectPr>
      <w:footerReference w:type="default" r:id="rId4"/>
      <w:pgSz w:w="11905" w:h="16837"/>
      <w:pgMar w:top="1440" w:right="1418" w:bottom="1440" w:left="1418" w:header="720" w:footer="454"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9065" w:type="dxa"/>
      <w:tblInd w:w="10" w:type="dxa"/>
      <w:tblLayout w:type="fixed"/>
      <w:tblCellMar>
        <w:left w:w="10" w:type="dxa"/>
        <w:right w:w="10" w:type="dxa"/>
      </w:tblCellMar>
      <w:tblLook w:val="04A0"/>
    </w:tblPr>
    <w:tblGrid>
      <w:gridCol w:w="4121"/>
      <w:gridCol w:w="822"/>
      <w:gridCol w:w="4122"/>
    </w:tblGrid>
    <w:tr>
      <w:tblPrEx>
        <w:tblW w:w="9065" w:type="dxa"/>
        <w:tblInd w:w="10" w:type="dxa"/>
        <w:tblLayout w:type="fixed"/>
        <w:tblCellMar>
          <w:left w:w="10" w:type="dxa"/>
          <w:right w:w="10" w:type="dxa"/>
        </w:tblCellMar>
        <w:tblLook w:val="04A0"/>
      </w:tblPrEx>
      <w:tc>
        <w:tcPr>
          <w:tcW w:w="4121" w:type="dxa"/>
          <w:shd w:val="clear" w:color="auto" w:fill="auto"/>
          <w:tcMar>
            <w:top w:w="0" w:type="dxa"/>
            <w:left w:w="10" w:type="dxa"/>
            <w:bottom w:w="0" w:type="dxa"/>
            <w:right w:w="10" w:type="dxa"/>
          </w:tcMar>
        </w:tcPr>
        <w:p w:rsidR="00305EF0" w:rsidP="000A4ED8">
          <w:pPr>
            <w:pStyle w:val="FOOTERSTYLELEFTSTYLE"/>
          </w:pPr>
          <w:r>
            <w:t>P8_PV(2016)04-14(VOT)_EN.doc</w:t>
          </w:r>
        </w:p>
      </w:tc>
      <w:tc>
        <w:tcPr>
          <w:tcW w:w="822" w:type="dxa"/>
          <w:shd w:val="clear" w:color="auto" w:fill="auto"/>
          <w:tcMar>
            <w:top w:w="0" w:type="dxa"/>
            <w:left w:w="10" w:type="dxa"/>
            <w:bottom w:w="0" w:type="dxa"/>
            <w:right w:w="10" w:type="dxa"/>
          </w:tcMar>
        </w:tcPr>
        <w:p w:rsidR="00305EF0">
          <w:pPr>
            <w:pStyle w:val="FOOTERSTYLECENTERSTYLE"/>
          </w:pPr>
          <w:r>
            <w:fldChar w:fldCharType="begin"/>
          </w:r>
          <w:r>
            <w:instrText xml:space="preserve"> PAGE </w:instrText>
          </w:r>
          <w:r>
            <w:fldChar w:fldCharType="separate"/>
          </w:r>
          <w:r w:rsidR="00C62223">
            <w:rPr>
              <w:noProof/>
            </w:rPr>
            <w:t>26</w:t>
          </w:r>
          <w:r>
            <w:fldChar w:fldCharType="end"/>
          </w:r>
        </w:p>
      </w:tc>
      <w:tc>
        <w:tcPr>
          <w:tcW w:w="4122" w:type="dxa"/>
          <w:shd w:val="clear" w:color="auto" w:fill="auto"/>
          <w:tcMar>
            <w:top w:w="0" w:type="dxa"/>
            <w:left w:w="10" w:type="dxa"/>
            <w:bottom w:w="0" w:type="dxa"/>
            <w:right w:w="10" w:type="dxa"/>
          </w:tcMar>
        </w:tcPr>
        <w:p w:rsidR="00305EF0">
          <w:pPr>
            <w:pStyle w:val="FOOTERSTYLERIGHTSTYLE"/>
          </w:pPr>
          <w:r>
            <w:t>PE 581.429</w:t>
          </w:r>
        </w:p>
      </w:tc>
    </w:tr>
  </w:tbl>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60752"/>
    <w:multiLevelType w:val="multilevel"/>
    <w:tmpl w:val="F88810CE"/>
    <w:styleLink w:val="WWOutlineListStyle2"/>
    <w:lvl w:ilvl="0">
      <w:start w:val="1"/>
      <w:numFmt w:val="decimal"/>
      <w:pStyle w:val="VOTETITLE"/>
      <w:lvlText w:val="%1."/>
      <w:lvlJc w:val="left"/>
    </w:lvl>
    <w:lvl w:ilvl="1">
      <w:start w:val="1"/>
      <w:numFmt w:val="none"/>
      <w:lvlJc w:val="left"/>
    </w:lvl>
    <w:lvl w:ilvl="2">
      <w:start w:val="1"/>
      <w:numFmt w:val="none"/>
      <w:lvlJc w:val="left"/>
    </w:lvl>
    <w:lvl w:ilvl="3">
      <w:start w:val="1"/>
      <w:numFmt w:val="none"/>
      <w:lvlJc w:val="left"/>
    </w:lvl>
    <w:lvl w:ilvl="4">
      <w:start w:val="1"/>
      <w:numFmt w:val="none"/>
      <w:lvlJc w:val="left"/>
    </w:lvl>
    <w:lvl w:ilvl="5">
      <w:start w:val="1"/>
      <w:numFmt w:val="none"/>
      <w:lvlJc w:val="left"/>
    </w:lvl>
    <w:lvl w:ilvl="6">
      <w:start w:val="1"/>
      <w:numFmt w:val="none"/>
      <w:lvlJc w:val="left"/>
    </w:lvl>
    <w:lvl w:ilvl="7">
      <w:start w:val="1"/>
      <w:numFmt w:val="none"/>
      <w:lvlJc w:val="left"/>
    </w:lvl>
    <w:lvl w:ilvl="8">
      <w:start w:val="1"/>
      <w:numFmt w:val="none"/>
      <w:lvlJc w:val="left"/>
    </w:lvl>
  </w:abstractNum>
  <w:abstractNum w:abstractNumId="1">
    <w:nsid w:val="1A17224B"/>
    <w:multiLevelType w:val="multilevel"/>
    <w:tmpl w:val="B30C71B2"/>
    <w:styleLink w:val="WWOutlineListStyle1"/>
    <w:lvl w:ilvl="0">
      <w:start w:val="1"/>
      <w:numFmt w:val="decimal"/>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nsid w:val="2AA12C88"/>
    <w:multiLevelType w:val="multilevel"/>
    <w:tmpl w:val="57FA6A1E"/>
    <w:styleLink w:val="WWOutlineListStyle"/>
    <w:lvl w:ilvl="0">
      <w:start w:val="1"/>
      <w:numFmt w:val="decimal"/>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nsid w:val="2F311F91"/>
    <w:multiLevelType w:val="multilevel"/>
    <w:tmpl w:val="5502AD88"/>
    <w:styleLink w:val="Numbering1"/>
    <w:lvl w:ilvl="0">
      <w:start w:val="1"/>
      <w:numFmt w:val="decimal"/>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attachedTemplate r:id="rId1"/>
  <w:defaultTabStop w:val="720"/>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autoSpaceDN w:val="0"/>
      <w:textAlignment w:val="baseline"/>
    </w:pPr>
    <w:rPr>
      <w:kern w:val="3"/>
      <w:sz w:val="24"/>
      <w:szCs w:val="24"/>
      <w:lang w:val="en-GB" w:eastAsia="en-GB" w:bidi="en-GB"/>
    </w:rPr>
  </w:style>
  <w:style w:type="paragraph" w:styleId="Heading1">
    <w:name w:val="heading 1"/>
    <w:basedOn w:val="Standard"/>
    <w:next w:val="Standard"/>
    <w:pPr>
      <w:keepNext/>
      <w:spacing w:before="240" w:after="60"/>
      <w:outlineLvl w:val="0"/>
    </w:pPr>
    <w:rPr>
      <w:rFonts w:cs="Arial"/>
      <w:b/>
      <w:bCs/>
      <w:sz w:val="24"/>
      <w:szCs w:val="32"/>
    </w:rPr>
  </w:style>
  <w:style w:type="paragraph" w:styleId="Heading2">
    <w:name w:val="heading 2"/>
    <w:basedOn w:val="Standard"/>
    <w:next w:val="Textbody"/>
    <w:pPr>
      <w:spacing w:before="100" w:after="120"/>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2">
    <w:name w:val="WW_OutlineListStyle_2"/>
    <w:basedOn w:val="NoList"/>
    <w:pPr>
      <w:numPr>
        <w:numId w:val="1"/>
      </w:numPr>
    </w:pPr>
  </w:style>
  <w:style w:type="paragraph" w:customStyle="1" w:styleId="VOTETITLE">
    <w:name w:val="VOTE TITLE"/>
    <w:basedOn w:val="Heading"/>
    <w:pPr>
      <w:numPr>
        <w:numId w:val="1"/>
      </w:numPr>
      <w:tabs>
        <w:tab w:val="left" w:pos="1134"/>
        <w:tab w:val="left" w:pos="1701"/>
      </w:tabs>
      <w:spacing w:before="227" w:after="340"/>
      <w:ind w:left="567" w:hanging="567"/>
      <w:outlineLvl w:val="0"/>
    </w:pPr>
    <w:rPr>
      <w:rFonts w:ascii="Times New Roman" w:hAnsi="Times New Roman"/>
      <w:b/>
      <w:sz w:val="24"/>
    </w:rPr>
  </w:style>
  <w:style w:type="paragraph" w:customStyle="1" w:styleId="Standard">
    <w:name w:val="Standard"/>
    <w:pPr>
      <w:suppressAutoHyphens/>
      <w:autoSpaceDN w:val="0"/>
      <w:textAlignment w:val="baseline"/>
    </w:pPr>
    <w:rPr>
      <w:kern w:val="3"/>
      <w:lang w:val="en-GB" w:eastAsia="en-GB" w:bidi="en-GB"/>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Header">
    <w:name w:val="header"/>
    <w:basedOn w:val="Standard"/>
    <w:pPr>
      <w:tabs>
        <w:tab w:val="center" w:pos="4320"/>
        <w:tab w:val="right" w:pos="8640"/>
      </w:tabs>
    </w:pPr>
  </w:style>
  <w:style w:type="paragraph" w:styleId="Footer">
    <w:name w:val="footer"/>
    <w:basedOn w:val="Standard"/>
    <w:pPr>
      <w:tabs>
        <w:tab w:val="center" w:pos="4320"/>
        <w:tab w:val="right" w:pos="8640"/>
      </w:tabs>
    </w:pPr>
  </w:style>
  <w:style w:type="paragraph" w:customStyle="1" w:styleId="ANNEXTITLE">
    <w:name w:val="ANNEX TITLE"/>
    <w:basedOn w:val="Standard"/>
    <w:pPr>
      <w:jc w:val="right"/>
    </w:pPr>
    <w:rPr>
      <w:b/>
      <w:sz w:val="36"/>
    </w:rPr>
  </w:style>
  <w:style w:type="paragraph" w:customStyle="1" w:styleId="VOTERESULT">
    <w:name w:val="VOTE RESULT"/>
    <w:basedOn w:val="Standard"/>
    <w:pPr>
      <w:spacing w:after="2268"/>
      <w:jc w:val="center"/>
    </w:pPr>
    <w:rPr>
      <w:b/>
      <w:sz w:val="36"/>
    </w:rPr>
  </w:style>
  <w:style w:type="paragraph" w:customStyle="1" w:styleId="SIGNIFICATIONTITLE">
    <w:name w:val="SIGNIFICATION TITLE"/>
    <w:pPr>
      <w:widowControl w:val="0"/>
      <w:suppressAutoHyphens/>
      <w:autoSpaceDN w:val="0"/>
      <w:spacing w:before="283" w:after="283"/>
      <w:jc w:val="center"/>
      <w:textAlignment w:val="baseline"/>
    </w:pPr>
    <w:rPr>
      <w:b/>
      <w:kern w:val="3"/>
      <w:sz w:val="32"/>
      <w:szCs w:val="24"/>
      <w:lang w:val="en-GB" w:eastAsia="en-GB" w:bidi="en-GB"/>
    </w:rPr>
  </w:style>
  <w:style w:type="paragraph" w:customStyle="1" w:styleId="SIGNIFICATIONABR">
    <w:name w:val="SIGNIFICATION ABR"/>
    <w:pPr>
      <w:widowControl w:val="0"/>
      <w:suppressAutoHyphens/>
      <w:autoSpaceDN w:val="0"/>
      <w:ind w:left="108"/>
      <w:textAlignment w:val="baseline"/>
    </w:pPr>
    <w:rPr>
      <w:kern w:val="3"/>
      <w:sz w:val="22"/>
      <w:szCs w:val="24"/>
      <w:lang w:val="en-GB" w:eastAsia="en-GB" w:bidi="en-GB"/>
    </w:rPr>
  </w:style>
  <w:style w:type="paragraph" w:customStyle="1" w:styleId="SIGNIFICATIONDESC">
    <w:name w:val="SIGNIFICATION DESC"/>
    <w:basedOn w:val="SIGNIFICATIONABR"/>
  </w:style>
  <w:style w:type="paragraph" w:customStyle="1" w:styleId="PAGEBREAKBEFORE">
    <w:name w:val="PAGE BREAK BEFORE"/>
    <w:basedOn w:val="Standard"/>
    <w:pPr>
      <w:pageBreakBefore/>
    </w:pPr>
    <w:rPr>
      <w:sz w:val="18"/>
    </w:rPr>
  </w:style>
  <w:style w:type="paragraph" w:customStyle="1" w:styleId="PAGEBREAKAFTER">
    <w:name w:val="PAGE BREAK AFTER"/>
    <w:basedOn w:val="Standard"/>
    <w:rPr>
      <w:sz w:val="18"/>
    </w:rPr>
  </w:style>
  <w:style w:type="paragraph" w:customStyle="1" w:styleId="FOOTERSTYLE">
    <w:name w:val="FOOTER STYLE"/>
    <w:basedOn w:val="Standard"/>
    <w:rPr>
      <w:sz w:val="22"/>
    </w:rPr>
  </w:style>
  <w:style w:type="paragraph" w:customStyle="1" w:styleId="FOOTERSTYLELEFTSTYLE">
    <w:name w:val="FOOTER STYLE LEFT STYLE"/>
    <w:basedOn w:val="FOOTERSTYLE"/>
  </w:style>
  <w:style w:type="paragraph" w:customStyle="1" w:styleId="FOOTERSTYLERIGHTSTYLE">
    <w:name w:val="FOOTER STYLE RIGHT STYLE"/>
    <w:basedOn w:val="FOOTERSTYLE"/>
    <w:pPr>
      <w:jc w:val="right"/>
    </w:pPr>
  </w:style>
  <w:style w:type="paragraph" w:customStyle="1" w:styleId="FOOTERSTYLECENTERSTYLE">
    <w:name w:val="FOOTER STYLE CENTER STYLE"/>
    <w:basedOn w:val="FOOTERSTYLE"/>
    <w:pPr>
      <w:jc w:val="center"/>
    </w:pPr>
  </w:style>
  <w:style w:type="paragraph" w:customStyle="1" w:styleId="STYTAB">
    <w:name w:val="STY TAB"/>
    <w:basedOn w:val="Standard"/>
    <w:rPr>
      <w:sz w:val="18"/>
    </w:rPr>
  </w:style>
  <w:style w:type="paragraph" w:customStyle="1" w:styleId="VOTEFIRSTTITLE">
    <w:name w:val="VOTE FIRST TITLE"/>
    <w:basedOn w:val="VOTETITLE"/>
    <w:pPr>
      <w:pageBreakBefore/>
      <w:numPr>
        <w:numId w:val="0"/>
      </w:numPr>
    </w:pPr>
  </w:style>
  <w:style w:type="paragraph" w:customStyle="1" w:styleId="VOTEREPORTTITLE">
    <w:name w:val="VOTE REPORT TITLE"/>
    <w:pPr>
      <w:keepNext/>
      <w:widowControl w:val="0"/>
      <w:suppressAutoHyphens/>
      <w:autoSpaceDN w:val="0"/>
      <w:spacing w:after="227"/>
      <w:textAlignment w:val="baseline"/>
    </w:pPr>
    <w:rPr>
      <w:i/>
      <w:kern w:val="3"/>
      <w:sz w:val="22"/>
      <w:szCs w:val="24"/>
      <w:lang w:val="en-GB" w:eastAsia="en-GB" w:bidi="en-GB"/>
    </w:rPr>
  </w:style>
  <w:style w:type="paragraph" w:customStyle="1" w:styleId="VOTINGTABLEHEADER">
    <w:name w:val="VOTING TABLE HEADER"/>
    <w:basedOn w:val="Standard"/>
    <w:pPr>
      <w:tabs>
        <w:tab w:val="left" w:pos="1134"/>
      </w:tabs>
      <w:snapToGrid w:val="0"/>
      <w:spacing w:before="120" w:after="120"/>
      <w:jc w:val="center"/>
    </w:pPr>
    <w:rPr>
      <w:sz w:val="22"/>
    </w:rPr>
  </w:style>
  <w:style w:type="paragraph" w:customStyle="1" w:styleId="VOTINGTABLECELL">
    <w:name w:val="VOTING TABLE CELL"/>
    <w:basedOn w:val="Standard"/>
    <w:pPr>
      <w:keepNext/>
      <w:keepLines/>
      <w:widowControl w:val="0"/>
      <w:tabs>
        <w:tab w:val="left" w:pos="1134"/>
      </w:tabs>
      <w:snapToGrid w:val="0"/>
      <w:spacing w:before="120" w:after="120"/>
      <w:jc w:val="center"/>
    </w:pPr>
  </w:style>
  <w:style w:type="paragraph" w:customStyle="1" w:styleId="VOTINGTABLECELLOBJECT">
    <w:name w:val="VOTING TABLE CELL OBJECT"/>
    <w:basedOn w:val="VOTINGTABLECELL"/>
    <w:rPr>
      <w:sz w:val="22"/>
    </w:rPr>
  </w:style>
  <w:style w:type="paragraph" w:customStyle="1" w:styleId="VOTINGTABLECELLSIMPLEOBJECT">
    <w:name w:val="VOTING TABLE CELL SIMPLE OBJECT"/>
    <w:basedOn w:val="VOTINGTABLECELL"/>
    <w:rPr>
      <w:sz w:val="22"/>
    </w:rPr>
  </w:style>
  <w:style w:type="paragraph" w:customStyle="1" w:styleId="VOTINGTABLECELLAN">
    <w:name w:val="VOTING TABLE CELL AN"/>
    <w:basedOn w:val="VOTINGTABLECELL"/>
    <w:rPr>
      <w:sz w:val="22"/>
    </w:rPr>
  </w:style>
  <w:style w:type="paragraph" w:customStyle="1" w:styleId="VOTINGTABLECELLVOTE">
    <w:name w:val="VOTING TABLE CELL VOTE"/>
    <w:basedOn w:val="VOTINGTABLECELL"/>
    <w:rPr>
      <w:sz w:val="22"/>
    </w:rPr>
  </w:style>
  <w:style w:type="paragraph" w:customStyle="1" w:styleId="VOTINGTABLECELLREMARK">
    <w:name w:val="VOTING TABLE CELL REMARK"/>
    <w:basedOn w:val="VOTINGTABLECELL"/>
    <w:rPr>
      <w:sz w:val="22"/>
    </w:rPr>
  </w:style>
  <w:style w:type="paragraph" w:customStyle="1" w:styleId="VOTINGTABLECELLAM">
    <w:name w:val="VOTING TABLE CELL AM"/>
    <w:basedOn w:val="VOTINGTABLECELL"/>
    <w:rPr>
      <w:sz w:val="22"/>
    </w:rPr>
  </w:style>
  <w:style w:type="paragraph" w:customStyle="1" w:styleId="VOTINGTABLECELLAUTHOR">
    <w:name w:val="VOTING TABLE CELL AUTHOR"/>
    <w:basedOn w:val="VOTINGTABLECELL"/>
    <w:rPr>
      <w:sz w:val="22"/>
    </w:rPr>
  </w:style>
  <w:style w:type="paragraph" w:customStyle="1" w:styleId="REMARKTABLECELL">
    <w:name w:val="REMARK TABLE CELL"/>
    <w:basedOn w:val="Standard"/>
    <w:pPr>
      <w:keepNext/>
      <w:keepLines/>
      <w:widowControl w:val="0"/>
      <w:tabs>
        <w:tab w:val="left" w:pos="1134"/>
      </w:tabs>
      <w:snapToGrid w:val="0"/>
    </w:pPr>
  </w:style>
  <w:style w:type="paragraph" w:customStyle="1" w:styleId="REMARKTABLECELLTITLE">
    <w:name w:val="REMARK TABLE CELL TITLE"/>
    <w:basedOn w:val="REMARKTABLECELL"/>
    <w:rPr>
      <w:i/>
      <w:sz w:val="22"/>
    </w:rPr>
  </w:style>
  <w:style w:type="paragraph" w:customStyle="1" w:styleId="REMARKTABLECELLSIMPLE">
    <w:name w:val="REMARK TABLE CELL SIMPLE"/>
    <w:basedOn w:val="REMARKTABLECELL"/>
    <w:rPr>
      <w:sz w:val="22"/>
    </w:rPr>
  </w:style>
  <w:style w:type="paragraph" w:customStyle="1" w:styleId="REMARKTABLECELLITALIC">
    <w:name w:val="REMARK TABLE CELL ITALIC"/>
    <w:basedOn w:val="REMARKTABLECELL"/>
    <w:rPr>
      <w:i/>
      <w:sz w:val="22"/>
    </w:rPr>
  </w:style>
  <w:style w:type="paragraph" w:customStyle="1" w:styleId="REMARKTABLECELLBOLD">
    <w:name w:val="REMARK TABLE CELL BOLD"/>
    <w:basedOn w:val="REMARKTABLECELL"/>
    <w:rPr>
      <w:b/>
      <w:sz w:val="22"/>
    </w:rPr>
  </w:style>
  <w:style w:type="paragraph" w:styleId="BalloonText">
    <w:name w:val="Balloon Text"/>
    <w:basedOn w:val="Normal"/>
    <w:rPr>
      <w:rFonts w:ascii="Tahoma" w:hAnsi="Tahoma" w:cs="Mangal"/>
      <w:sz w:val="16"/>
      <w:szCs w:val="14"/>
    </w:rPr>
  </w:style>
  <w:style w:type="character" w:customStyle="1" w:styleId="BalloonTextChar">
    <w:name w:val="Balloon Text Char"/>
    <w:rPr>
      <w:rFonts w:ascii="Tahoma" w:hAnsi="Tahoma" w:cs="Mangal"/>
      <w:kern w:val="3"/>
      <w:sz w:val="16"/>
      <w:szCs w:val="14"/>
      <w:lang w:val="en-GB" w:eastAsia="en-GB" w:bidi="en-GB"/>
    </w:rPr>
  </w:style>
  <w:style w:type="numbering" w:customStyle="1" w:styleId="WWOutlineListStyle1">
    <w:name w:val="WW_OutlineListStyle_1"/>
    <w:basedOn w:val="NoList"/>
    <w:pPr>
      <w:numPr>
        <w:numId w:val="2"/>
      </w:numPr>
    </w:pPr>
  </w:style>
  <w:style w:type="numbering" w:customStyle="1" w:styleId="WWOutlineListStyle">
    <w:name w:val="WW_OutlineListStyle"/>
    <w:basedOn w:val="NoList"/>
    <w:pPr>
      <w:numPr>
        <w:numId w:val="3"/>
      </w:numPr>
    </w:pPr>
  </w:style>
  <w:style w:type="numbering" w:customStyle="1" w:styleId="Numbering1">
    <w:name w:val="Numbering 1"/>
    <w:basedOn w:val="NoList"/>
    <w:pPr>
      <w:numPr>
        <w:numId w:val="4"/>
      </w:numPr>
    </w:pPr>
  </w:style>
  <w:style w:type="paragraph" w:styleId="CommentText">
    <w:name w:val="annotation text"/>
    <w:basedOn w:val="Normal"/>
    <w:uiPriority w:val="99"/>
    <w:semiHidden/>
    <w:unhideWhenUsed/>
    <w:rPr>
      <w:sz w:val="20"/>
      <w:szCs w:val="20"/>
    </w:rPr>
  </w:style>
  <w:style w:type="character" w:styleId="CommentReference">
    <w:name w:val="annotation reference"/>
    <w:uiPriority w:val="99"/>
    <w:semiHidden/>
    <w:unhideWhenUsed/>
    <w:rPr>
      <w:sz w:val="16"/>
      <w:szCs w:val="16"/>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numbering" Target="numbering.xml" /><Relationship Id="rId6"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WINDOWS\system32\ED605801" TargetMode="External" /></Relationships>
</file>

<file path=docProps/app.xml><?xml version="1.0" encoding="utf-8"?>
<Properties xmlns="http://schemas.openxmlformats.org/officeDocument/2006/extended-properties" xmlns:vt="http://schemas.openxmlformats.org/officeDocument/2006/docPropsVTypes">
  <Template>ED605801</Template>
  <TotalTime>0</TotalTime>
  <Pages>35</Pages>
  <Words>6821</Words>
  <Characters>38885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European Parliament</Company>
  <LinksUpToDate>false</LinksUpToDate>
  <CharactersWithSpaces>45615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European Parliament</dc:creator>
  <cp:lastModifiedBy>HANCOCK Barbara</cp:lastModifiedBy>
  <cp:revision>2</cp:revision>
  <cp:lastPrinted>2016-04-14T13:52:00Z</cp:lastPrinted>
  <dcterms:created xsi:type="dcterms:W3CDTF">2016-05-04T14:56:00Z</dcterms:created>
  <dcterms:modified xsi:type="dcterms:W3CDTF">2016-05-04T14:56:00Z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original extension">
    <vt:lpwstr>.doc</vt:lpwstr>
  </property>
  <property fmtid="{D5CDD505-2E9C-101B-9397-08002B2CF9AE}" pid="4" name="SDLStudio">
    <vt:lpwstr>YES</vt:lpwstr>
  </property>
</Properties>
</file>