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54"/>
          <w:szCs w:val="54"/>
        </w:rPr>
      </w:pPr>
      <w:bookmarkStart w:colFirst="0" w:colLast="0" w:name="_cxh2ko1jhze7" w:id="0"/>
      <w:bookmarkEnd w:id="0"/>
      <w:r w:rsidDel="00000000" w:rsidR="00000000" w:rsidRPr="00000000">
        <w:rPr>
          <w:rFonts w:ascii="Times New Roman" w:cs="Times New Roman" w:eastAsia="Times New Roman" w:hAnsi="Times New Roman"/>
          <w:sz w:val="54"/>
          <w:szCs w:val="54"/>
          <w:rtl w:val="0"/>
        </w:rPr>
        <w:t xml:space="preserve">Kyndryl LLM: Save User Development time with Private Data-Integrated Generative AI</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Arvind Balaji, Jack Boller, Yonghwan Kim, Anh Nguyen, Phu (Jack) Nguyen</w:t>
      </w:r>
    </w:p>
    <w:p w:rsidR="00000000" w:rsidDel="00000000" w:rsidP="00000000" w:rsidRDefault="00000000" w:rsidRPr="00000000" w14:paraId="00000003">
      <w:pPr>
        <w:pStyle w:val="Heading2"/>
        <w:rPr>
          <w:rFonts w:ascii="Times New Roman" w:cs="Times New Roman" w:eastAsia="Times New Roman" w:hAnsi="Times New Roman"/>
          <w:sz w:val="24"/>
          <w:szCs w:val="24"/>
        </w:rPr>
      </w:pPr>
      <w:bookmarkStart w:colFirst="0" w:colLast="0" w:name="_toho64905ukj" w:id="1"/>
      <w:bookmarkEnd w:id="1"/>
      <w:r w:rsidDel="00000000" w:rsidR="00000000" w:rsidRPr="00000000">
        <w:rPr>
          <w:rFonts w:ascii="Times New Roman" w:cs="Times New Roman" w:eastAsia="Times New Roman" w:hAnsi="Times New Roman"/>
          <w:sz w:val="36"/>
          <w:szCs w:val="36"/>
          <w:rtl w:val="0"/>
        </w:rPr>
        <w:t xml:space="preserve">Introduction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vast expanse of the internet, the LLM is trained using public data, which can sometimes be filled with irrelevant or low-quality information. To address this, integrating private data can be a game-changer. It allows for the fine-tuning of the model, ensuring more precise and relevant responses. The following document will contain information about user profile, data provision, system performance, and application flow.</w:t>
      </w:r>
    </w:p>
    <w:p w:rsidR="00000000" w:rsidDel="00000000" w:rsidP="00000000" w:rsidRDefault="00000000" w:rsidRPr="00000000" w14:paraId="00000005">
      <w:pPr>
        <w:pStyle w:val="Heading2"/>
        <w:rPr>
          <w:rFonts w:ascii="Times New Roman" w:cs="Times New Roman" w:eastAsia="Times New Roman" w:hAnsi="Times New Roman"/>
          <w:sz w:val="36"/>
          <w:szCs w:val="36"/>
        </w:rPr>
      </w:pPr>
      <w:bookmarkStart w:colFirst="0" w:colLast="0" w:name="_kveclcrarb2q" w:id="2"/>
      <w:bookmarkEnd w:id="2"/>
      <w:r w:rsidDel="00000000" w:rsidR="00000000" w:rsidRPr="00000000">
        <w:rPr>
          <w:rFonts w:ascii="Times New Roman" w:cs="Times New Roman" w:eastAsia="Times New Roman" w:hAnsi="Times New Roman"/>
          <w:sz w:val="36"/>
          <w:szCs w:val="36"/>
          <w:rtl w:val="0"/>
        </w:rPr>
        <w:t xml:space="preserve">User Profile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users of this system rely on the private data from the API documentation. While these individuals usually have a good grasp of the company's offerings, they might not be experts in every specialized area. Additionally, the influence of public data can sometimes skew the AI agent's responses. Every day, they address a wide array of questions, from simple fixes to intricate technical challenges, and even craft new use cases. By incorporating a generative AI system that accesses the private API documentation, these agents can deliver quicker and more precise answers, enhancing the overall user experience.</w:t>
      </w:r>
    </w:p>
    <w:p w:rsidR="00000000" w:rsidDel="00000000" w:rsidP="00000000" w:rsidRDefault="00000000" w:rsidRPr="00000000" w14:paraId="00000007">
      <w:pPr>
        <w:pStyle w:val="Heading2"/>
        <w:rPr>
          <w:rFonts w:ascii="Times New Roman" w:cs="Times New Roman" w:eastAsia="Times New Roman" w:hAnsi="Times New Roman"/>
          <w:sz w:val="24"/>
          <w:szCs w:val="24"/>
        </w:rPr>
      </w:pPr>
      <w:bookmarkStart w:colFirst="0" w:colLast="0" w:name="_qbzwbz66zp6u" w:id="3"/>
      <w:bookmarkEnd w:id="3"/>
      <w:r w:rsidDel="00000000" w:rsidR="00000000" w:rsidRPr="00000000">
        <w:rPr>
          <w:rFonts w:ascii="Times New Roman" w:cs="Times New Roman" w:eastAsia="Times New Roman" w:hAnsi="Times New Roman"/>
          <w:sz w:val="36"/>
          <w:szCs w:val="36"/>
          <w:rtl w:val="0"/>
        </w:rPr>
        <w:t xml:space="preserve">Data Provision</w:t>
      </w:r>
      <w:r w:rsidDel="00000000" w:rsidR="00000000" w:rsidRPr="00000000">
        <w:rPr>
          <w:rtl w:val="0"/>
        </w:rPr>
      </w:r>
    </w:p>
    <w:p w:rsidR="00000000" w:rsidDel="00000000" w:rsidP="00000000" w:rsidRDefault="00000000" w:rsidRPr="00000000" w14:paraId="00000008">
      <w:pPr>
        <w:pStyle w:val="Heading2"/>
        <w:ind w:left="2160" w:firstLine="0"/>
        <w:rPr>
          <w:rFonts w:ascii="Times New Roman" w:cs="Times New Roman" w:eastAsia="Times New Roman" w:hAnsi="Times New Roman"/>
          <w:sz w:val="24"/>
          <w:szCs w:val="24"/>
        </w:rPr>
      </w:pPr>
      <w:bookmarkStart w:colFirst="0" w:colLast="0" w:name="_v2u7dri60ds7" w:id="4"/>
      <w:bookmarkEnd w:id="4"/>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100513" cy="2524125"/>
                <wp:effectExtent b="0" l="0" r="0" t="0"/>
                <wp:docPr id="1" name=""/>
                <a:graphic>
                  <a:graphicData uri="http://schemas.microsoft.com/office/word/2010/wordprocessingGroup">
                    <wpg:wgp>
                      <wpg:cNvGrpSpPr/>
                      <wpg:grpSpPr>
                        <a:xfrm>
                          <a:off x="969725" y="878350"/>
                          <a:ext cx="4100513" cy="2524125"/>
                          <a:chOff x="969725" y="878350"/>
                          <a:chExt cx="6650275" cy="4131400"/>
                        </a:xfrm>
                      </wpg:grpSpPr>
                      <wps:wsp>
                        <wps:cNvSpPr/>
                        <wps:cNvPr id="2" name="Shape 2"/>
                        <wps:spPr>
                          <a:xfrm>
                            <a:off x="974500" y="883125"/>
                            <a:ext cx="1471800" cy="7716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8"/>
                                  <w:vertAlign w:val="baseline"/>
                                </w:rPr>
                                <w:t xml:space="preserve">.docx</w:t>
                              </w:r>
                            </w:p>
                          </w:txbxContent>
                        </wps:txbx>
                        <wps:bodyPr anchorCtr="0" anchor="ctr" bIns="91425" lIns="91425" spcFirstLastPara="1" rIns="91425" wrap="square" tIns="91425">
                          <a:noAutofit/>
                        </wps:bodyPr>
                      </wps:wsp>
                      <wps:wsp>
                        <wps:cNvSpPr/>
                        <wps:cNvPr id="3" name="Shape 3"/>
                        <wps:spPr>
                          <a:xfrm>
                            <a:off x="974500" y="1999875"/>
                            <a:ext cx="1471800" cy="7716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Lora" w:cs="Lora" w:eastAsia="Lora" w:hAnsi="Lora"/>
                                  <w:b w:val="0"/>
                                  <w:i w:val="0"/>
                                  <w:smallCaps w:val="0"/>
                                  <w:strike w:val="0"/>
                                  <w:color w:val="000000"/>
                                  <w:sz w:val="28"/>
                                  <w:vertAlign w:val="baseline"/>
                                </w:rPr>
                                <w:t xml:space="preserve">pptx</w:t>
                              </w:r>
                            </w:p>
                          </w:txbxContent>
                        </wps:txbx>
                        <wps:bodyPr anchorCtr="0" anchor="ctr" bIns="91425" lIns="91425" spcFirstLastPara="1" rIns="91425" wrap="square" tIns="91425">
                          <a:noAutofit/>
                        </wps:bodyPr>
                      </wps:wsp>
                      <wps:wsp>
                        <wps:cNvSpPr/>
                        <wps:cNvPr id="4" name="Shape 4"/>
                        <wps:spPr>
                          <a:xfrm>
                            <a:off x="974500" y="3116625"/>
                            <a:ext cx="1471800" cy="7716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8"/>
                                  <w:vertAlign w:val="baseline"/>
                                </w:rPr>
                                <w:t xml:space="preserve">.pdf</w:t>
                              </w:r>
                            </w:p>
                          </w:txbxContent>
                        </wps:txbx>
                        <wps:bodyPr anchorCtr="0" anchor="ctr" bIns="91425" lIns="91425" spcFirstLastPara="1" rIns="91425" wrap="square" tIns="91425">
                          <a:noAutofit/>
                        </wps:bodyPr>
                      </wps:wsp>
                      <wps:wsp>
                        <wps:cNvSpPr/>
                        <wps:cNvPr id="5" name="Shape 5"/>
                        <wps:spPr>
                          <a:xfrm>
                            <a:off x="974500" y="4233375"/>
                            <a:ext cx="1471800" cy="7716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8"/>
                                  <w:vertAlign w:val="baseline"/>
                                </w:rPr>
                                <w:t xml:space="preserve">.html</w:t>
                              </w:r>
                            </w:p>
                          </w:txbxContent>
                        </wps:txbx>
                        <wps:bodyPr anchorCtr="0" anchor="ctr" bIns="91425" lIns="91425" spcFirstLastPara="1" rIns="91425" wrap="square" tIns="91425">
                          <a:noAutofit/>
                        </wps:bodyPr>
                      </wps:wsp>
                      <wps:wsp>
                        <wps:cNvSpPr/>
                        <wps:cNvPr id="6" name="Shape 6"/>
                        <wps:spPr>
                          <a:xfrm>
                            <a:off x="4212575" y="1999875"/>
                            <a:ext cx="1471800" cy="18885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8"/>
                                  <w:vertAlign w:val="baseline"/>
                                </w:rPr>
                                <w:t xml:space="preserve">Text</w:t>
                              </w:r>
                            </w:p>
                          </w:txbxContent>
                        </wps:txbx>
                        <wps:bodyPr anchorCtr="0" anchor="ctr" bIns="91425" lIns="91425" spcFirstLastPara="1" rIns="91425" wrap="square" tIns="91425">
                          <a:noAutofit/>
                        </wps:bodyPr>
                      </wps:wsp>
                      <wps:wsp>
                        <wps:cNvCnPr/>
                        <wps:spPr>
                          <a:xfrm>
                            <a:off x="2446300" y="1268925"/>
                            <a:ext cx="1766400" cy="1675200"/>
                          </a:xfrm>
                          <a:prstGeom prst="curvedConnector3">
                            <a:avLst>
                              <a:gd fmla="val 4999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46300" y="2385675"/>
                            <a:ext cx="1766400" cy="558600"/>
                          </a:xfrm>
                          <a:prstGeom prst="curvedConnector3">
                            <a:avLst>
                              <a:gd fmla="val 4999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46300" y="2944125"/>
                            <a:ext cx="1766400" cy="558300"/>
                          </a:xfrm>
                          <a:prstGeom prst="curvedConnector3">
                            <a:avLst>
                              <a:gd fmla="val 4999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46300" y="2944275"/>
                            <a:ext cx="1766400" cy="1674900"/>
                          </a:xfrm>
                          <a:prstGeom prst="curvedConnector3">
                            <a:avLst>
                              <a:gd fmla="val 4999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4659300" y="2781375"/>
                            <a:ext cx="2964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100513" cy="2524125"/>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4100513" cy="2524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Supported Data Types</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7465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UI Prototype</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 this case, the support agent, provides the system with a user's query. This query can be in the form of a text question, a product code, or even a description of an issue. Additionally, the organization feeds the system with curated private data. This data can originate from:</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Swagger API documentation</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FAQ</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 or similar types format</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for Documentation API</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0688" cy="4469309"/>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500688" cy="446930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documentation</w:t>
      </w:r>
    </w:p>
    <w:p w:rsidR="00000000" w:rsidDel="00000000" w:rsidP="00000000" w:rsidRDefault="00000000" w:rsidRPr="00000000" w14:paraId="00000014">
      <w:pPr>
        <w:pStyle w:val="Heading2"/>
        <w:rPr>
          <w:rFonts w:ascii="Times New Roman" w:cs="Times New Roman" w:eastAsia="Times New Roman" w:hAnsi="Times New Roman"/>
          <w:sz w:val="24"/>
          <w:szCs w:val="24"/>
        </w:rPr>
      </w:pPr>
      <w:bookmarkStart w:colFirst="0" w:colLast="0" w:name="_i6p95e259w3s" w:id="5"/>
      <w:bookmarkEnd w:id="5"/>
      <w:r w:rsidDel="00000000" w:rsidR="00000000" w:rsidRPr="00000000">
        <w:rPr>
          <w:rFonts w:ascii="Times New Roman" w:cs="Times New Roman" w:eastAsia="Times New Roman" w:hAnsi="Times New Roman"/>
          <w:sz w:val="36"/>
          <w:szCs w:val="36"/>
          <w:rtl w:val="0"/>
        </w:rPr>
        <w:t xml:space="preserve">Expected System Performance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receiving a query, the user expects the system to:</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Quickly parse and understand the context of the question.</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through the integrated private data (embeddings vector database) to find the most relevant and accurate information.</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coherent, concise, and accurate response that addresses the user's query.</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suggestions or further reading, if necessary and available, from the private data sources.</w:t>
      </w:r>
    </w:p>
    <w:p w:rsidR="00000000" w:rsidDel="00000000" w:rsidP="00000000" w:rsidRDefault="00000000" w:rsidRPr="00000000" w14:paraId="0000001A">
      <w:pPr>
        <w:pStyle w:val="Heading2"/>
        <w:rPr>
          <w:rFonts w:ascii="Times New Roman" w:cs="Times New Roman" w:eastAsia="Times New Roman" w:hAnsi="Times New Roman"/>
          <w:sz w:val="36"/>
          <w:szCs w:val="36"/>
        </w:rPr>
      </w:pPr>
      <w:bookmarkStart w:colFirst="0" w:colLast="0" w:name="_x2ztuqp5voj5" w:id="6"/>
      <w:bookmarkEnd w:id="6"/>
      <w:r w:rsidDel="00000000" w:rsidR="00000000" w:rsidRPr="00000000">
        <w:rPr>
          <w:rFonts w:ascii="Times New Roman" w:cs="Times New Roman" w:eastAsia="Times New Roman" w:hAnsi="Times New Roman"/>
          <w:sz w:val="36"/>
          <w:szCs w:val="36"/>
          <w:rtl w:val="0"/>
        </w:rPr>
        <w:t xml:space="preserve">Application flow</w:t>
      </w:r>
      <w:r w:rsidDel="00000000" w:rsidR="00000000" w:rsidRPr="00000000">
        <w:rPr>
          <w:rFonts w:ascii="Times New Roman" w:cs="Times New Roman" w:eastAsia="Times New Roman" w:hAnsi="Times New Roman"/>
          <w:sz w:val="36"/>
          <w:szCs w:val="36"/>
        </w:rPr>
        <w:drawing>
          <wp:inline distB="114300" distT="114300" distL="114300" distR="114300">
            <wp:extent cx="6200375" cy="3146003"/>
            <wp:effectExtent b="0" l="0" r="0" t="0"/>
            <wp:docPr id="3" name="image2.png"/>
            <a:graphic>
              <a:graphicData uri="http://schemas.openxmlformats.org/drawingml/2006/picture">
                <pic:pic>
                  <pic:nvPicPr>
                    <pic:cNvPr id="0" name="image2.png"/>
                    <pic:cNvPicPr preferRelativeResize="0"/>
                  </pic:nvPicPr>
                  <pic:blipFill>
                    <a:blip r:embed="rId9"/>
                    <a:srcRect b="0" l="1282" r="1121" t="0"/>
                    <a:stretch>
                      <a:fillRect/>
                    </a:stretch>
                  </pic:blipFill>
                  <pic:spPr>
                    <a:xfrm>
                      <a:off x="0" y="0"/>
                      <a:ext cx="6200375" cy="314600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Diagram</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Input: The support agent inputs the user's query into the system through UI interface.</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 The system processes various file types from the private data sources, standardizing them into a uniform format suitable for AI interpretation such as prompts and results.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 The processed data is tokenized, breaking it down into smaller chunks that the AI can understand and analyze.</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 into OpenAI Embeddings: Using Azure Open AI, the tokenized data is transformed into embeddings. These embeddings are essentially numerical representations of the data, making it easier for the AI to search and match relevant information.</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in </w:t>
      </w:r>
      <w:r w:rsidDel="00000000" w:rsidR="00000000" w:rsidRPr="00000000">
        <w:rPr>
          <w:rFonts w:ascii="Times New Roman" w:cs="Times New Roman" w:eastAsia="Times New Roman" w:hAnsi="Times New Roman"/>
          <w:sz w:val="24"/>
          <w:szCs w:val="24"/>
          <w:rtl w:val="0"/>
        </w:rPr>
        <w:t xml:space="preserve">Pinecone</w:t>
      </w:r>
      <w:r w:rsidDel="00000000" w:rsidR="00000000" w:rsidRPr="00000000">
        <w:rPr>
          <w:rFonts w:ascii="Times New Roman" w:cs="Times New Roman" w:eastAsia="Times New Roman" w:hAnsi="Times New Roman"/>
          <w:sz w:val="24"/>
          <w:szCs w:val="24"/>
          <w:rtl w:val="0"/>
        </w:rPr>
        <w:t xml:space="preserve"> Vector Database: The embeddings are stored in the Pinecone Vector database, a specialized database designed for high-speed retrieval of such data.</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Generative AI Response Generation: When a query is inputted, the system searches through the embeddings to find the most relevant information. The generative AI then crafts a response based on this information, ensuring it's coherent and contextually accurate.</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to User: The generated response is presented to the support agent, who can then relay the information to the user.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