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C9A227"/>
          <w:sz w:val="28"/>
          <w:szCs w:val="28"/>
        </w:rPr>
        <w:t xml:space="preserve">ASSIST OCFO</w:t>
      </w:r>
    </w:p>
    <w:p>
      <w:pPr>
        <w:spacing w:before="0" w:after="40"/>
      </w:pPr>
      <w:r>
        <w:rPr>
          <w:rFonts w:ascii="Arial" w:cs="Arial" w:eastAsia="Arial" w:hAnsi="Arial"/>
          <w:b/>
          <w:bCs/>
          <w:color w:val="1A2744"/>
          <w:sz w:val="48"/>
          <w:szCs w:val="48"/>
        </w:rPr>
        <w:t xml:space="preserve">DP5 — Treasury Transmission &amp; Payment Pipeline</w:t>
      </w:r>
    </w:p>
    <w:p>
      <w:pPr>
        <w:spacing w:before="0" w:after="40"/>
      </w:pPr>
      <w:r>
        <w:rPr>
          <w:rFonts w:ascii="Arial" w:cs="Arial" w:eastAsia="Arial" w:hAnsi="Arial"/>
          <w:color w:val="1E5FA8"/>
          <w:sz w:val="30"/>
          <w:szCs w:val="30"/>
        </w:rPr>
        <w:t xml:space="preserve">Build Narrative &amp; Decision Log</w:t>
      </w:r>
    </w:p>
    <w:p>
      <w:pPr>
        <w:spacing w:before="0" w:after="20"/>
      </w:pPr>
      <w:r>
        <w:rPr>
          <w:rFonts w:ascii="Arial" w:cs="Arial" w:eastAsia="Arial" w:hAnsi="Arial"/>
          <w:b/>
          <w:bCs/>
          <w:color w:val="C9770A"/>
          <w:sz w:val="22"/>
          <w:szCs w:val="22"/>
        </w:rPr>
        <w:t xml:space="preserve">26 March 2026  ·  Version 1.0  ·  Initial Prime Generation</w:t>
      </w:r>
    </w:p>
    <w:p>
      <w:pPr>
        <w:pBdr>
          <w:bottom w:val="single" w:color="DCE3EF" w:sz="4" w:space="2"/>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61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Document Purpose</w:t>
            </w:r>
          </w:p>
        </w:tc>
        <w:tc>
          <w:tcPr>
            <w:tcW w:type="dxa" w:w="6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Records every notebook built, every source-to-target mapping decision, and every design choice made during the initial DP5 prime generation.</w:t>
            </w:r>
          </w:p>
        </w:tc>
      </w:tr>
      <w:tr>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Schema</w:t>
            </w:r>
          </w:p>
        </w:tc>
        <w:tc>
          <w:tcPr>
            <w:tcW w:type="dxa" w:w="6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assist_catalog.tpp</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Notebooks generated</w:t>
            </w:r>
          </w:p>
        </w:tc>
        <w:tc>
          <w:tcPr>
            <w:tcW w:type="dxa" w:w="6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8  (6 pipeline notebooks + 1 driver + 1 shared utils)</w:t>
            </w:r>
          </w:p>
        </w:tc>
      </w:tr>
      <w:tr>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Total lines</w:t>
            </w:r>
          </w:p>
        </w:tc>
        <w:tc>
          <w:tcPr>
            <w:tcW w:type="dxa" w:w="6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2,192 lines of annotated Python / Spark SQL</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Archive</w:t>
            </w:r>
          </w:p>
        </w:tc>
        <w:tc>
          <w:tcPr>
            <w:tcW w:type="dxa" w:w="6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dp5_pipelines_prime.zip  (106 KB, integrity verified)</w:t>
            </w:r>
          </w:p>
        </w:tc>
      </w:tr>
      <w:tr>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Databricks Runtime</w:t>
            </w:r>
          </w:p>
        </w:tc>
        <w:tc>
          <w:tcPr>
            <w:tcW w:type="dxa" w:w="6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14.x LTS with Unity Catalog</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Date</w:t>
            </w:r>
          </w:p>
        </w:tc>
        <w:tc>
          <w:tcPr>
            <w:tcW w:type="dxa" w:w="6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26 March 2026</w:t>
            </w:r>
          </w:p>
        </w:tc>
      </w:tr>
      <w:tr>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Regulatory scope</w:t>
            </w:r>
          </w:p>
        </w:tc>
        <w:tc>
          <w:tcPr>
            <w:tcW w:type="dxa" w:w="6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Prompt Payment Act (31 U.S.C. §3901), TFM Volume I Part 2</w:t>
            </w:r>
          </w:p>
        </w:tc>
      </w:tr>
    </w:tbl>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1.  What Was Built</w:t>
      </w:r>
    </w:p>
    <w:p>
      <w:pPr>
        <w:spacing w:before="60" w:after="60"/>
      </w:pPr>
      <w:r>
        <w:rPr>
          <w:rFonts w:ascii="Arial" w:cs="Arial" w:eastAsia="Arial" w:hAnsi="Arial"/>
          <w:sz w:val="22"/>
          <w:szCs w:val="22"/>
        </w:rPr>
        <w:t xml:space="preserve">DP5 — Treasury Transmission &amp; Payment Pipeline is the fifth data product in the ASSIST OCFO Medallion Architecture. It provides end-to-end visibility of every financial transmission from ASSIST to Treasury systems (Pegasys, VITAP, BAAR, IPAC), tracking the full chain from billing generation through transmittal dispatch through receiving report acceptance to payment reconciliation.</w:t>
      </w:r>
    </w:p>
    <w:p>
      <w:pPr>
        <w:spacing w:before="60" w:after="60"/>
      </w:pPr>
      <w:r>
        <w:rPr>
          <w:rFonts w:ascii="Arial" w:cs="Arial" w:eastAsia="Arial" w:hAnsi="Arial"/>
          <w:sz w:val="22"/>
          <w:szCs w:val="22"/>
        </w:rPr>
        <w:t xml:space="preserve">The priming pipeline was generated from scratch — no prior DP5 notebooks existed. All seven pipeline notebooks and one driver were generated in a single session, incorporating all eight improvement recommendations before a single line of code was written.</w:t>
      </w:r>
    </w:p>
    <w:p>
      <w:pPr>
        <w:pStyle w:val="Heading2"/>
        <w:spacing w:before="240" w:after="80"/>
      </w:pPr>
      <w:r>
        <w:rPr>
          <w:rFonts w:ascii="Arial" w:cs="Arial" w:eastAsia="Arial" w:hAnsi="Arial"/>
          <w:b/>
          <w:bCs/>
          <w:color w:val="1E5FA8"/>
          <w:sz w:val="26"/>
          <w:szCs w:val="26"/>
        </w:rPr>
        <w:t xml:space="preserve">1.1  Notebook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2500"/>
        <w:gridCol w:w="1800"/>
        <w:gridCol w:w="660"/>
      </w:tblGrid>
      <w:tr>
        <w:tc>
          <w:tcPr>
            <w:tcW w:type="dxa" w:w="5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29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Notebook</w:t>
            </w:r>
          </w:p>
        </w:tc>
        <w:tc>
          <w:tcPr>
            <w:tcW w:type="dxa" w:w="25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 Table</w:t>
            </w:r>
          </w:p>
        </w:tc>
        <w:tc>
          <w:tcPr>
            <w:tcW w:type="dxa" w:w="18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Strategy</w:t>
            </w:r>
          </w:p>
        </w:tc>
        <w:tc>
          <w:tcPr>
            <w:tcW w:type="dxa" w:w="6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Lines</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1</w:t>
            </w:r>
          </w:p>
        </w:tc>
        <w:tc>
          <w:tcPr>
            <w:tcW w:type="dxa" w:w="29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prime_dim_transmittal_type</w:t>
            </w:r>
          </w:p>
        </w:tc>
        <w:tc>
          <w:tcPr>
            <w:tcW w:type="dxa" w:w="2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tpp.dim_transmittal_type</w:t>
            </w:r>
          </w:p>
        </w:tc>
        <w:tc>
          <w:tcPr>
            <w:tcW w:type="dxa" w:w="1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TRUNCATE→INSERT</w:t>
            </w:r>
          </w:p>
        </w:tc>
        <w:tc>
          <w:tcPr>
            <w:tcW w:type="dxa" w:w="6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199</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2</w:t>
            </w:r>
          </w:p>
        </w:tc>
        <w:tc>
          <w:tcPr>
            <w:tcW w:type="dxa" w:w="29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prime_dim_aac_envelope</w:t>
            </w:r>
          </w:p>
        </w:tc>
        <w:tc>
          <w:tcPr>
            <w:tcW w:type="dxa" w:w="2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tpp.dim_aac_envelope</w:t>
            </w:r>
          </w:p>
        </w:tc>
        <w:tc>
          <w:tcPr>
            <w:tcW w:type="dxa" w:w="1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TRUNCATE→INSERT</w:t>
            </w:r>
          </w:p>
        </w:tc>
        <w:tc>
          <w:tcPr>
            <w:tcW w:type="dxa" w:w="6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271</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3</w:t>
            </w:r>
          </w:p>
        </w:tc>
        <w:tc>
          <w:tcPr>
            <w:tcW w:type="dxa" w:w="29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prime_dim_agreement</w:t>
            </w:r>
          </w:p>
        </w:tc>
        <w:tc>
          <w:tcPr>
            <w:tcW w:type="dxa" w:w="2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tpp.dim_agreement</w:t>
            </w:r>
          </w:p>
        </w:tc>
        <w:tc>
          <w:tcPr>
            <w:tcW w:type="dxa" w:w="1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TRUNCATE→INSERT</w:t>
            </w:r>
          </w:p>
        </w:tc>
        <w:tc>
          <w:tcPr>
            <w:tcW w:type="dxa" w:w="6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200</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4</w:t>
            </w:r>
          </w:p>
        </w:tc>
        <w:tc>
          <w:tcPr>
            <w:tcW w:type="dxa" w:w="29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prime_dim_receiving_report</w:t>
            </w:r>
          </w:p>
        </w:tc>
        <w:tc>
          <w:tcPr>
            <w:tcW w:type="dxa" w:w="2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tpp.dim_receiving_report</w:t>
            </w:r>
          </w:p>
        </w:tc>
        <w:tc>
          <w:tcPr>
            <w:tcW w:type="dxa" w:w="1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TRUNCATE→INSERT</w:t>
            </w:r>
          </w:p>
        </w:tc>
        <w:tc>
          <w:tcPr>
            <w:tcW w:type="dxa" w:w="6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175</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5</w:t>
            </w:r>
          </w:p>
        </w:tc>
        <w:tc>
          <w:tcPr>
            <w:tcW w:type="dxa" w:w="29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prime_fact_transmission_event</w:t>
            </w:r>
          </w:p>
        </w:tc>
        <w:tc>
          <w:tcPr>
            <w:tcW w:type="dxa" w:w="2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tpp.fact_transmission_event</w:t>
            </w:r>
          </w:p>
        </w:tc>
        <w:tc>
          <w:tcPr>
            <w:tcW w:type="dxa" w:w="1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INSERT-only guard</w:t>
            </w:r>
          </w:p>
        </w:tc>
        <w:tc>
          <w:tcPr>
            <w:tcW w:type="dxa" w:w="6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442</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6</w:t>
            </w:r>
          </w:p>
        </w:tc>
        <w:tc>
          <w:tcPr>
            <w:tcW w:type="dxa" w:w="29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prime_fact_payment_reconciliation</w:t>
            </w:r>
          </w:p>
        </w:tc>
        <w:tc>
          <w:tcPr>
            <w:tcW w:type="dxa" w:w="2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tpp.fact_payment_reconciliation</w:t>
            </w:r>
          </w:p>
        </w:tc>
        <w:tc>
          <w:tcPr>
            <w:tcW w:type="dxa" w:w="1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INSERT-only guard</w:t>
            </w:r>
          </w:p>
        </w:tc>
        <w:tc>
          <w:tcPr>
            <w:tcW w:type="dxa" w:w="6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488</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7</w:t>
            </w:r>
          </w:p>
        </w:tc>
        <w:tc>
          <w:tcPr>
            <w:tcW w:type="dxa" w:w="29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prime_dp5_driver</w:t>
            </w:r>
          </w:p>
        </w:tc>
        <w:tc>
          <w:tcPr>
            <w:tcW w:type="dxa" w:w="2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(orchestration)</w:t>
            </w:r>
          </w:p>
        </w:tc>
        <w:tc>
          <w:tcPr>
            <w:tcW w:type="dxa" w:w="1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Gate + audit</w:t>
            </w:r>
          </w:p>
        </w:tc>
        <w:tc>
          <w:tcPr>
            <w:tcW w:type="dxa" w:w="6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268</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w:t>
            </w:r>
          </w:p>
        </w:tc>
        <w:tc>
          <w:tcPr>
            <w:tcW w:type="dxa" w:w="29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pipeline_utils</w:t>
            </w:r>
          </w:p>
        </w:tc>
        <w:tc>
          <w:tcPr>
            <w:tcW w:type="dxa" w:w="2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(shared)</w:t>
            </w:r>
          </w:p>
        </w:tc>
        <w:tc>
          <w:tcPr>
            <w:tcW w:type="dxa" w:w="1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Copied from DP4</w:t>
            </w:r>
          </w:p>
        </w:tc>
        <w:tc>
          <w:tcPr>
            <w:tcW w:type="dxa" w:w="6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152</w:t>
            </w:r>
          </w:p>
        </w:tc>
      </w:tr>
    </w:tbl>
    <w:p>
      <w:pPr>
        <w:spacing w:before="100" w:after="0"/>
      </w:pPr>
      <w:r>
        <w:t xml:space="preserve"/>
      </w:r>
    </w:p>
    <w:p>
      <w:pPr>
        <w:pStyle w:val="Heading2"/>
        <w:spacing w:before="240" w:after="80"/>
      </w:pPr>
      <w:r>
        <w:rPr>
          <w:rFonts w:ascii="Arial" w:cs="Arial" w:eastAsia="Arial" w:hAnsi="Arial"/>
          <w:b/>
          <w:bCs/>
          <w:color w:val="1E5FA8"/>
          <w:sz w:val="26"/>
          <w:szCs w:val="26"/>
        </w:rPr>
        <w:t xml:space="preserve">1.2  Dependency Graph</w:t>
      </w:r>
    </w:p>
    <w:p>
      <w:pPr>
        <w:spacing w:before="60" w:after="60"/>
      </w:pPr>
      <w:r>
        <w:rPr>
          <w:rFonts w:ascii="Arial" w:cs="Arial" w:eastAsia="Arial" w:hAnsi="Arial"/>
          <w:sz w:val="22"/>
          <w:szCs w:val="22"/>
        </w:rPr>
        <w:t xml:space="preserve">The six pipeline notebooks run in strict order. Steps 1–4 (dims) must all succeed before Steps 5–6 (facts) can run. Step 2 has an additional internal pre-flight guard on Step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5960"/>
      </w:tblGrid>
      <w:tr>
        <w:tc>
          <w:tcPr>
            <w:tcW w:type="dxa" w:w="5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29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Notebook</w:t>
            </w:r>
          </w:p>
        </w:tc>
        <w:tc>
          <w:tcPr>
            <w:tcW w:type="dxa" w:w="59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Depends On</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1</w:t>
            </w:r>
          </w:p>
        </w:tc>
        <w:tc>
          <w:tcPr>
            <w:tcW w:type="dxa" w:w="29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prime_dim_transmittal_type</w:t>
            </w:r>
          </w:p>
        </w:tc>
        <w:tc>
          <w:tcPr>
            <w:tcW w:type="dxa" w:w="59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None (independent lookup)</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2</w:t>
            </w:r>
          </w:p>
        </w:tc>
        <w:tc>
          <w:tcPr>
            <w:tcW w:type="dxa" w:w="29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prime_dim_aac_envelope</w:t>
            </w:r>
          </w:p>
        </w:tc>
        <w:tc>
          <w:tcPr>
            <w:tcW w:type="dxa" w:w="59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Step 1 (pre-flight guard inside notebook)</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3</w:t>
            </w:r>
          </w:p>
        </w:tc>
        <w:tc>
          <w:tcPr>
            <w:tcW w:type="dxa" w:w="29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prime_dim_agreement</w:t>
            </w:r>
          </w:p>
        </w:tc>
        <w:tc>
          <w:tcPr>
            <w:tcW w:type="dxa" w:w="59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None (independent — separate agreement Silver schema)</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4</w:t>
            </w:r>
          </w:p>
        </w:tc>
        <w:tc>
          <w:tcPr>
            <w:tcW w:type="dxa" w:w="29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prime_dim_receiving_report</w:t>
            </w:r>
          </w:p>
        </w:tc>
        <w:tc>
          <w:tcPr>
            <w:tcW w:type="dxa" w:w="59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None (independent)</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5</w:t>
            </w:r>
          </w:p>
        </w:tc>
        <w:tc>
          <w:tcPr>
            <w:tcW w:type="dxa" w:w="29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prime_fact_transmission_event</w:t>
            </w:r>
          </w:p>
        </w:tc>
        <w:tc>
          <w:tcPr>
            <w:tcW w:type="dxa" w:w="59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Steps 1–4 + DP1 common.{dim_date, dim_agency, dim_ia}</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6</w:t>
            </w:r>
          </w:p>
        </w:tc>
        <w:tc>
          <w:tcPr>
            <w:tcW w:type="dxa" w:w="29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prime_fact_payment_reconciliation</w:t>
            </w:r>
          </w:p>
        </w:tc>
        <w:tc>
          <w:tcPr>
            <w:tcW w:type="dxa" w:w="59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Steps 1–4 + DP1 common.{dim_line_item, dim_ia, dim_agency}</w:t>
            </w:r>
          </w:p>
        </w:tc>
      </w:tr>
    </w:tbl>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2.  Source-to-Target Decisions by Notebook</w:t>
      </w:r>
    </w:p>
    <w:p>
      <w:pPr>
        <w:pStyle w:val="Heading2"/>
        <w:spacing w:before="240" w:after="80"/>
      </w:pPr>
      <w:r>
        <w:rPr>
          <w:rFonts w:ascii="Arial" w:cs="Arial" w:eastAsia="Arial" w:hAnsi="Arial"/>
          <w:b/>
          <w:bCs/>
          <w:color w:val="1E5FA8"/>
          <w:sz w:val="26"/>
          <w:szCs w:val="26"/>
        </w:rPr>
        <w:t xml:space="preserve">2.1  prime_dim_transmittal_type</w:t>
      </w:r>
    </w:p>
    <w:p>
      <w:pPr>
        <w:spacing w:before="60" w:after="60"/>
      </w:pPr>
      <w:r>
        <w:rPr>
          <w:rFonts w:ascii="Arial" w:cs="Arial" w:eastAsia="Arial" w:hAnsi="Arial"/>
          <w:sz w:val="22"/>
          <w:szCs w:val="22"/>
        </w:rPr>
        <w:t xml:space="preserve">Sources: silver_aasbs_transmit_lu_transmittal_type (base rows) and silver_aasbs_transmit_transmittal_spec_version (latest specification version per type).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gridCol w:w="1160"/>
      </w:tblGrid>
      <w:tr>
        <w:tc>
          <w:tcPr>
            <w:tcW w:type="dxa" w:w="3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Gold Column</w:t>
            </w:r>
          </w:p>
        </w:tc>
        <w:tc>
          <w:tcPr>
            <w:tcW w:type="dxa" w:w="5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11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Decision Type</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transmittal_type_cd</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lu_transmittal_type.cd  (natural key)</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transmittal_type_desc</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lu_transmittal_type.description</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flat_file_code</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lu_transmittal_type.flatfile_cd</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spec_version</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MAX(transmittal_spec_version.specification_version) per type  —  pre-aggregated view v_spec_version_per_type</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8"/>
                <w:szCs w:val="18"/>
              </w:rPr>
              <w:t xml:space="preserve">IMPROVEMENT</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envelope_format</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CAST(NULL AS STRING)</w:t>
            </w:r>
          </w:p>
        </w:tc>
        <w:tc>
          <w:tcPr>
            <w:tcW w:type="dxa" w:w="11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8"/>
                <w:szCs w:val="18"/>
              </w:rPr>
              <w:t xml:space="preserve">SILVER GAP</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poc_name</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CAST(NULL AS STRING)</w:t>
            </w:r>
          </w:p>
        </w:tc>
        <w:tc>
          <w:tcPr>
            <w:tcW w:type="dxa" w:w="11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8"/>
                <w:szCs w:val="18"/>
              </w:rPr>
              <w:t xml:space="preserve">SILVER GAP</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poc_email</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CAST(NULL AS STRING)</w:t>
            </w:r>
          </w:p>
        </w:tc>
        <w:tc>
          <w:tcPr>
            <w:tcW w:type="dxa" w:w="11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8"/>
                <w:szCs w:val="18"/>
              </w:rPr>
              <w:t xml:space="preserve">SILVER GAP</w:t>
            </w:r>
          </w:p>
        </w:tc>
      </w:tr>
    </w:tbl>
    <w:p>
      <w:pPr>
        <w:spacing w:before="80" w:after="0"/>
      </w:pPr>
      <w:r>
        <w:t xml:space="preserve"/>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spec_version uses MAX(specification_version) per transmittal_type_cd. The transmittal_spec_version table carries one row per revision; MAX() selects the highest (most current) version string without requiring a separate date-based ranking.</w:t>
      </w:r>
    </w:p>
    <w:p>
      <w:pPr>
        <w:pBdr>
          <w:left w:val="single" w:color="C9770A" w:sz="12" w:space="4"/>
        </w:pBdr>
        <w:spacing w:before="80" w:after="80"/>
        <w:ind w:left="280"/>
      </w:pPr>
      <w:r>
        <w:rPr>
          <w:rFonts w:ascii="Arial" w:cs="Arial" w:eastAsia="Arial" w:hAnsi="Arial"/>
          <w:b/>
          <w:bCs/>
          <w:color w:val="C9770A"/>
          <w:sz w:val="20"/>
          <w:szCs w:val="20"/>
        </w:rPr>
        <w:t xml:space="preserve">SILVER GAP: </w:t>
      </w:r>
      <w:r>
        <w:rPr>
          <w:rFonts w:ascii="Arial" w:cs="Arial" w:eastAsia="Arial" w:hAnsi="Arial"/>
          <w:i/>
          <w:iCs/>
          <w:color w:val="333333"/>
          <w:sz w:val="20"/>
          <w:szCs w:val="20"/>
        </w:rPr>
        <w:t xml:space="preserve">envelope_format — silver_aasbs_transmit_transmittal_envelope holds per-AAC configuration (envelope_version), not a canonical per-type format code. There is no Silver table providing a type-level format identifier. Column is NULL on prime; CDC or a supplemental reference load is required.</w:t>
      </w:r>
    </w:p>
    <w:p>
      <w:pPr>
        <w:pBdr>
          <w:left w:val="single" w:color="C9770A" w:sz="12" w:space="4"/>
        </w:pBdr>
        <w:spacing w:before="80" w:after="80"/>
        <w:ind w:left="280"/>
      </w:pPr>
      <w:r>
        <w:rPr>
          <w:rFonts w:ascii="Arial" w:cs="Arial" w:eastAsia="Arial" w:hAnsi="Arial"/>
          <w:b/>
          <w:bCs/>
          <w:color w:val="C9770A"/>
          <w:sz w:val="20"/>
          <w:szCs w:val="20"/>
        </w:rPr>
        <w:t xml:space="preserve">SILVER GAP: </w:t>
      </w:r>
      <w:r>
        <w:rPr>
          <w:rFonts w:ascii="Arial" w:cs="Arial" w:eastAsia="Arial" w:hAnsi="Arial"/>
          <w:i/>
          <w:iCs/>
          <w:color w:val="333333"/>
          <w:sz w:val="20"/>
          <w:szCs w:val="20"/>
        </w:rPr>
        <w:t xml:space="preserve">poc_name and poc_email — silver_aasbs_transmit_transmittal_poc records are linked via aac_envelope.transmittal_poc_id (per-AAC assignment, not per transmittal-type). No direct per-type POC exists in Silver. These fields are populated in dim_aac_envelope instead where the per-AAC POC relationship is correct.</w:t>
      </w:r>
    </w:p>
    <w:p>
      <w:pPr>
        <w:spacing w:before="120" w:after="0"/>
      </w:pPr>
      <w:r>
        <w:t xml:space="preserve"/>
      </w:r>
    </w:p>
    <w:p>
      <w:pPr>
        <w:pStyle w:val="Heading2"/>
        <w:spacing w:before="240" w:after="80"/>
      </w:pPr>
      <w:r>
        <w:rPr>
          <w:rFonts w:ascii="Arial" w:cs="Arial" w:eastAsia="Arial" w:hAnsi="Arial"/>
          <w:b/>
          <w:bCs/>
          <w:color w:val="1E5FA8"/>
          <w:sz w:val="26"/>
          <w:szCs w:val="26"/>
        </w:rPr>
        <w:t xml:space="preserve">2.2  prime_dim_aac_envelope</w:t>
      </w:r>
    </w:p>
    <w:p>
      <w:pPr>
        <w:spacing w:before="60" w:after="60"/>
      </w:pPr>
      <w:r>
        <w:rPr>
          <w:rFonts w:ascii="Arial" w:cs="Arial" w:eastAsia="Arial" w:hAnsi="Arial"/>
          <w:sz w:val="22"/>
          <w:szCs w:val="22"/>
        </w:rPr>
        <w:t xml:space="preserve">Sources: silver_aasbs_transmit_aac_envelope (grain), silver_aasbs_transmit_transmittal_poc (POC), silver_aasbs_transmit_billing_summary (last transmission proxy), silver_aasbs_transmit_transmittal_suspension (suspension flag and dates).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gridCol w:w="1160"/>
      </w:tblGrid>
      <w:tr>
        <w:tc>
          <w:tcPr>
            <w:tcW w:type="dxa" w:w="3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Gold Column</w:t>
            </w:r>
          </w:p>
        </w:tc>
        <w:tc>
          <w:tcPr>
            <w:tcW w:type="dxa" w:w="5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11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Decision Type</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aac</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aac_envelope.activity_address_cd  (natural key)</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envelope_status_cd</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aac_envelope.transmittal_status_cd</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poc_name</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transmittal_poc.poc_name via aac_envelope.transmittal_poc_id</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poc_email</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transmittal_poc.poc_email via same FK</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last_transmission_dt</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MAX(billing_summary.generated_dt) per activity_address_cd  —  pre-aggregated v_last_tx_per_aac</w:t>
            </w:r>
          </w:p>
        </w:tc>
        <w:tc>
          <w:tcPr>
            <w:tcW w:type="dxa" w:w="11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8"/>
                <w:szCs w:val="18"/>
              </w:rPr>
              <w:t xml:space="preserve">PROXY</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is_suspended_flag</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MAX(suspend_end_dt) IS NULL OR &gt;= current_timestamp()  —  v_suspension_per_type</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suspension_start_dt</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MAX(suspend_start_dt) per transmittal_type_cd</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suspension_end_dt</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MAX(suspend_end_dt) per transmittal_type_cd</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bl>
    <w:p>
      <w:pPr>
        <w:spacing w:before="80" w:after="0"/>
      </w:pPr>
      <w:r>
        <w:t xml:space="preserve"/>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last_transmission_dt uses billing_summary.generated_dt as a proxy. This field is the BAAR document generation timestamp, which is the closest available approximation to 'last transmission from this AAC' in Silver on prime. The authoritative value is transmittal.sent_dt; CDC will replace the proxy once the transmittal-to-AAC enrichment path is available.</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is_suspended_flag joins on aac_envelope.transmittal_type_cd to reach transmittal_suspension, which is keyed by type, not by AAC. A suspension is considered active when MAX(suspend_end_dt) IS NULL (indefinite suspension) or when it is in the future relative to current_timestamp(). MAX(suspend_start_dt) picks the most recently initiated suspension when multiple rows exist per type.</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aac_envelope deduplication — multiple rows can exist per AAC (different transmittal_type_cd variants per envelope). ROW_NUMBER() OVER (PARTITION BY activity_address_cd ORDER BY created_dt DESC) selects the most recently created envelope row as the representative record for each AAC.</w:t>
      </w:r>
    </w:p>
    <w:p>
      <w:pPr>
        <w:pBdr>
          <w:left w:val="single" w:color="2A7D4F" w:sz="12" w:space="4"/>
        </w:pBdr>
        <w:spacing w:before="80" w:after="80"/>
        <w:ind w:left="280"/>
      </w:pPr>
      <w:r>
        <w:rPr>
          <w:rFonts w:ascii="Arial" w:cs="Arial" w:eastAsia="Arial" w:hAnsi="Arial"/>
          <w:b/>
          <w:bCs/>
          <w:color w:val="2A7D4F"/>
          <w:sz w:val="20"/>
          <w:szCs w:val="20"/>
        </w:rPr>
        <w:t xml:space="preserve">IMPROVEMENT: </w:t>
      </w:r>
      <w:r>
        <w:rPr>
          <w:rFonts w:ascii="Arial" w:cs="Arial" w:eastAsia="Arial" w:hAnsi="Arial"/>
          <w:i/>
          <w:iCs/>
          <w:color w:val="333333"/>
          <w:sz w:val="20"/>
          <w:szCs w:val="20"/>
        </w:rPr>
        <w:t xml:space="preserve">I-DP5-6 — Pre-flight guard added at the top of this notebook. dim_transmittal_type must be non-empty before proceeding because the suspension join keys on transmittal_type_cd. An empty type dim would silently compute is_suspended_flag = FALSE for every AAC regardless of actual suspension state.</w:t>
      </w:r>
    </w:p>
    <w:p>
      <w:pPr>
        <w:spacing w:before="120" w:after="0"/>
      </w:pPr>
      <w:r>
        <w:t xml:space="preserve"/>
      </w:r>
    </w:p>
    <w:p>
      <w:pPr>
        <w:pStyle w:val="Heading2"/>
        <w:spacing w:before="240" w:after="80"/>
      </w:pPr>
      <w:r>
        <w:rPr>
          <w:rFonts w:ascii="Arial" w:cs="Arial" w:eastAsia="Arial" w:hAnsi="Arial"/>
          <w:b/>
          <w:bCs/>
          <w:color w:val="1E5FA8"/>
          <w:sz w:val="26"/>
          <w:szCs w:val="26"/>
        </w:rPr>
        <w:t xml:space="preserve">2.3  prime_dim_agreement</w:t>
      </w:r>
    </w:p>
    <w:p>
      <w:pPr>
        <w:spacing w:before="60" w:after="60"/>
      </w:pPr>
      <w:r>
        <w:rPr>
          <w:rFonts w:ascii="Arial" w:cs="Arial" w:eastAsia="Arial" w:hAnsi="Arial"/>
          <w:sz w:val="22"/>
          <w:szCs w:val="22"/>
        </w:rPr>
        <w:t xml:space="preserve">Sources: silver_agreement_agreement (base, natural key = agreement_id), silver_agreement_agreement_line (line count), silver_agreement_agreement_log (last transmitted date).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gridCol w:w="1160"/>
      </w:tblGrid>
      <w:tr>
        <w:tc>
          <w:tcPr>
            <w:tcW w:type="dxa" w:w="3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Gold Column</w:t>
            </w:r>
          </w:p>
        </w:tc>
        <w:tc>
          <w:tcPr>
            <w:tcW w:type="dxa" w:w="5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11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Decision Type</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agreement_id</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agreement.agreement_id  (natural key)</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agreement_number</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agreement.agreement_num</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fund_status_cd</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agreement.funding_status</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obligations_available</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agreement.obligations_avail_amt</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accounting_period</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agreement.acct_period</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total_agreement_amt</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agreement.maximum_agreement_amt</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line_count</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COUNT(agreement_line.agreement_line_id) per agreement_id  —  pre-aggregated v_line_count_per_agreement</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8"/>
                <w:szCs w:val="18"/>
              </w:rPr>
              <w:t xml:space="preserve">IMPROVEMENT</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last_transmitted_dt</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MAX(agreement_log.response_date) WHERE transmission_status LIKE '%ACCEPT%'  —  pre-aggregated v_last_transmitted_per_agmt</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bl>
    <w:p>
      <w:pPr>
        <w:spacing w:before="80" w:after="0"/>
      </w:pPr>
      <w:r>
        <w:t xml:space="preserve"/>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last_transmitted_dt filters agreement_log.response_date to rows where UPPER(transmission_status) LIKE '%ACCEPT%'. This captures 'ACCEPTED', 'ACCEPT', and any variant. NULL when no accepted transmission exists. MAX() is taken within that filtered set to pick the most recent confirmed transmission.</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total_agreement_amt maps to agreement.maximum_agreement_amt — the ceiling value of the agreement — rather than obligations_avail_amt or commitments_avail_amt, which represent remaining available authority (already consumed authority is netted out).</w:t>
      </w:r>
    </w:p>
    <w:p>
      <w:pPr>
        <w:spacing w:before="120" w:after="0"/>
      </w:pPr>
      <w:r>
        <w:t xml:space="preserve"/>
      </w:r>
    </w:p>
    <w:p>
      <w:pPr>
        <w:pStyle w:val="Heading2"/>
        <w:spacing w:before="240" w:after="80"/>
      </w:pPr>
      <w:r>
        <w:rPr>
          <w:rFonts w:ascii="Arial" w:cs="Arial" w:eastAsia="Arial" w:hAnsi="Arial"/>
          <w:b/>
          <w:bCs/>
          <w:color w:val="1E5FA8"/>
          <w:sz w:val="26"/>
          <w:szCs w:val="26"/>
        </w:rPr>
        <w:t xml:space="preserve">2.4  prime_dim_receiving_report</w:t>
      </w:r>
    </w:p>
    <w:p>
      <w:pPr>
        <w:spacing w:before="60" w:after="60"/>
      </w:pPr>
      <w:r>
        <w:rPr>
          <w:rFonts w:ascii="Arial" w:cs="Arial" w:eastAsia="Arial" w:hAnsi="Arial"/>
          <w:sz w:val="22"/>
          <w:szCs w:val="22"/>
        </w:rPr>
        <w:t xml:space="preserve">Sources: silver_aasbs_transmit_rr_summary (base grain, natural key = id), silver_aasbs_transmit_rr_detail (MDL aggregation).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gridCol w:w="1160"/>
      </w:tblGrid>
      <w:tr>
        <w:tc>
          <w:tcPr>
            <w:tcW w:type="dxa" w:w="3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Gold Column</w:t>
            </w:r>
          </w:p>
        </w:tc>
        <w:tc>
          <w:tcPr>
            <w:tcW w:type="dxa" w:w="5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11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Decision Type</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rr_summary_id</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rr_summary.id  (natural key)</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pegasys_invoice_num</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rr_summary.pegasys_invoice_number</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rr_acceptance_dt</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rr_summary.accepted_dt</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total_rr_amt</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rr_summary.max_approved_amt</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rr_line_count</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rr_summary.number_of_detail_lines  (direct header field)</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mdl_amt</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SUM(rr_detail.total_mdl_amount) per rr_summary_id  —  pre-aggregated v_mdl_per_rr</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8"/>
                <w:szCs w:val="18"/>
              </w:rPr>
              <w:t xml:space="preserve">IMPROVEMENT</w:t>
            </w:r>
          </w:p>
        </w:tc>
      </w:tr>
    </w:tbl>
    <w:p>
      <w:pPr>
        <w:spacing w:before="80" w:after="0"/>
      </w:pPr>
      <w:r>
        <w:t xml:space="preserve"/>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rr_line_count uses rr_summary.number_of_detail_lines directly rather than COUNT(rr_detail). The authoritative line count is the value transmitted in the RR header, which was agreed with Treasury at transmission time. COUNT(rr_detail) could differ if soft-deleted detail rows exist or if not all detail rows have been ingested yet. Using the header value avoids this discrepancy.</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total_rr_amt maps to max_approved_amt. Per TFM Volume I Part 2 §4700.10, the maximum approved amount is the total value accepted on the receiving report — the most operationally significant amount field on rr_summary.</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mdl_amt (Maximum Dollar Limit) is aggregated from rr_detail.total_mdl_amount. Each detail line carries its own MDL; the dim stores the aggregate MDL cap for the full RR. Pre-aggregation in v_mdl_per_rr is mandatory: a direct JOIN on rr_detail would produce one Gold row per RR line rather than per RR header.</w:t>
      </w:r>
    </w:p>
    <w:p>
      <w:pPr>
        <w:spacing w:before="120" w:after="0"/>
      </w:pPr>
      <w:r>
        <w:t xml:space="preserve"/>
      </w:r>
    </w:p>
    <w:p>
      <w:r>
        <w:br w:type="page"/>
      </w:r>
    </w:p>
    <w:p>
      <w:pPr>
        <w:pStyle w:val="Heading2"/>
        <w:spacing w:before="240" w:after="80"/>
      </w:pPr>
      <w:r>
        <w:rPr>
          <w:rFonts w:ascii="Arial" w:cs="Arial" w:eastAsia="Arial" w:hAnsi="Arial"/>
          <w:b/>
          <w:bCs/>
          <w:color w:val="1E5FA8"/>
          <w:sz w:val="26"/>
          <w:szCs w:val="26"/>
        </w:rPr>
        <w:t xml:space="preserve">2.5  prime_fact_transmission_event</w:t>
      </w:r>
    </w:p>
    <w:p>
      <w:pPr>
        <w:spacing w:before="60" w:after="60"/>
      </w:pPr>
      <w:r>
        <w:rPr>
          <w:rFonts w:ascii="Arial" w:cs="Arial" w:eastAsia="Arial" w:hAnsi="Arial"/>
          <w:sz w:val="22"/>
          <w:szCs w:val="22"/>
        </w:rPr>
        <w:t xml:space="preserve">Grain: one row per billing_summary.id. Sources: silver_aasbs_transmit_billing_summary (grain), silver_aasbs_transmit_transmittal (type and sent_dt), silver_agreement_agreement (agreement_sk bridge), silver_aasbs_loa + silver_aasbs_loa_ledger (ia_sk chain), silver_aasbs_transmit_transmit_error (error details), silver_billing_billing_response_info (confirmed_amt proxy).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gridCol w:w="1160"/>
      </w:tblGrid>
      <w:tr>
        <w:tc>
          <w:tcPr>
            <w:tcW w:type="dxa" w:w="3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Gold Column</w:t>
            </w:r>
          </w:p>
        </w:tc>
        <w:tc>
          <w:tcPr>
            <w:tcW w:type="dxa" w:w="5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 Derivation</w:t>
            </w:r>
          </w:p>
        </w:tc>
        <w:tc>
          <w:tcPr>
            <w:tcW w:type="dxa" w:w="11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Decision Type</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transmittal_type_sk</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dim_transmittal_type via billing_summary.transmittal_id → transmittal.transmittal_type_cd  —  v_transmittal_type_per_bs</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8"/>
                <w:szCs w:val="18"/>
              </w:rPr>
              <w:t xml:space="preserve">IMPROVEMENT</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aac_envelope_sk</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dim_aac_envelope via billing_summary.activity_address_cd</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agreement_sk</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dim_agreement via billing_summary.agreement_num = agreement.agreement_num</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ia_sk</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dim_ia via agreement_num → loa.agreement_number → MIN(loa_ledger.ia_id)  —  v_ia_per_agreement_num</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agency_sk</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dim_agency via billing_summary.activity_address_cd</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event_date_sk</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dim_date via CAST(DATE_FORMAT(billing_summary.generated_dt, 'yyyyMMdd') AS INT)</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transmittal_stage_cd</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billing_summary.transmittal_status_cd  (proxy — best available)</w:t>
            </w:r>
          </w:p>
        </w:tc>
        <w:tc>
          <w:tcPr>
            <w:tcW w:type="dxa" w:w="11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8"/>
                <w:szCs w:val="18"/>
              </w:rPr>
              <w:t xml:space="preserve">PROXY</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transmittal_status_cd</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billing_summary.transmittal_status_cd</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transmitted_dt</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transmittal.sent_dt via billing_summary.transmittal_id</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confirmed_dt</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CAST(NULL AS TIMESTAMP)</w:t>
            </w:r>
          </w:p>
        </w:tc>
        <w:tc>
          <w:tcPr>
            <w:tcW w:type="dxa" w:w="11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8"/>
                <w:szCs w:val="18"/>
              </w:rPr>
              <w:t xml:space="preserve">SILVER-PENDING</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error_code</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transmit_error.transmittal_type_cd WHERE source_table LIKE '%BILLING%'  —  v_error_per_bs</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error_description</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transmit_error.error_description via same view</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retry_count</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transmit_error.retry_cnt via same view</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batch_record_count</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transmittal.release_count via v_transmittal_type_per_bs</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transmitted_amt</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billing_summary.billing_amount</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confirmed_amt</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billing_summary.billing_amount WHERE billing_response_info.accepted_status = 'Y', else NULL  —  v_confirmed_per_bs</w:t>
            </w:r>
          </w:p>
        </w:tc>
        <w:tc>
          <w:tcPr>
            <w:tcW w:type="dxa" w:w="11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8"/>
                <w:szCs w:val="18"/>
              </w:rPr>
              <w:t xml:space="preserve">PROXY</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variance_amt</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transmitted_amt − confirmed_amt  (NULL when confirmed_amt is NULL)</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bl>
    <w:p>
      <w:pPr>
        <w:spacing w:before="80" w:after="0"/>
      </w:pPr>
      <w:r>
        <w:t xml:space="preserve"/>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ia_sk resolution path: billing_summary carries agreement_num. loa.agreement_number is a confirmed Silver column on silver_aasbs_loa. loa_ledger.ia_id is a confirmed column on silver_aasbs_loa_ledger. The 3-hop chain (agreement_num → loa → loa_ledger.ia_id → dim_ia) was pre-aggregated in v_ia_per_agreement_num using MIN(loa_ledger.ia_id) per agreement number. MIN() provides deterministic selection when a LOA is associated with multiple IA records, which is uncommon but possible.</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transmittal_stage_cd is populated from billing_summary.transmittal_status_cd as the best available proxy for the pipeline stage at prime time. The proper derivation would join silver_aasbs_transmit_lu_transmittal_stage by code, but billing_summary carries the status code directly. A CDC enrichment step will replace this with a decoded stage label.</w:t>
      </w:r>
    </w:p>
    <w:p>
      <w:pPr>
        <w:pBdr>
          <w:left w:val="single" w:color="2A7D4F" w:sz="12" w:space="4"/>
        </w:pBdr>
        <w:spacing w:before="80" w:after="80"/>
        <w:ind w:left="280"/>
      </w:pPr>
      <w:r>
        <w:rPr>
          <w:rFonts w:ascii="Arial" w:cs="Arial" w:eastAsia="Arial" w:hAnsi="Arial"/>
          <w:b/>
          <w:bCs/>
          <w:color w:val="2A7D4F"/>
          <w:sz w:val="20"/>
          <w:szCs w:val="20"/>
        </w:rPr>
        <w:t xml:space="preserve">IMPROVEMENT: </w:t>
      </w:r>
      <w:r>
        <w:rPr>
          <w:rFonts w:ascii="Arial" w:cs="Arial" w:eastAsia="Arial" w:hAnsi="Arial"/>
          <w:i/>
          <w:iCs/>
          <w:color w:val="333333"/>
          <w:sz w:val="20"/>
          <w:szCs w:val="20"/>
        </w:rPr>
        <w:t xml:space="preserve">I-DP5-5 — confirmed_amt proxy: no numeric confirmed amount exists in Silver. billing_response_info.accepted_status is a Y/N flag only. The derivation treats billing_summary.billing_amount as fully confirmed when accepted_status = 'Y', and NULL otherwise. The proxy is annotated explicitly in code with the authoritative source (Pegasys confirmation feed, SILVER-PENDING) and regulatory context.</w:t>
      </w:r>
    </w:p>
    <w:p>
      <w:pPr>
        <w:pBdr>
          <w:left w:val="single" w:color="C9770A" w:sz="12" w:space="4"/>
        </w:pBdr>
        <w:spacing w:before="80" w:after="80"/>
        <w:ind w:left="280"/>
      </w:pPr>
      <w:r>
        <w:rPr>
          <w:rFonts w:ascii="Arial" w:cs="Arial" w:eastAsia="Arial" w:hAnsi="Arial"/>
          <w:b/>
          <w:bCs/>
          <w:color w:val="C9770A"/>
          <w:sz w:val="20"/>
          <w:szCs w:val="20"/>
        </w:rPr>
        <w:t xml:space="preserve">SILVER-PENDING: </w:t>
      </w:r>
      <w:r>
        <w:rPr>
          <w:rFonts w:ascii="Arial" w:cs="Arial" w:eastAsia="Arial" w:hAnsi="Arial"/>
          <w:i/>
          <w:iCs/>
          <w:color w:val="333333"/>
          <w:sz w:val="20"/>
          <w:szCs w:val="20"/>
        </w:rPr>
        <w:t xml:space="preserve">confirmed_dt — no Pegasys or VITAP confirmation timestamp is ingested into Silver. Required for Prompt Payment Act compliance monitoring per TFM Volume I Part 2 §4700. A post-load assertion verifies the column remains NULL on prime.</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variance_amt is expressed as a CASE: when confirmed_amt IS NOT NULL, ROUND(billing_amount − confirmed_amt, 2); otherwise CAST(NULL). This avoids implicit zero variance for rows that have no confirmation response yet, which would be misleading in reports.</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v_error_per_bs joins transmit_error WHERE UPPER(source_table_name_cd) LIKE '%BILLING%' to scope errors to billing summary records specifically. MIN(retry_cnt) and MAX(error_description) are used when multiple error records exist per billing record, picking the earliest retry count and the most informative description.</w:t>
      </w:r>
    </w:p>
    <w:p>
      <w:pPr>
        <w:spacing w:before="120" w:after="0"/>
      </w:pPr>
      <w:r>
        <w:t xml:space="preserve"/>
      </w:r>
    </w:p>
    <w:p>
      <w:r>
        <w:br w:type="page"/>
      </w:r>
    </w:p>
    <w:p>
      <w:pPr>
        <w:pStyle w:val="Heading2"/>
        <w:spacing w:before="240" w:after="80"/>
      </w:pPr>
      <w:r>
        <w:rPr>
          <w:rFonts w:ascii="Arial" w:cs="Arial" w:eastAsia="Arial" w:hAnsi="Arial"/>
          <w:b/>
          <w:bCs/>
          <w:color w:val="1E5FA8"/>
          <w:sz w:val="26"/>
          <w:szCs w:val="26"/>
        </w:rPr>
        <w:t xml:space="preserve">2.6  prime_fact_payment_reconciliation</w:t>
      </w:r>
    </w:p>
    <w:p>
      <w:pPr>
        <w:spacing w:before="60" w:after="60"/>
      </w:pPr>
      <w:r>
        <w:rPr>
          <w:rFonts w:ascii="Arial" w:cs="Arial" w:eastAsia="Arial" w:hAnsi="Arial"/>
          <w:sz w:val="22"/>
          <w:szCs w:val="22"/>
        </w:rPr>
        <w:t xml:space="preserve">Grain: one row per inv_summary.id. Sources: silver_aasbs_transmit_inv_summary (grain), silver_aasbs_invoice + invoice_item (CLIN resolution), silver_aasbs_transmit_rr_summary (RR amounts), silver_aasbs_transmit_po_summary + po_line (PO amounts), silver_aasbs_award_mod + silver_aasbs_award_ia (ia_sk), silver_aasbs_transmit_aac_envelope (agency_sk).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gridCol w:w="1160"/>
      </w:tblGrid>
      <w:tr>
        <w:tc>
          <w:tcPr>
            <w:tcW w:type="dxa" w:w="3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Gold Column</w:t>
            </w:r>
          </w:p>
        </w:tc>
        <w:tc>
          <w:tcPr>
            <w:tcW w:type="dxa" w:w="5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 Derivation</w:t>
            </w:r>
          </w:p>
        </w:tc>
        <w:tc>
          <w:tcPr>
            <w:tcW w:type="dxa" w:w="11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Decision Type</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line_item_sk</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dim_line_item via inv_summary.invoice_id → aasbs_invoice.id → MIN(invoice_item.cost_line_item_accepted_id)  —  v_first_clin_per_invoice</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rr_sk</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dim_receiving_report via inv_summary.invoice_id = rr_summary.invoice_id → rr_summary.id  —  v_rr_per_invoice</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agreement_sk</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CAST(-1 AS BIGINT)  —  sentinel on prime</w:t>
            </w:r>
          </w:p>
        </w:tc>
        <w:tc>
          <w:tcPr>
            <w:tcW w:type="dxa" w:w="11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8"/>
                <w:szCs w:val="18"/>
              </w:rPr>
              <w:t xml:space="preserve">SILVER GAP</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ia_sk</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dim_ia via purchase_order_number → po_summary.award_mod_id → award_mod.award_id → award_ia.ia_id  —  v_ia_per_po</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agency_sk</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dim_agency via inv_summary.activity_address_cd  —  v_agency_per_inv</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invoice_date_sk</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dim_date via CAST(DATE_FORMAT(inv_summary.invoice_dt, 'yyyyMMdd') AS INT)</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payment_date_sk</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CAST(NULL AS INT)</w:t>
            </w:r>
          </w:p>
        </w:tc>
        <w:tc>
          <w:tcPr>
            <w:tcW w:type="dxa" w:w="11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8"/>
                <w:szCs w:val="18"/>
              </w:rPr>
              <w:t xml:space="preserve">SILVER-PENDING</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invoice_amt</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inv_summary.total_invoice_amount</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po_amt</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SUM(po_line.total_line_amt) per purchase_order_number  —  v_po_per_inv_purchase_num</w:t>
            </w:r>
          </w:p>
        </w:tc>
        <w:tc>
          <w:tcPr>
            <w:tcW w:type="dxa" w:w="11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8"/>
                <w:szCs w:val="18"/>
              </w:rPr>
              <w:t xml:space="preserve">IMPROVEMENT</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rr_amt</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rr_summary.max_approved_amt via invoice_id join</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payment_amt</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CAST(NULL AS DECIMAL(15,2))</w:t>
            </w:r>
          </w:p>
        </w:tc>
        <w:tc>
          <w:tcPr>
            <w:tcW w:type="dxa" w:w="11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8"/>
                <w:szCs w:val="18"/>
              </w:rPr>
              <w:t xml:space="preserve">SILVER-PENDING</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billing_amt</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CAST(NULL AS DECIMAL(15,2))</w:t>
            </w:r>
          </w:p>
        </w:tc>
        <w:tc>
          <w:tcPr>
            <w:tcW w:type="dxa" w:w="11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8"/>
                <w:szCs w:val="18"/>
              </w:rPr>
              <w:t xml:space="preserve">SILVER GAP</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invoice_to_payment_days</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CAST(NULL AS INT)</w:t>
            </w:r>
          </w:p>
        </w:tc>
        <w:tc>
          <w:tcPr>
            <w:tcW w:type="dxa" w:w="11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8"/>
                <w:szCs w:val="18"/>
              </w:rPr>
              <w:t xml:space="preserve">SILVER-PENDING</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is_prompt_payment_compliant</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CAST(NULL AS BOOLEAN)</w:t>
            </w:r>
          </w:p>
        </w:tc>
        <w:tc>
          <w:tcPr>
            <w:tcW w:type="dxa" w:w="11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8"/>
                <w:szCs w:val="18"/>
              </w:rPr>
              <w:t xml:space="preserve">SILVER-PENDING</w:t>
            </w:r>
          </w:p>
        </w:tc>
      </w:tr>
      <w:tr>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po_to_rr_variance_amt</w:t>
            </w:r>
          </w:p>
        </w:tc>
        <w:tc>
          <w:tcPr>
            <w:tcW w:type="dxa" w:w="5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ROUND(po_amt − rr_amt, 2)  —  computable on prime</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r>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invoice_to_billing_variance_amt</w:t>
            </w:r>
          </w:p>
        </w:tc>
        <w:tc>
          <w:tcPr>
            <w:tcW w:type="dxa" w:w="5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CAST(NULL AS DECIMAL(15,2))  —  billing_amt NULL on prime</w:t>
            </w:r>
          </w:p>
        </w:tc>
        <w:tc>
          <w:tcPr>
            <w:tcW w:type="dxa" w:w="11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8"/>
                <w:szCs w:val="18"/>
              </w:rPr>
              <w:t xml:space="preserve">DECISION</w:t>
            </w:r>
          </w:p>
        </w:tc>
      </w:tr>
    </w:tbl>
    <w:p>
      <w:pPr>
        <w:spacing w:before="80" w:after="0"/>
      </w:pPr>
      <w:r>
        <w:t xml:space="preserve"/>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line_item_sk grain decision (I-DP5-4): inv_summary is an invoice-level record; one invoice can span multiple CLINs via invoice_item.cost_line_item_accepted_id. The fact table is at invoice grain, not CLIN grain. line_item_sk is declared NOT NULL in the Gold DDL, so a value must be provided. MIN(cost_line_item_accepted_id) per invoice picks the primary CLIN deterministically. A post-load check reports the count of multi-CLIN invoices so operators understand how many invoices have secondary CLINs not represented as separate rows.</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ia_sk path: inv_summary.purchase_order_number = po_summary.purchase_order_number (confirmed Silver join). po_summary.award_mod_id is a confirmed column. award_mod.award_id leads to the award_ia bridge table (id, award_id, ia_id — confirmed in Silver DDL). MIN(ia_id) per award provides deterministic IA resolution. This is the same award_ia bridge pattern used by DP4 B-DP4-1 fix.</w:t>
      </w:r>
    </w:p>
    <w:p>
      <w:pPr>
        <w:pBdr>
          <w:left w:val="single" w:color="C9770A" w:sz="12" w:space="4"/>
        </w:pBdr>
        <w:spacing w:before="80" w:after="80"/>
        <w:ind w:left="280"/>
      </w:pPr>
      <w:r>
        <w:rPr>
          <w:rFonts w:ascii="Arial" w:cs="Arial" w:eastAsia="Arial" w:hAnsi="Arial"/>
          <w:b/>
          <w:bCs/>
          <w:color w:val="C9770A"/>
          <w:sz w:val="20"/>
          <w:szCs w:val="20"/>
        </w:rPr>
        <w:t xml:space="preserve">SILVER GAP: </w:t>
      </w:r>
      <w:r>
        <w:rPr>
          <w:rFonts w:ascii="Arial" w:cs="Arial" w:eastAsia="Arial" w:hAnsi="Arial"/>
          <w:i/>
          <w:iCs/>
          <w:color w:val="333333"/>
          <w:sz w:val="20"/>
          <w:szCs w:val="20"/>
        </w:rPr>
        <w:t xml:space="preserve">agreement_sk on fact_payment_reconciliation: there is no confirmed direct Silver join path from inv_summary to agreement. inv_summary has no agreement_num column. The candidate path via aasbs_invoice.award_id to billing to agreement was too speculative without source system documentation. Sentinel -1 is written with a full annotation of the candidate CDC enrichment path: inv_summary.invoice_id → aasbs_invoice.award_id → billing chain → agreement_num. This is explicitly contrasted with fact_transmission_event where agreement_sk is fully resolvable via billing_summary.agreement_num.</w:t>
      </w:r>
    </w:p>
    <w:p>
      <w:pPr>
        <w:pBdr>
          <w:left w:val="single" w:color="C9770A" w:sz="12" w:space="4"/>
        </w:pBdr>
        <w:spacing w:before="80" w:after="80"/>
        <w:ind w:left="280"/>
      </w:pPr>
      <w:r>
        <w:rPr>
          <w:rFonts w:ascii="Arial" w:cs="Arial" w:eastAsia="Arial" w:hAnsi="Arial"/>
          <w:b/>
          <w:bCs/>
          <w:color w:val="C9770A"/>
          <w:sz w:val="20"/>
          <w:szCs w:val="20"/>
        </w:rPr>
        <w:t xml:space="preserve">SILVER GAP: </w:t>
      </w:r>
      <w:r>
        <w:rPr>
          <w:rFonts w:ascii="Arial" w:cs="Arial" w:eastAsia="Arial" w:hAnsi="Arial"/>
          <w:i/>
          <w:iCs/>
          <w:color w:val="333333"/>
          <w:sz w:val="20"/>
          <w:szCs w:val="20"/>
        </w:rPr>
        <w:t xml:space="preserve">billing_amt: no confirmed join path from inv_summary to billing.billing exists in Silver. billing.billing_summary_id references billing_summary (not inv_summary); no cross-reference between inv_summary and billing records was identified without source system documentation. NULL on prime.</w:t>
      </w:r>
    </w:p>
    <w:p>
      <w:pPr>
        <w:pBdr>
          <w:left w:val="single" w:color="C9770A" w:sz="12" w:space="4"/>
        </w:pBdr>
        <w:spacing w:before="80" w:after="80"/>
        <w:ind w:left="280"/>
      </w:pPr>
      <w:r>
        <w:rPr>
          <w:rFonts w:ascii="Arial" w:cs="Arial" w:eastAsia="Arial" w:hAnsi="Arial"/>
          <w:b/>
          <w:bCs/>
          <w:color w:val="C9770A"/>
          <w:sz w:val="20"/>
          <w:szCs w:val="20"/>
        </w:rPr>
        <w:t xml:space="preserve">SILVER-PENDING: </w:t>
      </w:r>
      <w:r>
        <w:rPr>
          <w:rFonts w:ascii="Arial" w:cs="Arial" w:eastAsia="Arial" w:hAnsi="Arial"/>
          <w:i/>
          <w:iCs/>
          <w:color w:val="333333"/>
          <w:sz w:val="20"/>
          <w:szCs w:val="20"/>
        </w:rPr>
        <w:t xml:space="preserve">payment_amt, payment_date_sk, invoice_to_payment_days, is_prompt_payment_compliant: source tables aasbs.payment, aasbs.ipac_transaction, and aasbs.vitap_batch are not ingested into Silver. All four are required for Prompt Payment Act compliance monitoring per 31 U.S.C. §3901. All annotated with the source table name, ingest status, and regulatory reference. A post-load assertion verifies payment_amt remains NULL.</w:t>
      </w:r>
    </w:p>
    <w:p>
      <w:pPr>
        <w:pBdr>
          <w:left w:val="single" w:color="2A7D4F" w:sz="12" w:space="4"/>
        </w:pBdr>
        <w:spacing w:before="80" w:after="80"/>
        <w:ind w:left="280"/>
      </w:pPr>
      <w:r>
        <w:rPr>
          <w:rFonts w:ascii="Arial" w:cs="Arial" w:eastAsia="Arial" w:hAnsi="Arial"/>
          <w:b/>
          <w:bCs/>
          <w:color w:val="2A7D4F"/>
          <w:sz w:val="20"/>
          <w:szCs w:val="20"/>
        </w:rPr>
        <w:t xml:space="preserve">IMPROVEMENT: </w:t>
      </w:r>
      <w:r>
        <w:rPr>
          <w:rFonts w:ascii="Arial" w:cs="Arial" w:eastAsia="Arial" w:hAnsi="Arial"/>
          <w:i/>
          <w:iCs/>
          <w:color w:val="333333"/>
          <w:sz w:val="20"/>
          <w:szCs w:val="20"/>
        </w:rPr>
        <w:t xml:space="preserve">I-DP5-7 — Prompt Payment Act placeholder metric: post-load prints '0 rows — payment_date_sk NULL on prime (SILVER-PENDING aasbs.payment)' explicitly. This establishes the monitoring pattern so the metric is ready to activate when payment data is ingested, rather than needing to be added in a future release cycle.</w:t>
      </w:r>
    </w:p>
    <w:p>
      <w:pPr>
        <w:spacing w:before="120" w:after="0"/>
      </w:pPr>
      <w:r>
        <w:t xml:space="preserve"/>
      </w:r>
    </w:p>
    <w:p>
      <w:r>
        <w:br w:type="page"/>
      </w:r>
    </w:p>
    <w:p>
      <w:pPr>
        <w:pStyle w:val="Heading1"/>
        <w:spacing w:before="340" w:after="120"/>
      </w:pPr>
      <w:r>
        <w:rPr>
          <w:rFonts w:ascii="Arial" w:cs="Arial" w:eastAsia="Arial" w:hAnsi="Arial"/>
          <w:b/>
          <w:bCs/>
          <w:color w:val="1A2744"/>
          <w:sz w:val="32"/>
          <w:szCs w:val="32"/>
        </w:rPr>
        <w:t xml:space="preserve">3.  Cross-Notebook Design Decisions</w:t>
      </w:r>
    </w:p>
    <w:p>
      <w:pPr>
        <w:pStyle w:val="Heading2"/>
        <w:spacing w:before="240" w:after="80"/>
      </w:pPr>
      <w:r>
        <w:rPr>
          <w:rFonts w:ascii="Arial" w:cs="Arial" w:eastAsia="Arial" w:hAnsi="Arial"/>
          <w:b/>
          <w:bCs/>
          <w:color w:val="1E5FA8"/>
          <w:sz w:val="26"/>
          <w:szCs w:val="26"/>
        </w:rPr>
        <w:t xml:space="preserve">3.1  Pre-aggregation Pattern (I-DP5-1)</w:t>
      </w:r>
    </w:p>
    <w:p>
      <w:pPr>
        <w:spacing w:before="60" w:after="60"/>
      </w:pPr>
      <w:r>
        <w:rPr>
          <w:rFonts w:ascii="Arial" w:cs="Arial" w:eastAsia="Arial" w:hAnsi="Arial"/>
          <w:sz w:val="22"/>
          <w:szCs w:val="22"/>
        </w:rPr>
        <w:t xml:space="preserve">Every multi-row aggregation that would cause fan-out in a main INSERT is pre-computed in a named temp view before the INSERT executes. This is the core pattern established in DP1–DP4 and applied from the first line of DP5.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560"/>
        <w:gridCol w:w="1600"/>
      </w:tblGrid>
      <w:tr>
        <w:tc>
          <w:tcPr>
            <w:tcW w:type="dxa" w:w="28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View Name</w:t>
            </w:r>
          </w:p>
        </w:tc>
        <w:tc>
          <w:tcPr>
            <w:tcW w:type="dxa" w:w="24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Notebook</w:t>
            </w:r>
          </w:p>
        </w:tc>
        <w:tc>
          <w:tcPr>
            <w:tcW w:type="dxa" w:w="25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1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Aggregation</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v_spec_version_per_type</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prime_dim_transmittal_type</w:t>
            </w:r>
          </w:p>
        </w:tc>
        <w:tc>
          <w:tcPr>
            <w:tcW w:type="dxa" w:w="2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Latest spec version per type</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MAX(specification_version) per transmittal_type_cd</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v_last_tx_per_aac</w:t>
            </w:r>
          </w:p>
        </w:tc>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prime_dim_aac_envelope</w:t>
            </w:r>
          </w:p>
        </w:tc>
        <w:tc>
          <w:tcPr>
            <w:tcW w:type="dxa" w:w="2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Last transmission per AAC</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MAX(generated_dt) per activity_address_cd</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v_suspension_per_type</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prime_dim_aac_envelope</w:t>
            </w:r>
          </w:p>
        </w:tc>
        <w:tc>
          <w:tcPr>
            <w:tcW w:type="dxa" w:w="2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Active suspension flag per type</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MAX dates + NULL-based active check</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v_line_count_per_agreement</w:t>
            </w:r>
          </w:p>
        </w:tc>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prime_dim_agreement</w:t>
            </w:r>
          </w:p>
        </w:tc>
        <w:tc>
          <w:tcPr>
            <w:tcW w:type="dxa" w:w="2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Line count per agreement</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COUNT(agreement_line_id) per agreement_id</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v_last_transmitted_per_agmt</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prime_dim_agreement</w:t>
            </w:r>
          </w:p>
        </w:tc>
        <w:tc>
          <w:tcPr>
            <w:tcW w:type="dxa" w:w="2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Last accepted transmission</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MAX(response_date) WHERE accepted</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v_mdl_per_rr</w:t>
            </w:r>
          </w:p>
        </w:tc>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prime_dim_receiving_report</w:t>
            </w:r>
          </w:p>
        </w:tc>
        <w:tc>
          <w:tcPr>
            <w:tcW w:type="dxa" w:w="2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MDL total per RR</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SUM(total_mdl_amount) per rr_summary_id</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v_transmittal_type_per_bs</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prime_fact_transmission_event</w:t>
            </w:r>
          </w:p>
        </w:tc>
        <w:tc>
          <w:tcPr>
            <w:tcW w:type="dxa" w:w="2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Type + dates per billing summary</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JOIN billing_summary → transmittal</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v_ia_per_agreement_num</w:t>
            </w:r>
          </w:p>
        </w:tc>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prime_fact_transmission_event</w:t>
            </w:r>
          </w:p>
        </w:tc>
        <w:tc>
          <w:tcPr>
            <w:tcW w:type="dxa" w:w="2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ia_sk per agreement number</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3-hop: agreement_num → loa → loa_ledger.ia_id</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v_error_per_bs</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prime_fact_transmission_event</w:t>
            </w:r>
          </w:p>
        </w:tc>
        <w:tc>
          <w:tcPr>
            <w:tcW w:type="dxa" w:w="2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First error per billing record</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MIN retry + MAX description</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v_confirmed_per_bs</w:t>
            </w:r>
          </w:p>
        </w:tc>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prime_fact_transmission_event</w:t>
            </w:r>
          </w:p>
        </w:tc>
        <w:tc>
          <w:tcPr>
            <w:tcW w:type="dxa" w:w="2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Confirmed amount proxy</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Y/N flag → billing_amount</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v_first_clin_per_invoice</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prime_fact_payment_reconciliation</w:t>
            </w:r>
          </w:p>
        </w:tc>
        <w:tc>
          <w:tcPr>
            <w:tcW w:type="dxa" w:w="2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Primary CLIN per invoice</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MIN(cost_line_item_accepted_id) per invoice</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v_rr_per_invoice</w:t>
            </w:r>
          </w:p>
        </w:tc>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prime_fact_payment_reconciliation</w:t>
            </w:r>
          </w:p>
        </w:tc>
        <w:tc>
          <w:tcPr>
            <w:tcW w:type="dxa" w:w="2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RR per invoice</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MIN(rr_summary_id), MAX(max_approved_amt) per invoice</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v_po_per_inv_purchase_num</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prime_fact_payment_reconciliation</w:t>
            </w:r>
          </w:p>
        </w:tc>
        <w:tc>
          <w:tcPr>
            <w:tcW w:type="dxa" w:w="2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PO amounts per purchase order number</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SUM(po_line.total_line_amt)</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v_ia_per_po</w:t>
            </w:r>
          </w:p>
        </w:tc>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prime_fact_payment_reconciliation</w:t>
            </w:r>
          </w:p>
        </w:tc>
        <w:tc>
          <w:tcPr>
            <w:tcW w:type="dxa" w:w="2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ia_sk via PO → award_ia bridge</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MIN(ia_id) per award_id</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v_agency_per_inv</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prime_fact_payment_reconciliation</w:t>
            </w:r>
          </w:p>
        </w:tc>
        <w:tc>
          <w:tcPr>
            <w:tcW w:type="dxa" w:w="2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agency_sk per AAC</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MIN(agency_sk) per activity_address_cd</w:t>
            </w:r>
          </w:p>
        </w:tc>
      </w:tr>
    </w:tbl>
    <w:p>
      <w:pPr>
        <w:spacing w:before="100" w:after="0"/>
      </w:pPr>
      <w:r>
        <w:t xml:space="preserve"/>
      </w:r>
    </w:p>
    <w:p>
      <w:pPr>
        <w:pStyle w:val="Heading2"/>
        <w:spacing w:before="240" w:after="80"/>
      </w:pPr>
      <w:r>
        <w:rPr>
          <w:rFonts w:ascii="Arial" w:cs="Arial" w:eastAsia="Arial" w:hAnsi="Arial"/>
          <w:b/>
          <w:bCs/>
          <w:color w:val="1E5FA8"/>
          <w:sz w:val="26"/>
          <w:szCs w:val="26"/>
        </w:rPr>
        <w:t xml:space="preserve">3.2  Driver Gate Logic and Audit Trail (I-DP5-2)</w:t>
      </w:r>
    </w:p>
    <w:p>
      <w:pPr>
        <w:spacing w:before="60" w:after="60"/>
      </w:pPr>
      <w:r>
        <w:rPr>
          <w:rFonts w:ascii="Arial" w:cs="Arial" w:eastAsia="Arial" w:hAnsi="Arial"/>
          <w:sz w:val="22"/>
          <w:szCs w:val="22"/>
        </w:rPr>
        <w:t xml:space="preserve">The driver implements three distinct audit outcomes built in from first generation — not added as a retrofit as in DP2 and DP3. This matches the pattern established in DP4 and avoids the 'DRIVER_COMPLETE on a failed run' problem that required fixes in earlier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c>
          <w:tcPr>
            <w:tcW w:type="dxa" w:w="24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2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Driver Status</w:t>
            </w:r>
          </w:p>
        </w:tc>
        <w:tc>
          <w:tcPr>
            <w:tcW w:type="dxa" w:w="1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Audit Status</w:t>
            </w:r>
          </w:p>
        </w:tc>
        <w:tc>
          <w:tcPr>
            <w:tcW w:type="dxa" w:w="33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Audit Detail</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All dims succeeded, facts succeeded</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DRIVER_COMPLETE</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SUCCESS</w:t>
            </w:r>
          </w:p>
        </w:tc>
        <w:tc>
          <w:tcPr>
            <w:tcW w:type="dxa" w:w="33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Clean run — no bypasses</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force_fact=true used, facts succeeded</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DRIVER_WARNING</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WARNING</w:t>
            </w:r>
          </w:p>
        </w:tc>
        <w:tc>
          <w:tcPr>
            <w:tcW w:type="dxa" w:w="33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Lists bypassed dim names in audit row written before facts run</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Any notebook raised an exception</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DRIVER_FAILURE</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FAILED</w:t>
            </w:r>
          </w:p>
        </w:tc>
        <w:tc>
          <w:tcPr>
            <w:tcW w:type="dxa" w:w="33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Records failed step names</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Fact BLOCKED (dims failed, no override)</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DRIVER_FAILURE</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FAILED</w:t>
            </w:r>
          </w:p>
        </w:tc>
        <w:tc>
          <w:tcPr>
            <w:tcW w:type="dxa" w:w="33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Records block reason and override instruction</w:t>
            </w:r>
          </w:p>
        </w:tc>
      </w:tr>
    </w:tbl>
    <w:p>
      <w:pPr>
        <w:spacing w:before="80" w:after="0"/>
      </w:pPr>
      <w:r>
        <w:t xml:space="preserve"/>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The two fact notebooks share the same gate/bypass logic via a helper function run_fact_step(step_num, key) in the driver. This avoids copy-pasting the if/elif/else gate block twice and ensures both facts always receive the same treatment. The DRIVER_WARNING inline audit row is written once before the first fact step runs when force_fact is active — it covers both fact steps.</w:t>
      </w:r>
    </w:p>
    <w:p>
      <w:pPr>
        <w:spacing w:before="100" w:after="0"/>
      </w:pPr>
      <w:r>
        <w:t xml:space="preserve"/>
      </w:r>
    </w:p>
    <w:p>
      <w:pPr>
        <w:pStyle w:val="Heading2"/>
        <w:spacing w:before="240" w:after="80"/>
      </w:pPr>
      <w:r>
        <w:rPr>
          <w:rFonts w:ascii="Arial" w:cs="Arial" w:eastAsia="Arial" w:hAnsi="Arial"/>
          <w:b/>
          <w:bCs/>
          <w:color w:val="1E5FA8"/>
          <w:sz w:val="26"/>
          <w:szCs w:val="26"/>
        </w:rPr>
        <w:t xml:space="preserve">3.3  INSERT-Only Guard on Facts</w:t>
      </w:r>
    </w:p>
    <w:p>
      <w:pPr>
        <w:spacing w:before="60" w:after="60"/>
      </w:pPr>
      <w:r>
        <w:rPr>
          <w:rFonts w:ascii="Arial" w:cs="Arial" w:eastAsia="Arial" w:hAnsi="Arial"/>
          <w:sz w:val="22"/>
          <w:szCs w:val="22"/>
        </w:rPr>
        <w:t xml:space="preserve">Both fact notebooks abort cleanly at the top if rows already exist, printing a clear ABORTED message with the manual TRUNCATE instruction. This is the same INSERT-only guard established for DP1 fact_obligation_expenditure, DP2 fact_award_lifecycle, DP3 fact_fpds_transaction, and DP4 fact_accrual_income. Dims use TRUNCATE→INSERT and are fully idempotent; facts use INSERT-only to preserve history and prevent accidental re-runs.</w:t>
      </w:r>
    </w:p>
    <w:p>
      <w:pPr>
        <w:spacing w:before="100" w:after="0"/>
      </w:pPr>
      <w:r>
        <w:t xml:space="preserve"/>
      </w:r>
    </w:p>
    <w:p>
      <w:pPr>
        <w:pStyle w:val="Heading2"/>
        <w:spacing w:before="240" w:after="80"/>
      </w:pPr>
      <w:r>
        <w:rPr>
          <w:rFonts w:ascii="Arial" w:cs="Arial" w:eastAsia="Arial" w:hAnsi="Arial"/>
          <w:b/>
          <w:bCs/>
          <w:color w:val="1E5FA8"/>
          <w:sz w:val="26"/>
          <w:szCs w:val="26"/>
        </w:rPr>
        <w:t xml:space="preserve">3.4  Sentinel FK Convention</w:t>
      </w:r>
    </w:p>
    <w:p>
      <w:pPr>
        <w:spacing w:before="60" w:after="60"/>
      </w:pPr>
      <w:r>
        <w:rPr>
          <w:rFonts w:ascii="Arial" w:cs="Arial" w:eastAsia="Arial" w:hAnsi="Arial"/>
          <w:sz w:val="22"/>
          <w:szCs w:val="22"/>
        </w:rPr>
        <w:t xml:space="preserve">All unresolvable surrogate key lookups write -1 as the sentinel value via COALESCE(dim.sk, -1). Post-load queries report sentinel counts per FK per notebook. This is consistent with DP1–DP4. The only exception is line_item_sk on fact_payment_reconciliation, which is declared NOT NULL in the Gold DDL and therefore uses COALESCE(dli.line_item_sk, -1) to guarantee a value rather than NULL.</w:t>
      </w:r>
    </w:p>
    <w:p>
      <w:pPr>
        <w:spacing w:before="100" w:after="0"/>
      </w:pPr>
      <w:r>
        <w:t xml:space="preserve"/>
      </w:r>
    </w:p>
    <w:p>
      <w:pPr>
        <w:pStyle w:val="Heading2"/>
        <w:spacing w:before="240" w:after="80"/>
      </w:pPr>
      <w:r>
        <w:rPr>
          <w:rFonts w:ascii="Arial" w:cs="Arial" w:eastAsia="Arial" w:hAnsi="Arial"/>
          <w:b/>
          <w:bCs/>
          <w:color w:val="1E5FA8"/>
          <w:sz w:val="26"/>
          <w:szCs w:val="26"/>
        </w:rPr>
        <w:t xml:space="preserve">3.5  Silver Gap and Silver-Pending Annotation Standard (I-DP5-3)</w:t>
      </w:r>
    </w:p>
    <w:p>
      <w:pPr>
        <w:spacing w:before="60" w:after="60"/>
      </w:pPr>
      <w:r>
        <w:rPr>
          <w:rFonts w:ascii="Arial" w:cs="Arial" w:eastAsia="Arial" w:hAnsi="Arial"/>
          <w:sz w:val="22"/>
          <w:szCs w:val="22"/>
        </w:rPr>
        <w:t xml:space="preserve">All NULL columns carry a structured annotation in the notebook header and as inline comments in the SELECT. The annotation format follows the standard established in DP3 M1/M2:</w:t>
      </w:r>
    </w:p>
    <w:p>
      <w:pPr>
        <w:pStyle w:val="ListParagraph"/>
        <w:numPr>
          <w:ilvl w:val="0"/>
          <w:numId w:val="2"/>
        </w:numPr>
        <w:spacing w:before="40" w:after="40"/>
      </w:pPr>
      <w:r>
        <w:rPr>
          <w:rFonts w:ascii="Arial" w:cs="Arial" w:eastAsia="Arial" w:hAnsi="Arial"/>
          <w:sz w:val="22"/>
          <w:szCs w:val="22"/>
        </w:rPr>
        <w:t xml:space="preserve">Column name</w:t>
      </w:r>
    </w:p>
    <w:p>
      <w:pPr>
        <w:pStyle w:val="ListParagraph"/>
        <w:numPr>
          <w:ilvl w:val="0"/>
          <w:numId w:val="2"/>
        </w:numPr>
        <w:spacing w:before="40" w:after="40"/>
      </w:pPr>
      <w:r>
        <w:rPr>
          <w:rFonts w:ascii="Arial" w:cs="Arial" w:eastAsia="Arial" w:hAnsi="Arial"/>
          <w:sz w:val="22"/>
          <w:szCs w:val="22"/>
        </w:rPr>
        <w:t xml:space="preserve">Type: SILVER GAP (column exists in Gold DDL but no Silver source available) or SILVER-PENDING (source table not yet ingested)</w:t>
      </w:r>
    </w:p>
    <w:p>
      <w:pPr>
        <w:pStyle w:val="ListParagraph"/>
        <w:numPr>
          <w:ilvl w:val="0"/>
          <w:numId w:val="2"/>
        </w:numPr>
        <w:spacing w:before="40" w:after="40"/>
      </w:pPr>
      <w:r>
        <w:rPr>
          <w:rFonts w:ascii="Arial" w:cs="Arial" w:eastAsia="Arial" w:hAnsi="Arial"/>
          <w:sz w:val="22"/>
          <w:szCs w:val="22"/>
        </w:rPr>
        <w:t xml:space="preserve">Intended source table name</w:t>
      </w:r>
    </w:p>
    <w:p>
      <w:pPr>
        <w:pStyle w:val="ListParagraph"/>
        <w:numPr>
          <w:ilvl w:val="0"/>
          <w:numId w:val="2"/>
        </w:numPr>
        <w:spacing w:before="40" w:after="40"/>
      </w:pPr>
      <w:r>
        <w:rPr>
          <w:rFonts w:ascii="Arial" w:cs="Arial" w:eastAsia="Arial" w:hAnsi="Arial"/>
          <w:sz w:val="22"/>
          <w:szCs w:val="22"/>
        </w:rPr>
        <w:t xml:space="preserve">Ingest status</w:t>
      </w:r>
    </w:p>
    <w:p>
      <w:pPr>
        <w:pStyle w:val="ListParagraph"/>
        <w:numPr>
          <w:ilvl w:val="0"/>
          <w:numId w:val="2"/>
        </w:numPr>
        <w:spacing w:before="40" w:after="40"/>
      </w:pPr>
      <w:r>
        <w:rPr>
          <w:rFonts w:ascii="Arial" w:cs="Arial" w:eastAsia="Arial" w:hAnsi="Arial"/>
          <w:sz w:val="22"/>
          <w:szCs w:val="22"/>
        </w:rPr>
        <w:t xml:space="preserve">Regulatory reference where applicable</w:t>
      </w:r>
    </w:p>
    <w:p>
      <w:pPr>
        <w:spacing w:before="60" w:after="60"/>
      </w:pPr>
      <w:r>
        <w:rPr>
          <w:rFonts w:ascii="Arial" w:cs="Arial" w:eastAsia="Arial" w:hAnsi="Arial"/>
          <w:sz w:val="22"/>
          <w:szCs w:val="22"/>
        </w:rPr>
        <w:t xml:space="preserve">DP5 has five SILVER-PENDING columns (payment_amt, payment_date_sk, invoice_to_payment_days, is_prompt_payment_compliant, confirmed_dt) and four SILVER GAP columns (envelope_format, poc_name, poc_email on dim_transmittal_type; agreement_sk, billing_amt on fact_payment_reconciliation).</w:t>
      </w:r>
    </w:p>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4.  Improvement Decisions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200"/>
        <w:gridCol w:w="3260"/>
      </w:tblGrid>
      <w:tr>
        <w:tc>
          <w:tcPr>
            <w:tcW w:type="dxa" w:w="5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Ref</w:t>
            </w:r>
          </w:p>
        </w:tc>
        <w:tc>
          <w:tcPr>
            <w:tcW w:type="dxa" w:w="24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Applied In</w:t>
            </w:r>
          </w:p>
        </w:tc>
        <w:tc>
          <w:tcPr>
            <w:tcW w:type="dxa" w:w="3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What</w:t>
            </w:r>
          </w:p>
        </w:tc>
        <w:tc>
          <w:tcPr>
            <w:tcW w:type="dxa" w:w="32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Why</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I-DP5-1</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All 6 pipeline notebooks</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15 pre-aggregated temp views before every main INSERT</w:t>
            </w:r>
          </w:p>
        </w:tc>
        <w:tc>
          <w:tcPr>
            <w:tcW w:type="dxa" w:w="32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8"/>
                <w:szCs w:val="18"/>
              </w:rPr>
              <w:t xml:space="preserve">Prevents fan-out. Every multi-row aggregation that would inflate the INSERT grain is isolated in a named view first. Pattern inherited from DP1–DP4.</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I-DP5-2</w:t>
            </w:r>
          </w:p>
        </w:tc>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prime_dp5_driver</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DRIVER_WARNING on force_fact from first generation</w:t>
            </w:r>
          </w:p>
        </w:tc>
        <w:tc>
          <w:tcPr>
            <w:tcW w:type="dxa" w:w="32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8"/>
                <w:szCs w:val="18"/>
              </w:rPr>
              <w:t xml:space="preserve">DP2, DP3, and DP4 all required a retrofit fix for this. Built correctly from the start in DP5.</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I-DP5-3</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Both fact notebooks</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All SILVER GAP and SILVER-PENDING NULL columns annotated with source table and regulatory reference</w:t>
            </w:r>
          </w:p>
        </w:tc>
        <w:tc>
          <w:tcPr>
            <w:tcW w:type="dxa" w:w="32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8"/>
                <w:szCs w:val="18"/>
              </w:rPr>
              <w:t xml:space="preserve">Operator visibility. Surfaces what data is missing and why, so future Silver ingestion can be targeted.</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I-DP5-4</w:t>
            </w:r>
          </w:p>
        </w:tc>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prime_fact_payment_reconciliation</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line_item_sk = MIN(CLIN) per invoice; post-load multi-CLIN invoice count</w:t>
            </w:r>
          </w:p>
        </w:tc>
        <w:tc>
          <w:tcPr>
            <w:tcW w:type="dxa" w:w="32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8"/>
                <w:szCs w:val="18"/>
              </w:rPr>
              <w:t xml:space="preserve">The Gold DDL requires line_item_sk NOT NULL at invoice grain. MIN() is the deterministic primary CLIN. Post-load count reports how many invoices have secondary CLINs not represented.</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I-DP5-5</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prime_fact_transmission_event</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confirmed_amt proxy: billing_amount when accepted_status='Y', else NULL</w:t>
            </w:r>
          </w:p>
        </w:tc>
        <w:tc>
          <w:tcPr>
            <w:tcW w:type="dxa" w:w="32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8"/>
                <w:szCs w:val="18"/>
              </w:rPr>
              <w:t xml:space="preserve">No numeric confirmed amount exists in Silver; billing_response_info.accepted_status is Y/N only. This is the best computable approximation at prime time.</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I-DP5-6</w:t>
            </w:r>
          </w:p>
        </w:tc>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prime_dim_aac_envelope</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Pre-flight guard verifies dim_transmittal_type is populated</w:t>
            </w:r>
          </w:p>
        </w:tc>
        <w:tc>
          <w:tcPr>
            <w:tcW w:type="dxa" w:w="32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8"/>
                <w:szCs w:val="18"/>
              </w:rPr>
              <w:t xml:space="preserve">The suspension join keys on transmittal_type_cd. An empty type dim silently produces wrong is_suspended_flag values for all AAC rows.</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I-DP5-7</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prime_fact_payment_reconciliation</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Prompt Payment Act placeholder metric at post-load</w:t>
            </w:r>
          </w:p>
        </w:tc>
        <w:tc>
          <w:tcPr>
            <w:tcW w:type="dxa" w:w="32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8"/>
                <w:szCs w:val="18"/>
              </w:rPr>
              <w:t xml:space="preserve">Establishes the monitoring pattern on first prime so the metric activates immediately when payment data is ingested, without requiring a notebook edit.</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I-DP5-8</w:t>
            </w:r>
          </w:p>
        </w:tc>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prime_fact_payment_reconciliation</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agreement_sk asymmetry documented: sentinel -1 here vs resolvable in fact_transmission_event</w:t>
            </w:r>
          </w:p>
        </w:tc>
        <w:tc>
          <w:tcPr>
            <w:tcW w:type="dxa" w:w="32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8"/>
                <w:szCs w:val="18"/>
              </w:rPr>
              <w:t xml:space="preserve">Prevents confusion when consumers see agreement_sk = -1 in one fact and non-sentinel in the other. Documents the candidate CDC enrichment path explicitly.</w:t>
            </w:r>
          </w:p>
        </w:tc>
      </w:tr>
    </w:tbl>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5.  Silver Gaps and Pending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600"/>
        <w:gridCol w:w="1800"/>
        <w:gridCol w:w="560"/>
      </w:tblGrid>
      <w:tr>
        <w:tc>
          <w:tcPr>
            <w:tcW w:type="dxa" w:w="28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1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8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Needed</w:t>
            </w:r>
          </w:p>
        </w:tc>
        <w:tc>
          <w:tcPr>
            <w:tcW w:type="dxa" w:w="5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Regulatory Ref</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envelope_format</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tpp.dim_transmittal_type</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SILVER GAP</w:t>
            </w:r>
          </w:p>
        </w:tc>
        <w:tc>
          <w:tcPr>
            <w:tcW w:type="dxa" w:w="1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Per-type format code not stored in Silver; transmittal_envelope is per-AAC config</w:t>
            </w:r>
          </w:p>
        </w:tc>
        <w:tc>
          <w:tcPr>
            <w:tcW w:type="dxa" w:w="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8"/>
                <w:szCs w:val="18"/>
              </w:rPr>
              <w:t xml:space="preserve">—</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poc_name</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tpp.dim_transmittal_type</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SILVER GAP</w:t>
            </w:r>
          </w:p>
        </w:tc>
        <w:tc>
          <w:tcPr>
            <w:tcW w:type="dxa" w:w="1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transmittal_poc linked per-AAC; no per-type POC assignment in Silver</w:t>
            </w:r>
          </w:p>
        </w:tc>
        <w:tc>
          <w:tcPr>
            <w:tcW w:type="dxa" w:w="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8"/>
                <w:szCs w:val="18"/>
              </w:rPr>
              <w:t xml:space="preserve">—</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poc_email</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tpp.dim_transmittal_type</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SILVER GAP</w:t>
            </w:r>
          </w:p>
        </w:tc>
        <w:tc>
          <w:tcPr>
            <w:tcW w:type="dxa" w:w="1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Same as poc_name</w:t>
            </w:r>
          </w:p>
        </w:tc>
        <w:tc>
          <w:tcPr>
            <w:tcW w:type="dxa" w:w="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8"/>
                <w:szCs w:val="18"/>
              </w:rPr>
              <w:t xml:space="preserve">—</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confirmed_dt</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tpp.fact_transmission_event</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SILVER-PENDING</w:t>
            </w:r>
          </w:p>
        </w:tc>
        <w:tc>
          <w:tcPr>
            <w:tcW w:type="dxa" w:w="1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Pegasys/VITAP confirmation timestamp feed not ingested</w:t>
            </w:r>
          </w:p>
        </w:tc>
        <w:tc>
          <w:tcPr>
            <w:tcW w:type="dxa" w:w="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8"/>
                <w:szCs w:val="18"/>
              </w:rPr>
              <w:t xml:space="preserve">TFM Vol.I Pt.2 §4700</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agreement_sk</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tpp.fact_payment_reconciliation</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SILVER GAP</w:t>
            </w:r>
          </w:p>
        </w:tc>
        <w:tc>
          <w:tcPr>
            <w:tcW w:type="dxa" w:w="1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 confirmed join path from inv_summary to agreement in Silver</w:t>
            </w:r>
          </w:p>
        </w:tc>
        <w:tc>
          <w:tcPr>
            <w:tcW w:type="dxa" w:w="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8"/>
                <w:szCs w:val="18"/>
              </w:rPr>
              <w:t xml:space="preserve">—</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billing_amt</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tpp.fact_payment_reconciliation</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SILVER GAP</w:t>
            </w:r>
          </w:p>
        </w:tc>
        <w:tc>
          <w:tcPr>
            <w:tcW w:type="dxa" w:w="1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billing.billing_summary_id references billing_summary, not inv_summary</w:t>
            </w:r>
          </w:p>
        </w:tc>
        <w:tc>
          <w:tcPr>
            <w:tcW w:type="dxa" w:w="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8"/>
                <w:szCs w:val="18"/>
              </w:rPr>
              <w:t xml:space="preserve">—</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payment_amt</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tpp.fact_payment_reconciliation</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SILVER-PENDING</w:t>
            </w:r>
          </w:p>
        </w:tc>
        <w:tc>
          <w:tcPr>
            <w:tcW w:type="dxa" w:w="1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aasbs.payment / aasbs.ipac_transaction / aasbs.vitap_batch not ingested</w:t>
            </w:r>
          </w:p>
        </w:tc>
        <w:tc>
          <w:tcPr>
            <w:tcW w:type="dxa" w:w="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8"/>
                <w:szCs w:val="18"/>
              </w:rPr>
              <w:t xml:space="preserve">31 U.S.C. §3901</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payment_date_sk</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tpp.fact_payment_reconciliation</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SILVER-PENDING</w:t>
            </w:r>
          </w:p>
        </w:tc>
        <w:tc>
          <w:tcPr>
            <w:tcW w:type="dxa" w:w="1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Same sources as payment_amt</w:t>
            </w:r>
          </w:p>
        </w:tc>
        <w:tc>
          <w:tcPr>
            <w:tcW w:type="dxa" w:w="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8"/>
                <w:szCs w:val="18"/>
              </w:rPr>
              <w:t xml:space="preserve">31 U.S.C. §3901</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invoice_to_payment_days</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tpp.fact_payment_reconciliation</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SILVER-PENDING</w:t>
            </w:r>
          </w:p>
        </w:tc>
        <w:tc>
          <w:tcPr>
            <w:tcW w:type="dxa" w:w="1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Requires payment_date</w:t>
            </w:r>
          </w:p>
        </w:tc>
        <w:tc>
          <w:tcPr>
            <w:tcW w:type="dxa" w:w="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8"/>
                <w:szCs w:val="18"/>
              </w:rPr>
              <w:t xml:space="preserve">31 U.S.C. §3901(a)(1)</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is_prompt_payment_compliant</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tpp.fact_payment_reconciliation</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SILVER-PENDING</w:t>
            </w:r>
          </w:p>
        </w:tc>
        <w:tc>
          <w:tcPr>
            <w:tcW w:type="dxa" w:w="1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Requires invoice_to_payment_days</w:t>
            </w:r>
          </w:p>
        </w:tc>
        <w:tc>
          <w:tcPr>
            <w:tcW w:type="dxa" w:w="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8"/>
                <w:szCs w:val="18"/>
              </w:rPr>
              <w:t xml:space="preserve">31 U.S.C. §3901</w:t>
            </w:r>
          </w:p>
        </w:tc>
      </w:tr>
    </w:tbl>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6.  Post-load Quality Checks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Notebook</w:t>
            </w:r>
          </w:p>
        </w:tc>
        <w:tc>
          <w:tcPr>
            <w:tcW w:type="dxa" w:w="4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Check</w:t>
            </w:r>
          </w:p>
        </w:tc>
        <w:tc>
          <w:tcPr>
            <w:tcW w:type="dxa" w:w="25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On Failure</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prime_dim_transmittal_type</w:t>
            </w:r>
          </w:p>
        </w:tc>
        <w:tc>
          <w:tcPr>
            <w:tcW w:type="dxa" w:w="4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Type distribution printed; envelope_format and poc NULL assertions</w:t>
            </w:r>
          </w:p>
        </w:tc>
        <w:tc>
          <w:tcPr>
            <w:tcW w:type="dxa" w:w="2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ASSERT on non-NULL Silver gap fields</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prime_dim_aac_envelope</w:t>
            </w:r>
          </w:p>
        </w:tc>
        <w:tc>
          <w:tcPr>
            <w:tcW w:type="dxa" w:w="4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Row count parity vs distinct AAC count; POC coverage; suspension count</w:t>
            </w:r>
          </w:p>
        </w:tc>
        <w:tc>
          <w:tcPr>
            <w:tcW w:type="dxa" w:w="2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WARNING on mismatch</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prime_dim_agreement</w:t>
            </w:r>
          </w:p>
        </w:tc>
        <w:tc>
          <w:tcPr>
            <w:tcW w:type="dxa" w:w="4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Grand total agreement amount; last_transmitted_dt coverage</w:t>
            </w:r>
          </w:p>
        </w:tc>
        <w:tc>
          <w:tcPr>
            <w:tcW w:type="dxa" w:w="2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Informational</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prime_dim_receiving_report</w:t>
            </w:r>
          </w:p>
        </w:tc>
        <w:tc>
          <w:tcPr>
            <w:tcW w:type="dxa" w:w="4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Financial totals (total_rr, total_mdl); acceptance coverage</w:t>
            </w:r>
          </w:p>
        </w:tc>
        <w:tc>
          <w:tcPr>
            <w:tcW w:type="dxa" w:w="2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Informational</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prime_fact_transmission_event</w:t>
            </w:r>
          </w:p>
        </w:tc>
        <w:tc>
          <w:tcPr>
            <w:tcW w:type="dxa" w:w="4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Row count parity; sentinel FK report; financial totals; confirmed_dt=0 assertion; confirmed_amt proxy coverage</w:t>
            </w:r>
          </w:p>
        </w:tc>
        <w:tc>
          <w:tcPr>
            <w:tcW w:type="dxa" w:w="2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ASSERT on confirmed_dt non-NULL</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prime_fact_payment_reconciliation</w:t>
            </w:r>
          </w:p>
        </w:tc>
        <w:tc>
          <w:tcPr>
            <w:tcW w:type="dxa" w:w="4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Row count parity; sentinel FK report; multi-CLIN invoice count (I-DP5-4); Prompt Payment Act placeholder (I-DP5-7); payment_amt=0 assertion</w:t>
            </w:r>
          </w:p>
        </w:tc>
        <w:tc>
          <w:tcPr>
            <w:tcW w:type="dxa" w:w="2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ASSERT on payment_amt non-NULL</w:t>
            </w:r>
          </w:p>
        </w:tc>
      </w:tr>
    </w:tbl>
    <w:p>
      <w:pPr>
        <w:spacing w:before="200" w:after="0"/>
      </w:pPr>
      <w:r>
        <w:t xml:space="preserve"/>
      </w:r>
    </w:p>
    <w:p>
      <w:pPr>
        <w:pStyle w:val="Heading1"/>
        <w:spacing w:before="340" w:after="120"/>
      </w:pPr>
      <w:r>
        <w:rPr>
          <w:rFonts w:ascii="Arial" w:cs="Arial" w:eastAsia="Arial" w:hAnsi="Arial"/>
          <w:b/>
          <w:bCs/>
          <w:color w:val="1A2744"/>
          <w:sz w:val="32"/>
          <w:szCs w:val="32"/>
        </w:rPr>
        <w:t xml:space="preserve">7.  Outstanding Items for CDC and Silver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2000"/>
        <w:gridCol w:w="1560"/>
      </w:tblGrid>
      <w:tr>
        <w:tc>
          <w:tcPr>
            <w:tcW w:type="dxa" w:w="58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2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15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5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Ingest aasbs.payment / aasbs.vitap_batch / aasbs.ipac_transaction into Silver to populate payment_amt, payment_date_sk, invoice_to_payment_days, is_prompt_payment_compliant. Required for Prompt Payment Act (31 U.S.C. §3901) monitoring.</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Silver ingest team</w:t>
            </w:r>
          </w:p>
        </w:tc>
        <w:tc>
          <w:tcPr>
            <w:tcW w:type="dxa" w:w="1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HIGH — regulatory requirement</w:t>
            </w:r>
          </w:p>
        </w:tc>
      </w:tr>
      <w:tr>
        <w:tc>
          <w:tcPr>
            <w:tcW w:type="dxa" w:w="5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Ingest Pegasys/VITAP transmission confirmation feed to populate confirmed_dt on fact_transmission_event. Required for TFM Vol.I Pt.2 §4700 compliance tracking.</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Silver ingest team</w:t>
            </w:r>
          </w:p>
        </w:tc>
        <w:tc>
          <w:tcPr>
            <w:tcW w:type="dxa" w:w="1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HIGH</w:t>
            </w:r>
          </w:p>
        </w:tc>
      </w:tr>
      <w:tr>
        <w:tc>
          <w:tcPr>
            <w:tcW w:type="dxa" w:w="5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Resolve agreement_sk on fact_payment_reconciliation. Candidate path: inv_summary.invoice_id → aasbs_invoice.award_id → billing bridge → agreement.agreement_num. Requires source system documentation to confirm.</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CDC data engineer</w:t>
            </w:r>
          </w:p>
        </w:tc>
        <w:tc>
          <w:tcPr>
            <w:tcW w:type="dxa" w:w="1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MEDIUM</w:t>
            </w:r>
          </w:p>
        </w:tc>
      </w:tr>
      <w:tr>
        <w:tc>
          <w:tcPr>
            <w:tcW w:type="dxa" w:w="5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Resolve billing_amt on fact_payment_reconciliation. billing.billing_summary_id references billing_summary not inv_summary; source system documentation needed for the correct bridge column.</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CDC data engineer</w:t>
            </w:r>
          </w:p>
        </w:tc>
        <w:tc>
          <w:tcPr>
            <w:tcW w:type="dxa" w:w="1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MEDIUM</w:t>
            </w:r>
          </w:p>
        </w:tc>
      </w:tr>
      <w:tr>
        <w:tc>
          <w:tcPr>
            <w:tcW w:type="dxa" w:w="5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Replace transmittal_stage_cd proxy (billing_summary.transmittal_status_cd) with proper lu_transmittal_stage decode once the stage lookup is confirmed against production values.</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CDC data engineer</w:t>
            </w:r>
          </w:p>
        </w:tc>
        <w:tc>
          <w:tcPr>
            <w:tcW w:type="dxa" w:w="1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LOW</w:t>
            </w:r>
          </w:p>
        </w:tc>
      </w:tr>
      <w:tr>
        <w:tc>
          <w:tcPr>
            <w:tcW w:type="dxa" w:w="5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Replace last_transmission_dt proxy on dim_aac_envelope (MAX billing_summary.generated_dt) with transmittal.sent_dt once the transmittal-to-AAC enrichment path is established in CDC.</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CDC data engineer</w:t>
            </w:r>
          </w:p>
        </w:tc>
        <w:tc>
          <w:tcPr>
            <w:tcW w:type="dxa" w:w="1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LOW</w:t>
            </w:r>
          </w:p>
        </w:tc>
      </w:tr>
      <w:tr>
        <w:tc>
          <w:tcPr>
            <w:tcW w:type="dxa" w:w="5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Investigate per-type envelope_format and poc_name/poc_email gaps. Confirm whether a type-level format code or POC assignment exists in any upstream source system not yet ingested.</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Silver ingest team</w:t>
            </w:r>
          </w:p>
        </w:tc>
        <w:tc>
          <w:tcPr>
            <w:tcW w:type="dxa" w:w="1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LOW</w:t>
            </w:r>
          </w:p>
        </w:tc>
      </w:tr>
    </w:tbl>
    <w:sectPr>
      <w:headerReference w:type="default" r:id="rId6"/>
      <w:footerReference w:type="default" r:id="rId7"/>
      <w:pgSz w:w="12240" w:h="15840" w:orient="portrait"/>
      <w:pgMar w:top="1080" w:right="960" w:bottom="108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3EF" w:sz="4" w:space="2"/>
      </w:pBdr>
      <w:jc w:val="right"/>
    </w:pPr>
    <w:r>
      <w:rPr>
        <w:rFonts w:ascii="Arial" w:cs="Arial" w:eastAsia="Arial" w:hAnsi="Arial"/>
        <w:color w:val="6B7A99"/>
        <w:sz w:val="18"/>
        <w:szCs w:val="18"/>
      </w:rPr>
      <w:t xml:space="preserve">ASSIST OCFO  ·  Confidential  ·  26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2"/>
      </w:pBdr>
    </w:pPr>
    <w:r>
      <w:rPr>
        <w:rFonts w:ascii="Arial" w:cs="Arial" w:eastAsia="Arial" w:hAnsi="Arial"/>
        <w:color w:val="6B7A99"/>
        <w:sz w:val="18"/>
        <w:szCs w:val="18"/>
      </w:rPr>
      <w:t xml:space="preserve">ASSIST OCFO  ·  DP5 Treasury Transmission &amp; Payment Pipeline  ·  Build Narrative &amp; Decision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20"/>
      <w:outlineLvl w:val="0"/>
    </w:pPr>
    <w:rPr>
      <w:rFonts w:ascii="Arial" w:cs="Arial" w:eastAsia="Arial" w:hAnsi="Arial"/>
      <w:b/>
      <w:bCs/>
      <w:color w:val="1A274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E5FA8"/>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A27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2026-03-27T18:35:17.085Z</dcterms:created>
  <dcterms:modified xsi:type="dcterms:W3CDTF">2026-03-27T18:35:17.086Z</dcterms:modified>
</cp:coreProperties>
</file>

<file path=docProps/custom.xml><?xml version="1.0" encoding="utf-8"?>
<Properties xmlns="http://schemas.openxmlformats.org/officeDocument/2006/custom-properties" xmlns:vt="http://schemas.openxmlformats.org/officeDocument/2006/docPropsVTypes"/>
</file>