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C9A227"/>
          <w:sz w:val="28"/>
          <w:szCs w:val="28"/>
        </w:rPr>
        <w:t xml:space="preserve">ASSIST OCFO</w:t>
      </w:r>
    </w:p>
    <w:p>
      <w:pPr>
        <w:spacing w:before="0" w:after="40"/>
      </w:pPr>
      <w:r>
        <w:rPr>
          <w:rFonts w:ascii="Arial" w:cs="Arial" w:eastAsia="Arial" w:hAnsi="Arial"/>
          <w:b/>
          <w:bCs/>
          <w:color w:val="1A2744"/>
          <w:sz w:val="48"/>
          <w:szCs w:val="48"/>
        </w:rPr>
        <w:t xml:space="preserve">DP6 — CLIN Pricing &amp; Service Charge Catalog</w:t>
      </w:r>
    </w:p>
    <w:p>
      <w:pPr>
        <w:spacing w:before="0" w:after="40"/>
      </w:pPr>
      <w:r>
        <w:rPr>
          <w:rFonts w:ascii="Arial" w:cs="Arial" w:eastAsia="Arial" w:hAnsi="Arial"/>
          <w:color w:val="1E5FA8"/>
          <w:sz w:val="30"/>
          <w:szCs w:val="30"/>
        </w:rPr>
        <w:t xml:space="preserve">Build Narrative &amp; Decision Log</w:t>
      </w:r>
    </w:p>
    <w:p>
      <w:pPr>
        <w:spacing w:before="0" w:after="20"/>
      </w:pPr>
      <w:r>
        <w:rPr>
          <w:rFonts w:ascii="Arial" w:cs="Arial" w:eastAsia="Arial" w:hAnsi="Arial"/>
          <w:b/>
          <w:bCs/>
          <w:color w:val="C9770A"/>
          <w:sz w:val="22"/>
          <w:szCs w:val="22"/>
        </w:rPr>
        <w:t xml:space="preserve">26 March 2026  ·  Version 1.0  ·  Initial Prime Generation</w:t>
      </w:r>
    </w:p>
    <w:p>
      <w:pPr>
        <w:pBdr>
          <w:bottom w:val="single" w:color="DCE3EF" w:sz="4" w:space="2"/>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1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Purpose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Records every notebook built, every source-to-target mapping decision, and every design choice made during the DP6 initial prime generation.</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Schema</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assist_catalog.psc</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Notebooks</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7  (5 pipeline + 1 driver + 1 utils)</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Total lines</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1,859 lines of annotated Python / Spark SQL</w:t>
            </w:r>
          </w:p>
        </w:tc>
      </w:tr>
      <w:tr>
        <w:tc>
          <w:tcPr>
            <w:tcW w:type="dxa" w:w="32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Archive</w:t>
            </w:r>
          </w:p>
        </w:tc>
        <w:tc>
          <w:tcPr>
            <w:tcW w:type="dxa" w:w="61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dp6_pipelines_prime.zip  (90 KB, integrity verified)</w:t>
            </w:r>
          </w:p>
        </w:tc>
      </w:tr>
      <w:tr>
        <w:tc>
          <w:tcPr>
            <w:tcW w:type="dxa" w:w="32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Date</w:t>
            </w:r>
          </w:p>
        </w:tc>
        <w:tc>
          <w:tcPr>
            <w:tcW w:type="dxa" w:w="61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26 March 2026</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1.  What Was Built</w:t>
      </w:r>
    </w:p>
    <w:p>
      <w:pPr>
        <w:spacing w:before="60" w:after="60"/>
      </w:pPr>
      <w:r>
        <w:rPr>
          <w:rFonts w:ascii="Arial" w:cs="Arial" w:eastAsia="Arial" w:hAnsi="Arial"/>
          <w:sz w:val="22"/>
          <w:szCs w:val="22"/>
        </w:rPr>
        <w:t xml:space="preserve">DP6 was generated from scratch — no prior DP6 notebooks existed. All five pipeline notebooks and one driver were generated in a single session incorporating all seven improvement recommendations before any code was written.</w:t>
      </w:r>
    </w:p>
    <w:p>
      <w:pPr>
        <w:pStyle w:val="Heading2"/>
        <w:spacing w:before="260" w:after="80"/>
      </w:pPr>
      <w:r>
        <w:rPr>
          <w:rFonts w:ascii="Arial" w:cs="Arial" w:eastAsia="Arial" w:hAnsi="Arial"/>
          <w:b/>
          <w:bCs/>
          <w:color w:val="1E5FA8"/>
          <w:sz w:val="26"/>
          <w:szCs w:val="26"/>
        </w:rPr>
        <w:t xml:space="preserve">1.1  Notebook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700"/>
        <w:gridCol w:w="54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27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Notebook</w:t>
            </w:r>
          </w:p>
        </w:tc>
        <w:tc>
          <w:tcPr>
            <w:tcW w:type="dxa" w:w="7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Lines</w:t>
            </w:r>
          </w:p>
        </w:tc>
        <w:tc>
          <w:tcPr>
            <w:tcW w:type="dxa" w:w="54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Features</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w:t>
            </w:r>
          </w:p>
        </w:tc>
        <w:tc>
          <w:tcPr>
            <w:tcW w:type="dxa" w:w="2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prime_dim_cost_rate_type</w:t>
            </w:r>
          </w:p>
        </w:tc>
        <w:tc>
          <w:tcPr>
            <w:tcW w:type="dxa" w:w="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148</w:t>
            </w:r>
          </w:p>
        </w:tc>
        <w:tc>
          <w:tcPr>
            <w:tcW w:type="dxa" w:w="54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is_actual_flag CASE expression + post-load distribution (I-DP6-4)</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2</w:t>
            </w:r>
          </w:p>
        </w:tc>
        <w:tc>
          <w:tcPr>
            <w:tcW w:type="dxa" w:w="2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prime_dim_clin_subtype</w:t>
            </w:r>
          </w:p>
        </w:tc>
        <w:tc>
          <w:tcPr>
            <w:tcW w:type="dxa" w:w="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330</w:t>
            </w:r>
          </w:p>
        </w:tc>
        <w:tc>
          <w:tcPr>
            <w:tcW w:type="dxa" w:w="5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UNION ALL five subtype branches with subtype-specific NULL annotations (I-DP6-1)</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w:t>
            </w:r>
          </w:p>
        </w:tc>
        <w:tc>
          <w:tcPr>
            <w:tcW w:type="dxa" w:w="2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prime_dim_billing_period</w:t>
            </w:r>
          </w:p>
        </w:tc>
        <w:tc>
          <w:tcPr>
            <w:tcW w:type="dxa" w:w="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223</w:t>
            </w:r>
          </w:p>
        </w:tc>
        <w:tc>
          <w:tcPr>
            <w:tcW w:type="dxa" w:w="54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3-hop date-bounded invoiced_amt pre-aggregation (I-DP6-3)</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4</w:t>
            </w:r>
          </w:p>
        </w:tc>
        <w:tc>
          <w:tcPr>
            <w:tcW w:type="dxa" w:w="2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prime_fact_clin_pricing</w:t>
            </w:r>
          </w:p>
        </w:tc>
        <w:tc>
          <w:tcPr>
            <w:tcW w:type="dxa" w:w="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411</w:t>
            </w:r>
          </w:p>
        </w:tc>
        <w:tc>
          <w:tcPr>
            <w:tcW w:type="dxa" w:w="5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line_item × LOA grain with v_loa_per_li expansion + Silver-pending (I-DP6-2/5)</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5</w:t>
            </w:r>
          </w:p>
        </w:tc>
        <w:tc>
          <w:tcPr>
            <w:tcW w:type="dxa" w:w="2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prime_fact_service_charge_schedule</w:t>
            </w:r>
          </w:p>
        </w:tc>
        <w:tc>
          <w:tcPr>
            <w:tcW w:type="dxa" w:w="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358</w:t>
            </w:r>
          </w:p>
        </w:tc>
        <w:tc>
          <w:tcPr>
            <w:tcW w:type="dxa" w:w="54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on_schedule_flag FAR 52.232-7 metric + distribution report (I-DP6-7)</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6</w:t>
            </w:r>
          </w:p>
        </w:tc>
        <w:tc>
          <w:tcPr>
            <w:tcW w:type="dxa" w:w="2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prime_dp6_driver</w:t>
            </w:r>
          </w:p>
        </w:tc>
        <w:tc>
          <w:tcPr>
            <w:tcW w:type="dxa" w:w="7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237</w:t>
            </w:r>
          </w:p>
        </w:tc>
        <w:tc>
          <w:tcPr>
            <w:tcW w:type="dxa" w:w="5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Three-outcome audit trail built in (I-DP6-6)</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t>
            </w:r>
          </w:p>
        </w:tc>
        <w:tc>
          <w:tcPr>
            <w:tcW w:type="dxa" w:w="2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pipeline_utils</w:t>
            </w:r>
          </w:p>
        </w:tc>
        <w:tc>
          <w:tcPr>
            <w:tcW w:type="dxa" w:w="7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152</w:t>
            </w:r>
          </w:p>
        </w:tc>
        <w:tc>
          <w:tcPr>
            <w:tcW w:type="dxa" w:w="546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Copied from DP5</w:t>
            </w:r>
          </w:p>
        </w:tc>
      </w:tr>
    </w:tbl>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2.  Source-to-Target Decisions by Notebook</w:t>
      </w:r>
    </w:p>
    <w:p>
      <w:pPr>
        <w:pStyle w:val="Heading2"/>
        <w:spacing w:before="260" w:after="80"/>
      </w:pPr>
      <w:r>
        <w:rPr>
          <w:rFonts w:ascii="Arial" w:cs="Arial" w:eastAsia="Arial" w:hAnsi="Arial"/>
          <w:b/>
          <w:bCs/>
          <w:color w:val="1E5FA8"/>
          <w:sz w:val="26"/>
          <w:szCs w:val="26"/>
        </w:rPr>
        <w:t xml:space="preserve">2.1  prime_dim_cost_rate_type</w:t>
      </w:r>
    </w:p>
    <w:p>
      <w:pPr>
        <w:spacing w:before="60" w:after="60"/>
      </w:pPr>
      <w:r>
        <w:rPr>
          <w:rFonts w:ascii="Arial" w:cs="Arial" w:eastAsia="Arial" w:hAnsi="Arial"/>
          <w:sz w:val="22"/>
          <w:szCs w:val="22"/>
        </w:rPr>
        <w:t xml:space="preserve">Single source: silver_aasbs_lu_cost_rate_type. Straightforward reference load with one derived field.</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is_actual_flag uses CASE WHEN UPPER(cd) IN ('ACTUAL','ACT','ACTUAL_RATE','ACTUALS') THEN TRUE ELSE FALSE. The exact code values in lu_cost_rate_type are environment-specific. A full distribution print at post-load (IMPROVEMENT I-DP6-4) allows operators to verify the derivation and add additional codes if needed.</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2.2  prime_dim_clin_subtype</w:t>
      </w:r>
    </w:p>
    <w:p>
      <w:pPr>
        <w:spacing w:before="60" w:after="60"/>
      </w:pPr>
      <w:r>
        <w:rPr>
          <w:rFonts w:ascii="Arial" w:cs="Arial" w:eastAsia="Arial" w:hAnsi="Arial"/>
          <w:sz w:val="22"/>
          <w:szCs w:val="22"/>
        </w:rPr>
        <w:t xml:space="preserve">The most structurally complex dim in DP6. Five Silver subtype tables (li_deliverable, li_sc_labor, li_sc_fixed_fee, li_sc_travel, li_award_fee) each hold different fields for their CLIN type. They are linked to line_item via five mutually exclusive FK columns (li_deliverable_id, li_sc_labor_id, etc.).</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UNION ALL design (IMPROVEMENT I-DP6-1): a single wide-table JOIN approach would require all subtype tables in the FROM clause with LEFT JOINs, producing 80% NULL columns per row with no clin_subtype_cd natural key. UNION ALL keeps each branch clean, self-documenting, and annotated.</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proc_phase_cd, project_num: only on li_sc_labor, li_sc_fixed_fee, li_sc_travel. NULL for DELIVERABLE and AWARD_FEE by design (not a data gap — those subtypes have no concept of procurement phase or project number).</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is_credit_flag and act_num: from service_charge via line_item.service_charge_id. Only SC-type CLINs have a non-null service_charge_id; DELIVERABLE and AWARD_FEE CLINs produce NULL here by design.</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severability_type_cd: present on four subtypes but NOT on li_award_fee in the Silver DDL. Award fee CLINs produce NULL — confirmed Silver column absence, not a gap.</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psc_cd and contract_type_cd: DELIVERABLE CLINs only. These fields capture the product/service classification (FAR 4.606(a)(20)) and the FAR Part 16 contract type. Service charge CLINs do not carry PSC or contract type independently of the parent delivery CLIN.</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Post-load uniqueness check: a duplicate line_item_id in dim_clin_subtype would indicate a CLIN has multiple subtype FKs set, which violates the ASSIST data model. The check reports this as a WARNING for investigation.</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2.3  prime_dim_billing_period</w:t>
      </w:r>
    </w:p>
    <w:p>
      <w:pPr>
        <w:spacing w:before="60" w:after="60"/>
      </w:pPr>
      <w:r>
        <w:rPr>
          <w:rFonts w:ascii="Arial" w:cs="Arial" w:eastAsia="Arial" w:hAnsi="Arial"/>
          <w:sz w:val="22"/>
          <w:szCs w:val="22"/>
        </w:rPr>
        <w:t xml:space="preserve">Source grain: service_charge_schedule. The most complex aggregation in DP6 is invoiced_amt.</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invoiced_amt has no direct Silver column on service_charge_schedule. The only available derivation path is: schedule.line_item_id → line_item_accepted.line_item_id (bridge) → invoice_item.cost_line_item_accepted_id → SUM(invoice_item.invoice_item_amt). A date-boundary filter is required to constrain invoice items to the schedule period: invoice_item_begin_dt &gt;= service_start_dt AND invoice_item_end_dt &lt;= service_end_dt. IMPROVEMENT I-DP6-3 pre-aggregates this in v_invoiced_per_schedule.</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MAX(line_item_accepted.id) per line_item_id selects the most recently created accepted instance, which represents the current operative CLIN acceptance. This is the same pattern used by DP5 (fact_payment_reconciliation) and is consistent across all DP6 notebooks.</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billing_period_label: YYYY-Mmm format (e.g. '2025-M03') derived from service_start_dt. NULL when service_start_dt is NULL. This format aligns with accrual_period labels in DP4.</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variance_pct uses NULLIF(scheduled_amt, 0) to prevent division-by-zero for zero-scheduled periods. These NULL-variance rows are reported separately in the post-load check so operators know how many periods have no scheduled amount baseline.</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2.4  prime_fact_clin_pricing</w:t>
      </w:r>
    </w:p>
    <w:p>
      <w:pPr>
        <w:spacing w:before="60" w:after="60"/>
      </w:pPr>
      <w:r>
        <w:rPr>
          <w:rFonts w:ascii="Arial" w:cs="Arial" w:eastAsia="Arial" w:hAnsi="Arial"/>
          <w:sz w:val="22"/>
          <w:szCs w:val="22"/>
        </w:rPr>
        <w:t xml:space="preserve">The grain decision for this fact is the most significant in DP6.</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GRAIN: line_item × LOA (IMPROVEMENT I-DP6-2). The Gold DDL includes both loa_burn_order and loa_sk, which confirms the designed grain is not just per CLIN. A CLIN funded by N LOAs must produce N rows — one per LOA. v_loa_per_li expands: line_item → line_item_accepted → loa_ledger to produce (line_item_id, loa_id) pairs. ROW_NUMBER() OVER (PARTITION BY line_item_id ORDER BY MIN(loa_ledger.id) ASC) assigns a deterministic burn order since loa_ledger has no explicit priority column.</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ia_sk resolution: line_item.parent_ia_id is a direct confirmed FK in the Silver DDL. This is the simplest and most reliable path — no intermediate joins required. Contrast with DP3/DP4 which had to use the loa_ledger or award_ia bridge because their source tables lacked a direct ia_id FK.</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planned_amt COALESCE: li_sc_labor.planned_amt, li_sc_fixed_fee.planned_amt, li_sc_travel.planned_amt, then line_item.line_item_total_amt as the final fallback. At most one of the first three will be non-null per CLIN (subtype FKs are mutually exclusive). The fallback to line_item_total_amt covers DELIVERABLE and AWARD_FEE CLINs.</w:t>
      </w:r>
    </w:p>
    <w:p>
      <w:pPr>
        <w:pBdr>
          <w:left w:val="single" w:color="C9770A" w:sz="12" w:space="4"/>
        </w:pBdr>
        <w:spacing w:before="80" w:after="80"/>
        <w:ind w:left="280"/>
      </w:pPr>
      <w:r>
        <w:rPr>
          <w:rFonts w:ascii="Arial" w:cs="Arial" w:eastAsia="Arial" w:hAnsi="Arial"/>
          <w:b/>
          <w:bCs/>
          <w:color w:val="C9770A"/>
          <w:sz w:val="20"/>
          <w:szCs w:val="20"/>
        </w:rPr>
        <w:t xml:space="preserve">SILVER-PENDING: </w:t>
      </w:r>
      <w:r>
        <w:rPr>
          <w:rFonts w:ascii="Arial" w:cs="Arial" w:eastAsia="Arial" w:hAnsi="Arial"/>
          <w:i/>
          <w:iCs/>
          <w:color w:val="333333"/>
          <w:sz w:val="20"/>
          <w:szCs w:val="20"/>
        </w:rPr>
        <w:t xml:space="preserve">planned_hours, planned_rate, award_fee_amt, award_fee_surcharge_rate, actual_hours: all NULL on prime. Three Silver tables not yet ingested: aasbs.service_charge_labor_cat (planned/actual labour hours and rates), aasbs.award_fee_plan (award fee ceiling), aasbs.award_fee_eval (award fee evaluation rate). Each annotated with source table, ingest status, and FAR reference. Post-load assertion verifies planned_hours remains NULL.</w:t>
      </w:r>
    </w:p>
    <w:p>
      <w:pPr>
        <w:spacing w:before="100" w:after="0"/>
      </w:pPr>
      <w:r>
        <w:t xml:space="preserve"/>
      </w:r>
    </w:p>
    <w:p>
      <w:pPr>
        <w:pStyle w:val="Heading2"/>
        <w:spacing w:before="260" w:after="80"/>
      </w:pPr>
      <w:r>
        <w:rPr>
          <w:rFonts w:ascii="Arial" w:cs="Arial" w:eastAsia="Arial" w:hAnsi="Arial"/>
          <w:b/>
          <w:bCs/>
          <w:color w:val="1E5FA8"/>
          <w:sz w:val="26"/>
          <w:szCs w:val="26"/>
        </w:rPr>
        <w:t xml:space="preserve">2.5  prime_fact_service_charge_schedule</w:t>
      </w:r>
    </w:p>
    <w:p>
      <w:pPr>
        <w:spacing w:before="60" w:after="60"/>
      </w:pPr>
      <w:r>
        <w:rPr>
          <w:rFonts w:ascii="Arial" w:cs="Arial" w:eastAsia="Arial" w:hAnsi="Arial"/>
          <w:sz w:val="22"/>
          <w:szCs w:val="22"/>
        </w:rPr>
        <w:t xml:space="preserve">Grain: service_charge_schedule.id (one billing period per schedule record).</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invoiced_amt and accepted_amt: same date-bounded aggregation as dim_billing_period (v_inv_per_schedule). accepted_amt = invoiced_amt on prime — this is an explicit proxy since no separate acceptance status flag exists on invoice_item in Silver. Annotated as PROXY; CDC will refine when acceptance data is available.</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on_schedule_flag (IMPROVEMENT I-DP6-7): ABS(invoiced - scheduled) / scheduled &lt;= 0.10. The ±10% tolerance is the standard threshold for FAR 52.232-7 T&amp;M billing schedule health assessment. NULL when scheduled_amt = 0 (cannot compute percentage variance). Post-load prints: on-schedule count, off-schedule count, zero-scheduled (excluded from metric), and percentage breakdowns. If any schedules are off-schedule, a WARNING is printed with the percentage for CFO review.</w:t>
      </w:r>
    </w:p>
    <w:p>
      <w:pPr>
        <w:pBdr>
          <w:left w:val="single" w:color="1A2744" w:sz="12" w:space="4"/>
        </w:pBdr>
        <w:spacing w:before="80" w:after="80"/>
        <w:ind w:left="280"/>
      </w:pPr>
      <w:r>
        <w:rPr>
          <w:rFonts w:ascii="Arial" w:cs="Arial" w:eastAsia="Arial" w:hAnsi="Arial"/>
          <w:b/>
          <w:bCs/>
          <w:color w:val="1A2744"/>
          <w:sz w:val="20"/>
          <w:szCs w:val="20"/>
        </w:rPr>
        <w:t xml:space="preserve">DECISION: </w:t>
      </w:r>
      <w:r>
        <w:rPr>
          <w:rFonts w:ascii="Arial" w:cs="Arial" w:eastAsia="Arial" w:hAnsi="Arial"/>
          <w:i/>
          <w:iCs/>
          <w:color w:val="333333"/>
          <w:sz w:val="20"/>
          <w:szCs w:val="20"/>
        </w:rPr>
        <w:t xml:space="preserve">travel_voucher_count and travel_voucher_amt: resolved only for SC_TRAVEL CLINs (line_item.li_sc_travel_id IS NOT NULL filter). For all other CLIN subtypes these are 0 by design — not a data quality issue.</w:t>
      </w:r>
    </w:p>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3.  Cross-Notebook Design Decisions</w:t>
      </w:r>
    </w:p>
    <w:p>
      <w:pPr>
        <w:pStyle w:val="Heading2"/>
        <w:spacing w:before="260" w:after="80"/>
      </w:pPr>
      <w:r>
        <w:rPr>
          <w:rFonts w:ascii="Arial" w:cs="Arial" w:eastAsia="Arial" w:hAnsi="Arial"/>
          <w:b/>
          <w:bCs/>
          <w:color w:val="1E5FA8"/>
          <w:sz w:val="26"/>
          <w:szCs w:val="26"/>
        </w:rPr>
        <w:t xml:space="preserve">3.1  Shared line_item_accepted bridge pattern</w:t>
      </w:r>
    </w:p>
    <w:p>
      <w:pPr>
        <w:spacing w:before="60" w:after="60"/>
      </w:pPr>
      <w:r>
        <w:rPr>
          <w:rFonts w:ascii="Arial" w:cs="Arial" w:eastAsia="Arial" w:hAnsi="Arial"/>
          <w:sz w:val="22"/>
          <w:szCs w:val="22"/>
        </w:rPr>
        <w:t xml:space="preserve">Both facts use MAX(line_item_accepted.id) per line_item_id to select the primary accepted instance. This selects the most recently created LIA, representing the current operative acceptance record for the CLIN. The same pattern was used in DP5 (fact_payment_reconciliation). A named temp view (v_primary_lia) is created in each fact notebook before the main INSERT.</w:t>
      </w:r>
    </w:p>
    <w:p>
      <w:pPr>
        <w:pStyle w:val="Heading2"/>
        <w:spacing w:before="260" w:after="80"/>
      </w:pPr>
      <w:r>
        <w:rPr>
          <w:rFonts w:ascii="Arial" w:cs="Arial" w:eastAsia="Arial" w:hAnsi="Arial"/>
          <w:b/>
          <w:bCs/>
          <w:color w:val="1E5FA8"/>
          <w:sz w:val="26"/>
          <w:szCs w:val="26"/>
        </w:rPr>
        <w:t xml:space="preserve">3.2  ia_sk via parent_ia_id</w:t>
      </w:r>
    </w:p>
    <w:p>
      <w:pPr>
        <w:spacing w:before="60" w:after="60"/>
      </w:pPr>
      <w:r>
        <w:rPr>
          <w:rFonts w:ascii="Arial" w:cs="Arial" w:eastAsia="Arial" w:hAnsi="Arial"/>
          <w:sz w:val="22"/>
          <w:szCs w:val="22"/>
        </w:rPr>
        <w:t xml:space="preserve">DP6 is the first product where ia_sk is resolved via a direct line_item.parent_ia_id FK rather than a multi-hop bridge. This is because line_item is the grain anchor for both DP6 facts. The parent_ia_id column is confirmed in the Silver DDL.</w:t>
      </w:r>
    </w:p>
    <w:p>
      <w:pPr>
        <w:pStyle w:val="Heading2"/>
        <w:spacing w:before="260" w:after="80"/>
      </w:pPr>
      <w:r>
        <w:rPr>
          <w:rFonts w:ascii="Arial" w:cs="Arial" w:eastAsia="Arial" w:hAnsi="Arial"/>
          <w:b/>
          <w:bCs/>
          <w:color w:val="1E5FA8"/>
          <w:sz w:val="26"/>
          <w:szCs w:val="26"/>
        </w:rPr>
        <w:t xml:space="preserve">3.3  INSERT-only guard pattern</w:t>
      </w:r>
    </w:p>
    <w:p>
      <w:pPr>
        <w:spacing w:before="60" w:after="60"/>
      </w:pPr>
      <w:r>
        <w:rPr>
          <w:rFonts w:ascii="Arial" w:cs="Arial" w:eastAsia="Arial" w:hAnsi="Arial"/>
          <w:sz w:val="22"/>
          <w:szCs w:val="22"/>
        </w:rPr>
        <w:t xml:space="preserve">Both fact notebooks abort cleanly if rows exist, printing the ABORTED message and the manual TRUNCATE instruction. Dim notebooks are TRUNCATE→INSERT. Consistent with DP1–DP5.</w:t>
      </w:r>
    </w:p>
    <w:p>
      <w:pPr>
        <w:pStyle w:val="Heading2"/>
        <w:spacing w:before="260" w:after="80"/>
      </w:pPr>
      <w:r>
        <w:rPr>
          <w:rFonts w:ascii="Arial" w:cs="Arial" w:eastAsia="Arial" w:hAnsi="Arial"/>
          <w:b/>
          <w:bCs/>
          <w:color w:val="1E5FA8"/>
          <w:sz w:val="26"/>
          <w:szCs w:val="26"/>
        </w:rPr>
        <w:t xml:space="preserve">3.4  Silver-pending annotation standard</w:t>
      </w:r>
    </w:p>
    <w:p>
      <w:pPr>
        <w:spacing w:before="60" w:after="60"/>
      </w:pPr>
      <w:r>
        <w:rPr>
          <w:rFonts w:ascii="Arial" w:cs="Arial" w:eastAsia="Arial" w:hAnsi="Arial"/>
          <w:sz w:val="22"/>
          <w:szCs w:val="22"/>
        </w:rPr>
        <w:t xml:space="preserve">Consistent with DP5 I-DP5-3: every NULL field annotated with column name, source table name, ingest status, and FAR regulatory reference where applicable.</w:t>
      </w:r>
    </w:p>
    <w:p>
      <w:pPr>
        <w:spacing w:before="200" w:after="0"/>
      </w:pPr>
      <w:r>
        <w:t xml:space="preserve"/>
      </w:r>
    </w:p>
    <w:p>
      <w:r>
        <w:br w:type="page"/>
      </w:r>
    </w:p>
    <w:p>
      <w:pPr>
        <w:pStyle w:val="Heading1"/>
        <w:spacing w:before="340" w:after="120"/>
      </w:pPr>
      <w:r>
        <w:rPr>
          <w:rFonts w:ascii="Arial" w:cs="Arial" w:eastAsia="Arial" w:hAnsi="Arial"/>
          <w:b/>
          <w:bCs/>
          <w:color w:val="1A2744"/>
          <w:sz w:val="32"/>
          <w:szCs w:val="32"/>
        </w:rPr>
        <w:t xml:space="preserve">4.  Improvement Decisions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3460"/>
      </w:tblGrid>
      <w:tr>
        <w:tc>
          <w:tcPr>
            <w:tcW w:type="dxa" w:w="5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Ref</w:t>
            </w:r>
          </w:p>
        </w:tc>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Applied In</w:t>
            </w:r>
          </w:p>
        </w:tc>
        <w:tc>
          <w:tcPr>
            <w:tcW w:type="dxa" w:w="3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34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I-DP6-1</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prime_dim_clin_subtype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UNION ALL five subtype branches</w:t>
            </w:r>
          </w:p>
        </w:tc>
        <w:tc>
          <w:tcPr>
            <w:tcW w:type="dxa" w:w="3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One CLIN has exactly one subtype; a wide JOIN produces 80% NULL columns. UNION ALL is cleaner, self-documenting, and independently testable per branch.</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I-DP6-2</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prime_fact_clin_pricing</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Grain = line_item × LOA; v_loa_per_li expansion</w:t>
            </w:r>
          </w:p>
        </w:tc>
        <w:tc>
          <w:tcPr>
            <w:tcW w:type="dxa" w:w="3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loa_burn_order in Gold DDL confirms multi-LOA grain. Without expansion, loa_sk and loa_burn_order would always be wrong.</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I-DP6-3</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prime_dim_billing_period</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v_invoiced_per_schedule — 3-hop date-bounded pre-agg</w:t>
            </w:r>
          </w:p>
        </w:tc>
        <w:tc>
          <w:tcPr>
            <w:tcW w:type="dxa" w:w="3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service_charge_schedule has no invoiced_amt column. The aggregation requires 3 hops + date filter. Without pre-aggregation, fan-out inflates every billing period row.</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I-DP6-4</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prime_dim_cost_rate_type</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is_actual_flag distribution post-load</w:t>
            </w:r>
          </w:p>
        </w:tc>
        <w:tc>
          <w:tcPr>
            <w:tcW w:type="dxa" w:w="3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Code values may differ between ASSIST environments. Print enables per-deployment verification without code changes.</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I-DP6-5</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prime_fact_clin_pricing</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 Silver-pending fields annotated with source + FAR ref</w:t>
            </w:r>
          </w:p>
        </w:tc>
        <w:tc>
          <w:tcPr>
            <w:tcW w:type="dxa" w:w="3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Consistent annotation standard established in DP5. Surfaces un-ingested tables explicitly.</w:t>
            </w:r>
          </w:p>
        </w:tc>
      </w:tr>
      <w:tr>
        <w:tc>
          <w:tcPr>
            <w:tcW w:type="dxa" w:w="5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I-DP6-6</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prime_dp6_driver</w:t>
            </w:r>
          </w:p>
        </w:tc>
        <w:tc>
          <w:tcPr>
            <w:tcW w:type="dxa" w:w="3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DRIVER_WARNING on force_fact — built in</w:t>
            </w:r>
          </w:p>
        </w:tc>
        <w:tc>
          <w:tcPr>
            <w:tcW w:type="dxa" w:w="3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DP2 and DP3 required retrofit fixes for this. DP6 implements correctly from the start.</w:t>
            </w:r>
          </w:p>
        </w:tc>
      </w:tr>
      <w:tr>
        <w:tc>
          <w:tcPr>
            <w:tcW w:type="dxa" w:w="5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I-DP6-7</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prime_fact_service_charge_schedule</w:t>
            </w:r>
          </w:p>
        </w:tc>
        <w:tc>
          <w:tcPr>
            <w:tcW w:type="dxa" w:w="3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on_schedule_flag + distribution report</w:t>
            </w:r>
          </w:p>
        </w:tc>
        <w:tc>
          <w:tcPr>
            <w:tcW w:type="dxa" w:w="34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FAR 52.232-7 billing health metric. Established from first prime so it activates immediately.</w:t>
            </w:r>
          </w:p>
        </w:tc>
      </w:tr>
    </w:tbl>
    <w:p>
      <w:pPr>
        <w:spacing w:before="200" w:after="0"/>
      </w:pPr>
      <w:r>
        <w:t xml:space="preserve"/>
      </w:r>
    </w:p>
    <w:p>
      <w:pPr>
        <w:pStyle w:val="Heading1"/>
        <w:spacing w:before="340" w:after="120"/>
      </w:pPr>
      <w:r>
        <w:rPr>
          <w:rFonts w:ascii="Arial" w:cs="Arial" w:eastAsia="Arial" w:hAnsi="Arial"/>
          <w:b/>
          <w:bCs/>
          <w:color w:val="1A2744"/>
          <w:sz w:val="32"/>
          <w:szCs w:val="32"/>
        </w:rPr>
        <w:t xml:space="preserve">5.  Silver Gaps and Pending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000"/>
        <w:gridCol w:w="1560"/>
      </w:tblGrid>
      <w:tr>
        <w:tc>
          <w:tcPr>
            <w:tcW w:type="dxa" w:w="28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Column</w:t>
            </w:r>
          </w:p>
        </w:tc>
        <w:tc>
          <w:tcPr>
            <w:tcW w:type="dxa" w:w="24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16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00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Needed</w:t>
            </w:r>
          </w:p>
        </w:tc>
        <w:tc>
          <w:tcPr>
            <w:tcW w:type="dxa" w:w="1560"/>
            <w:tcBorders>
              <w:top w:val="single" w:color="DCE3EF" w:sz="4"/>
              <w:left w:val="single" w:color="DCE3EF" w:sz="4"/>
              <w:bottom w:val="single" w:color="DCE3EF" w:sz="4"/>
              <w:right w:val="single" w:color="DCE3EF" w:sz="4"/>
            </w:tcBorders>
            <w:shd w:fill="1A2744"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Regulatory Ref</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planned_hours, planned_rate, actual_hours</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psc.fact_clin_pricing</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SILVER-PENDING</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aasbs.service_charge_labor_cat</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FAR 15.404</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award_fee_amt</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psc.fact_clin_pricing</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SILVER-PENDING</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aasbs.award_fee_plan</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FAR 16.306</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award_fee_surcharge_rate</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psc.fact_clin_pricing</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SILVER-PENDING</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aasbs.award_fee_eval</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FAR 16.306</w:t>
            </w:r>
          </w:p>
        </w:tc>
      </w:tr>
      <w:tr>
        <w:tc>
          <w:tcPr>
            <w:tcW w:type="dxa" w:w="28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loa_proration_pct</w:t>
            </w:r>
          </w:p>
        </w:tc>
        <w:tc>
          <w:tcPr>
            <w:tcW w:type="dxa" w:w="24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psc.fact_clin_pricing</w:t>
            </w:r>
          </w:p>
        </w:tc>
        <w:tc>
          <w:tcPr>
            <w:tcW w:type="dxa" w:w="16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NULL on prime</w:t>
            </w:r>
          </w:p>
        </w:tc>
        <w:tc>
          <w:tcPr>
            <w:tcW w:type="dxa" w:w="200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top"/>
          </w:tcPr>
          <w:p>
            <w:r>
              <w:rPr>
                <w:rFonts w:ascii="Arial" w:cs="Arial" w:eastAsia="Arial" w:hAnsi="Arial"/>
                <w:b w:val="false"/>
                <w:bCs w:val="false"/>
                <w:sz w:val="20"/>
                <w:szCs w:val="20"/>
              </w:rPr>
              <w:t xml:space="preserve">No direct Silver column for billing proration</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w:t>
            </w:r>
          </w:p>
        </w:tc>
      </w:tr>
      <w:tr>
        <w:tc>
          <w:tcPr>
            <w:tcW w:type="dxa" w:w="28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accepted_amt</w:t>
            </w:r>
          </w:p>
        </w:tc>
        <w:tc>
          <w:tcPr>
            <w:tcW w:type="dxa" w:w="24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psc.fact_service_charge_schedule</w:t>
            </w:r>
          </w:p>
        </w:tc>
        <w:tc>
          <w:tcPr>
            <w:tcW w:type="dxa" w:w="16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PROXY</w:t>
            </w:r>
          </w:p>
        </w:tc>
        <w:tc>
          <w:tcPr>
            <w:tcW w:type="dxa" w:w="2000"/>
            <w:tcBorders>
              <w:top w:val="single" w:color="DCE3EF" w:sz="4"/>
              <w:left w:val="single" w:color="DCE3EF" w:sz="4"/>
              <w:bottom w:val="single" w:color="DCE3EF" w:sz="4"/>
              <w:right w:val="single" w:color="DCE3EF" w:sz="4"/>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CDC invoice acceptance status join</w:t>
            </w:r>
          </w:p>
        </w:tc>
        <w:tc>
          <w:tcPr>
            <w:tcW w:type="dxa" w:w="1560"/>
            <w:tcBorders>
              <w:top w:val="single" w:color="DCE3EF" w:sz="4"/>
              <w:left w:val="single" w:color="DCE3EF" w:sz="4"/>
              <w:bottom w:val="single" w:color="DCE3EF" w:sz="4"/>
              <w:right w:val="single" w:color="DCE3EF" w:sz="4"/>
            </w:tcBorders>
            <w:shd w:fill="F0F3F9" w:val="clear"/>
            <w:tcMar>
              <w:top w:type="dxa" w:w="80"/>
              <w:left w:type="dxa" w:w="120"/>
              <w:bottom w:type="dxa" w:w="80"/>
              <w:right w:type="dxa" w:w="120"/>
            </w:tcMar>
            <w:vAlign w:val="center"/>
          </w:tcPr>
          <w:p>
            <w:r>
              <w:rPr>
                <w:rFonts w:ascii="Arial" w:cs="Arial" w:eastAsia="Arial" w:hAnsi="Arial"/>
                <w:b/>
                <w:bCs/>
                <w:color w:val="222222"/>
                <w:sz w:val="19"/>
                <w:szCs w:val="19"/>
              </w:rPr>
              <w:t xml:space="preserve">—</w:t>
            </w:r>
          </w:p>
        </w:tc>
      </w:tr>
    </w:tbl>
    <w:sectPr>
      <w:headerReference w:type="default" r:id="rId6"/>
      <w:footerReference w:type="default" r:id="rId7"/>
      <w:pgSz w:w="12240" w:h="15840" w:orient="portrait"/>
      <w:pgMar w:top="1080" w:right="960" w:bottom="10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F" w:sz="4" w:space="2"/>
      </w:pBdr>
      <w:jc w:val="right"/>
    </w:pPr>
    <w:r>
      <w:rPr>
        <w:rFonts w:ascii="Arial" w:cs="Arial" w:eastAsia="Arial" w:hAnsi="Arial"/>
        <w:color w:val="6B7A99"/>
        <w:sz w:val="18"/>
        <w:szCs w:val="18"/>
      </w:rPr>
      <w:t xml:space="preserve">ASSIST OCFO  ·  Confidential  ·  26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2"/>
      </w:pBdr>
    </w:pPr>
    <w:r>
      <w:rPr>
        <w:rFonts w:ascii="Arial" w:cs="Arial" w:eastAsia="Arial" w:hAnsi="Arial"/>
        <w:color w:val="6B7A99"/>
        <w:sz w:val="18"/>
        <w:szCs w:val="18"/>
      </w:rPr>
      <w:t xml:space="preserve">ASSIST OCFO  ·  DP6 CLIN Pricing &amp; Service Charge Catalog  ·  Build Narrative &amp; Decision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A2744"/>
      <w:sz w:val="32"/>
      <w:szCs w:val="32"/>
    </w:rPr>
  </w:style>
  <w:style w:type="paragraph" w:styleId="Heading2">
    <w:name w:val="Heading 2"/>
    <w:basedOn w:val="Normal"/>
    <w:next w:val="Normal"/>
    <w:qFormat/>
    <w:pPr>
      <w:spacing w:before="260" w:after="80"/>
      <w:outlineLvl w:val="1"/>
    </w:pPr>
    <w:rPr>
      <w:rFonts w:ascii="Arial" w:cs="Arial" w:eastAsia="Arial" w:hAnsi="Arial"/>
      <w:b/>
      <w:bCs/>
      <w:color w:val="1E5FA8"/>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2026-03-27T19:33:07.611Z</dcterms:created>
  <dcterms:modified xsi:type="dcterms:W3CDTF">2026-03-27T19:33:07.611Z</dcterms:modified>
</cp:coreProperties>
</file>

<file path=docProps/custom.xml><?xml version="1.0" encoding="utf-8"?>
<Properties xmlns="http://schemas.openxmlformats.org/officeDocument/2006/custom-properties" xmlns:vt="http://schemas.openxmlformats.org/officeDocument/2006/docPropsVTypes"/>
</file>