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pPr>
      <w:r>
        <w:rPr>
          <w:rFonts w:ascii="Arial" w:cs="Arial" w:eastAsia="Arial" w:hAnsi="Arial"/>
          <w:b/>
          <w:bCs/>
          <w:color w:val="C9A227"/>
          <w:sz w:val="28"/>
          <w:szCs w:val="28"/>
        </w:rPr>
        <w:t xml:space="preserve">ASSIST OCFO</w:t>
      </w:r>
    </w:p>
    <w:p>
      <w:pPr>
        <w:spacing w:before="0" w:after="40"/>
      </w:pPr>
      <w:r>
        <w:rPr>
          <w:rFonts w:ascii="Arial" w:cs="Arial" w:eastAsia="Arial" w:hAnsi="Arial"/>
          <w:b/>
          <w:bCs/>
          <w:color w:val="1A2744"/>
          <w:sz w:val="48"/>
          <w:szCs w:val="48"/>
        </w:rPr>
        <w:t xml:space="preserve">DP7 — Solicitation &amp; Market Intelligence</w:t>
      </w:r>
    </w:p>
    <w:p>
      <w:pPr>
        <w:spacing w:before="0" w:after="40"/>
      </w:pPr>
      <w:r>
        <w:rPr>
          <w:rFonts w:ascii="Arial" w:cs="Arial" w:eastAsia="Arial" w:hAnsi="Arial"/>
          <w:color w:val="1E5FA8"/>
          <w:sz w:val="30"/>
          <w:szCs w:val="30"/>
        </w:rPr>
        <w:t xml:space="preserve">Build Narrative &amp; Decision Log</w:t>
      </w:r>
    </w:p>
    <w:p>
      <w:pPr>
        <w:spacing w:before="0" w:after="20"/>
      </w:pPr>
      <w:r>
        <w:rPr>
          <w:rFonts w:ascii="Arial" w:cs="Arial" w:eastAsia="Arial" w:hAnsi="Arial"/>
          <w:b/>
          <w:bCs/>
          <w:color w:val="C9770A"/>
          <w:sz w:val="22"/>
          <w:szCs w:val="22"/>
        </w:rPr>
        <w:t xml:space="preserve">26 March 2026  ·  Version 1.0  ·  Initial Prime Generation</w:t>
      </w:r>
    </w:p>
    <w:p>
      <w:pPr>
        <w:pBdr>
          <w:bottom w:val="single" w:color="DCE3EF" w:sz="4" w:space="2"/>
        </w:pBd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CE3EF" w:sz="4"/>
              <w:left w:val="single" w:color="DCE3EF" w:sz="4"/>
              <w:bottom w:val="single" w:color="DCE3EF" w:sz="4"/>
              <w:right w:val="single" w:color="DCE3EF" w:sz="4"/>
            </w:tcBorders>
            <w:shd w:fill="1A2744" w:val="clear"/>
            <w:tcMar>
              <w:top w:type="dxa" w:w="80"/>
              <w:left w:type="dxa" w:w="120"/>
              <w:bottom w:type="dxa" w:w="80"/>
              <w:right w:type="dxa" w:w="120"/>
            </w:tcMar>
            <w:vAlign w:val="center"/>
          </w:tcPr>
          <w:p>
            <w:r>
              <w:rPr>
                <w:rFonts w:ascii="Arial" w:cs="Arial" w:eastAsia="Arial" w:hAnsi="Arial"/>
                <w:b/>
                <w:bCs/>
                <w:color w:val="FFFFFF"/>
                <w:sz w:val="18"/>
                <w:szCs w:val="18"/>
              </w:rPr>
              <w:t xml:space="preserve">Attribute</w:t>
            </w:r>
          </w:p>
        </w:tc>
        <w:tc>
          <w:tcPr>
            <w:tcW w:type="dxa" w:w="6160"/>
            <w:tcBorders>
              <w:top w:val="single" w:color="DCE3EF" w:sz="4"/>
              <w:left w:val="single" w:color="DCE3EF" w:sz="4"/>
              <w:bottom w:val="single" w:color="DCE3EF" w:sz="4"/>
              <w:right w:val="single" w:color="DCE3EF" w:sz="4"/>
            </w:tcBorders>
            <w:shd w:fill="1A2744" w:val="clear"/>
            <w:tcMar>
              <w:top w:type="dxa" w:w="80"/>
              <w:left w:type="dxa" w:w="120"/>
              <w:bottom w:type="dxa" w:w="80"/>
              <w:right w:type="dxa" w:w="120"/>
            </w:tcMar>
            <w:vAlign w:val="center"/>
          </w:tcPr>
          <w:p>
            <w:r>
              <w:rPr>
                <w:rFonts w:ascii="Arial" w:cs="Arial" w:eastAsia="Arial" w:hAnsi="Arial"/>
                <w:b/>
                <w:bCs/>
                <w:color w:val="FFFFFF"/>
                <w:sz w:val="18"/>
                <w:szCs w:val="18"/>
              </w:rPr>
              <w:t xml:space="preserve">Value</w:t>
            </w:r>
          </w:p>
        </w:tc>
      </w:tr>
      <w:tr>
        <w:tc>
          <w:tcPr>
            <w:tcW w:type="dxa" w:w="32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sz w:val="20"/>
                <w:szCs w:val="20"/>
              </w:rPr>
              <w:t xml:space="preserve">Purpose</w:t>
            </w:r>
          </w:p>
        </w:tc>
        <w:tc>
          <w:tcPr>
            <w:tcW w:type="dxa" w:w="616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sz w:val="20"/>
                <w:szCs w:val="20"/>
              </w:rPr>
              <w:t xml:space="preserve">Records every notebook built, every source-to-target mapping decision, and every design choice made during the DP7 initial prime generation.</w:t>
            </w:r>
          </w:p>
        </w:tc>
      </w:tr>
      <w:tr>
        <w:tc>
          <w:tcPr>
            <w:tcW w:type="dxa" w:w="32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sz w:val="20"/>
                <w:szCs w:val="20"/>
              </w:rPr>
              <w:t xml:space="preserve">Schema</w:t>
            </w:r>
          </w:p>
        </w:tc>
        <w:tc>
          <w:tcPr>
            <w:tcW w:type="dxa" w:w="616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sz w:val="20"/>
                <w:szCs w:val="20"/>
              </w:rPr>
              <w:t xml:space="preserve">assist_catalog.smi</w:t>
            </w:r>
          </w:p>
        </w:tc>
      </w:tr>
      <w:tr>
        <w:tc>
          <w:tcPr>
            <w:tcW w:type="dxa" w:w="32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sz w:val="20"/>
                <w:szCs w:val="20"/>
              </w:rPr>
              <w:t xml:space="preserve">Notebooks</w:t>
            </w:r>
          </w:p>
        </w:tc>
        <w:tc>
          <w:tcPr>
            <w:tcW w:type="dxa" w:w="616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sz w:val="20"/>
                <w:szCs w:val="20"/>
              </w:rPr>
              <w:t xml:space="preserve">5  (3 pipeline + 1 driver + 1 utils)</w:t>
            </w:r>
          </w:p>
        </w:tc>
      </w:tr>
      <w:tr>
        <w:tc>
          <w:tcPr>
            <w:tcW w:type="dxa" w:w="32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sz w:val="20"/>
                <w:szCs w:val="20"/>
              </w:rPr>
              <w:t xml:space="preserve">Total lines</w:t>
            </w:r>
          </w:p>
        </w:tc>
        <w:tc>
          <w:tcPr>
            <w:tcW w:type="dxa" w:w="616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sz w:val="20"/>
                <w:szCs w:val="20"/>
              </w:rPr>
              <w:t xml:space="preserve">1,378 lines of annotated Python / Spark SQL</w:t>
            </w:r>
          </w:p>
        </w:tc>
      </w:tr>
      <w:tr>
        <w:tc>
          <w:tcPr>
            <w:tcW w:type="dxa" w:w="32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sz w:val="20"/>
                <w:szCs w:val="20"/>
              </w:rPr>
              <w:t xml:space="preserve">Archive</w:t>
            </w:r>
          </w:p>
        </w:tc>
        <w:tc>
          <w:tcPr>
            <w:tcW w:type="dxa" w:w="616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sz w:val="20"/>
                <w:szCs w:val="20"/>
              </w:rPr>
              <w:t xml:space="preserve">dp7_pipelines_prime.zip  (66 KB, integrity verified)</w:t>
            </w:r>
          </w:p>
        </w:tc>
      </w:tr>
      <w:tr>
        <w:tc>
          <w:tcPr>
            <w:tcW w:type="dxa" w:w="32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sz w:val="20"/>
                <w:szCs w:val="20"/>
              </w:rPr>
              <w:t xml:space="preserve">Date</w:t>
            </w:r>
          </w:p>
        </w:tc>
        <w:tc>
          <w:tcPr>
            <w:tcW w:type="dxa" w:w="616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sz w:val="20"/>
                <w:szCs w:val="20"/>
              </w:rPr>
              <w:t xml:space="preserve">26 March 2026</w:t>
            </w:r>
          </w:p>
        </w:tc>
      </w:tr>
    </w:tbl>
    <w:p>
      <w:pPr>
        <w:spacing w:before="200" w:after="0"/>
      </w:pPr>
      <w:r>
        <w:t xml:space="preserve"/>
      </w:r>
    </w:p>
    <w:p>
      <w:r>
        <w:br w:type="page"/>
      </w:r>
    </w:p>
    <w:p>
      <w:pPr>
        <w:pStyle w:val="Heading1"/>
        <w:spacing w:before="340" w:after="120"/>
      </w:pPr>
      <w:r>
        <w:rPr>
          <w:rFonts w:ascii="Arial" w:cs="Arial" w:eastAsia="Arial" w:hAnsi="Arial"/>
          <w:b/>
          <w:bCs/>
          <w:color w:val="1A2744"/>
          <w:sz w:val="32"/>
          <w:szCs w:val="32"/>
        </w:rPr>
        <w:t xml:space="preserve">1.  What Was Built</w:t>
      </w:r>
    </w:p>
    <w:p>
      <w:pPr>
        <w:spacing w:before="60" w:after="60"/>
      </w:pPr>
      <w:r>
        <w:rPr>
          <w:rFonts w:ascii="Arial" w:cs="Arial" w:eastAsia="Arial" w:hAnsi="Arial"/>
          <w:sz w:val="22"/>
          <w:szCs w:val="22"/>
        </w:rPr>
        <w:t xml:space="preserve">DP7 was generated from scratch — no prior DP7 notebooks existed. All three pipeline notebooks and one driver were generated in a single session incorporating all seven improvement recommendations before code was written.</w:t>
      </w:r>
    </w:p>
    <w:p>
      <w:pPr>
        <w:pStyle w:val="Heading2"/>
        <w:spacing w:before="260" w:after="80"/>
      </w:pPr>
      <w:r>
        <w:rPr>
          <w:rFonts w:ascii="Arial" w:cs="Arial" w:eastAsia="Arial" w:hAnsi="Arial"/>
          <w:b/>
          <w:bCs/>
          <w:color w:val="1E5FA8"/>
          <w:sz w:val="26"/>
          <w:szCs w:val="26"/>
        </w:rPr>
        <w:t xml:space="preserve">1.1  Notebook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900"/>
        <w:gridCol w:w="700"/>
        <w:gridCol w:w="5260"/>
      </w:tblGrid>
      <w:tr>
        <w:tc>
          <w:tcPr>
            <w:tcW w:type="dxa" w:w="500"/>
            <w:tcBorders>
              <w:top w:val="single" w:color="DCE3EF" w:sz="4"/>
              <w:left w:val="single" w:color="DCE3EF" w:sz="4"/>
              <w:bottom w:val="single" w:color="DCE3EF" w:sz="4"/>
              <w:right w:val="single" w:color="DCE3EF" w:sz="4"/>
            </w:tcBorders>
            <w:shd w:fill="1A2744" w:val="clear"/>
            <w:tcMar>
              <w:top w:type="dxa" w:w="80"/>
              <w:left w:type="dxa" w:w="120"/>
              <w:bottom w:type="dxa" w:w="80"/>
              <w:right w:type="dxa" w:w="120"/>
            </w:tcMar>
            <w:vAlign w:val="center"/>
          </w:tcPr>
          <w:p>
            <w:r>
              <w:rPr>
                <w:rFonts w:ascii="Arial" w:cs="Arial" w:eastAsia="Arial" w:hAnsi="Arial"/>
                <w:b/>
                <w:bCs/>
                <w:color w:val="FFFFFF"/>
                <w:sz w:val="18"/>
                <w:szCs w:val="18"/>
              </w:rPr>
              <w:t xml:space="preserve">Step</w:t>
            </w:r>
          </w:p>
        </w:tc>
        <w:tc>
          <w:tcPr>
            <w:tcW w:type="dxa" w:w="2900"/>
            <w:tcBorders>
              <w:top w:val="single" w:color="DCE3EF" w:sz="4"/>
              <w:left w:val="single" w:color="DCE3EF" w:sz="4"/>
              <w:bottom w:val="single" w:color="DCE3EF" w:sz="4"/>
              <w:right w:val="single" w:color="DCE3EF" w:sz="4"/>
            </w:tcBorders>
            <w:shd w:fill="1A2744" w:val="clear"/>
            <w:tcMar>
              <w:top w:type="dxa" w:w="80"/>
              <w:left w:type="dxa" w:w="120"/>
              <w:bottom w:type="dxa" w:w="80"/>
              <w:right w:type="dxa" w:w="120"/>
            </w:tcMar>
            <w:vAlign w:val="center"/>
          </w:tcPr>
          <w:p>
            <w:r>
              <w:rPr>
                <w:rFonts w:ascii="Arial" w:cs="Arial" w:eastAsia="Arial" w:hAnsi="Arial"/>
                <w:b/>
                <w:bCs/>
                <w:color w:val="FFFFFF"/>
                <w:sz w:val="18"/>
                <w:szCs w:val="18"/>
              </w:rPr>
              <w:t xml:space="preserve">Notebook</w:t>
            </w:r>
          </w:p>
        </w:tc>
        <w:tc>
          <w:tcPr>
            <w:tcW w:type="dxa" w:w="700"/>
            <w:tcBorders>
              <w:top w:val="single" w:color="DCE3EF" w:sz="4"/>
              <w:left w:val="single" w:color="DCE3EF" w:sz="4"/>
              <w:bottom w:val="single" w:color="DCE3EF" w:sz="4"/>
              <w:right w:val="single" w:color="DCE3EF" w:sz="4"/>
            </w:tcBorders>
            <w:shd w:fill="1A2744" w:val="clear"/>
            <w:tcMar>
              <w:top w:type="dxa" w:w="80"/>
              <w:left w:type="dxa" w:w="120"/>
              <w:bottom w:type="dxa" w:w="80"/>
              <w:right w:type="dxa" w:w="120"/>
            </w:tcMar>
            <w:vAlign w:val="center"/>
          </w:tcPr>
          <w:p>
            <w:r>
              <w:rPr>
                <w:rFonts w:ascii="Arial" w:cs="Arial" w:eastAsia="Arial" w:hAnsi="Arial"/>
                <w:b/>
                <w:bCs/>
                <w:color w:val="FFFFFF"/>
                <w:sz w:val="18"/>
                <w:szCs w:val="18"/>
              </w:rPr>
              <w:t xml:space="preserve">Lines</w:t>
            </w:r>
          </w:p>
        </w:tc>
        <w:tc>
          <w:tcPr>
            <w:tcW w:type="dxa" w:w="5260"/>
            <w:tcBorders>
              <w:top w:val="single" w:color="DCE3EF" w:sz="4"/>
              <w:left w:val="single" w:color="DCE3EF" w:sz="4"/>
              <w:bottom w:val="single" w:color="DCE3EF" w:sz="4"/>
              <w:right w:val="single" w:color="DCE3EF" w:sz="4"/>
            </w:tcBorders>
            <w:shd w:fill="1A2744" w:val="clear"/>
            <w:tcMar>
              <w:top w:type="dxa" w:w="80"/>
              <w:left w:type="dxa" w:w="120"/>
              <w:bottom w:type="dxa" w:w="80"/>
              <w:right w:type="dxa" w:w="120"/>
            </w:tcMar>
            <w:vAlign w:val="center"/>
          </w:tcPr>
          <w:p>
            <w:r>
              <w:rPr>
                <w:rFonts w:ascii="Arial" w:cs="Arial" w:eastAsia="Arial" w:hAnsi="Arial"/>
                <w:b/>
                <w:bCs/>
                <w:color w:val="FFFFFF"/>
                <w:sz w:val="18"/>
                <w:szCs w:val="18"/>
              </w:rPr>
              <w:t xml:space="preserve">Key Features</w:t>
            </w:r>
          </w:p>
        </w:tc>
      </w:tr>
      <w:tr>
        <w:tc>
          <w:tcPr>
            <w:tcW w:type="dxa" w:w="5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sz w:val="20"/>
                <w:szCs w:val="20"/>
              </w:rPr>
              <w:t xml:space="preserve">1</w:t>
            </w:r>
          </w:p>
        </w:tc>
        <w:tc>
          <w:tcPr>
            <w:tcW w:type="dxa" w:w="29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sz w:val="20"/>
                <w:szCs w:val="20"/>
              </w:rPr>
              <w:t xml:space="preserve">prime_dim_posting_type</w:t>
            </w:r>
          </w:p>
        </w:tc>
        <w:tc>
          <w:tcPr>
            <w:tcW w:type="dxa" w:w="7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sz w:val="20"/>
                <w:szCs w:val="20"/>
              </w:rPr>
              <w:t xml:space="preserve">241</w:t>
            </w:r>
          </w:p>
        </w:tc>
        <w:tc>
          <w:tcPr>
            <w:tcW w:type="dxa" w:w="526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sz w:val="20"/>
                <w:szCs w:val="20"/>
              </w:rPr>
              <w:t xml:space="preserve">DIRECT/CONNECT COALESCE logic + integrity check (I-DP7-5)</w:t>
            </w:r>
          </w:p>
        </w:tc>
      </w:tr>
      <w:tr>
        <w:tc>
          <w:tcPr>
            <w:tcW w:type="dxa" w:w="5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sz w:val="20"/>
                <w:szCs w:val="20"/>
              </w:rPr>
              <w:t xml:space="preserve">2</w:t>
            </w:r>
          </w:p>
        </w:tc>
        <w:tc>
          <w:tcPr>
            <w:tcW w:type="dxa" w:w="29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sz w:val="20"/>
                <w:szCs w:val="20"/>
              </w:rPr>
              <w:t xml:space="preserve">prime_dim_piid</w:t>
            </w:r>
          </w:p>
        </w:tc>
        <w:tc>
          <w:tcPr>
            <w:tcW w:type="dxa" w:w="7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sz w:val="20"/>
                <w:szCs w:val="20"/>
              </w:rPr>
              <w:t xml:space="preserve">208</w:t>
            </w:r>
          </w:p>
        </w:tc>
        <w:tc>
          <w:tcPr>
            <w:tcW w:type="dxa" w:w="526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sz w:val="20"/>
                <w:szCs w:val="20"/>
              </w:rPr>
              <w:t xml:space="preserve">FAR 4.1602 positional parse with conformance guard (I-DP7-2)</w:t>
            </w:r>
          </w:p>
        </w:tc>
      </w:tr>
      <w:tr>
        <w:tc>
          <w:tcPr>
            <w:tcW w:type="dxa" w:w="5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sz w:val="20"/>
                <w:szCs w:val="20"/>
              </w:rPr>
              <w:t xml:space="preserve">3</w:t>
            </w:r>
          </w:p>
        </w:tc>
        <w:tc>
          <w:tcPr>
            <w:tcW w:type="dxa" w:w="29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sz w:val="20"/>
                <w:szCs w:val="20"/>
              </w:rPr>
              <w:t xml:space="preserve">prime_fact_solicitation_response</w:t>
            </w:r>
          </w:p>
        </w:tc>
        <w:tc>
          <w:tcPr>
            <w:tcW w:type="dxa" w:w="7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sz w:val="20"/>
                <w:szCs w:val="20"/>
              </w:rPr>
              <w:t xml:space="preserve">540</w:t>
            </w:r>
          </w:p>
        </w:tc>
        <w:tc>
          <w:tcPr>
            <w:tcW w:type="dxa" w:w="526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sz w:val="20"/>
                <w:szCs w:val="20"/>
              </w:rPr>
              <w:t xml:space="preserve">DP2 pre-flight (I-DP7-1), ia_sk 3-bucket (I-DP7-3), SB flag (I-DP7-4), DEFERRED annotations (I-DP7-6)</w:t>
            </w:r>
          </w:p>
        </w:tc>
      </w:tr>
      <w:tr>
        <w:tc>
          <w:tcPr>
            <w:tcW w:type="dxa" w:w="5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sz w:val="20"/>
                <w:szCs w:val="20"/>
              </w:rPr>
              <w:t xml:space="preserve">4</w:t>
            </w:r>
          </w:p>
        </w:tc>
        <w:tc>
          <w:tcPr>
            <w:tcW w:type="dxa" w:w="29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sz w:val="20"/>
                <w:szCs w:val="20"/>
              </w:rPr>
              <w:t xml:space="preserve">prime_dp7_driver</w:t>
            </w:r>
          </w:p>
        </w:tc>
        <w:tc>
          <w:tcPr>
            <w:tcW w:type="dxa" w:w="7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sz w:val="20"/>
                <w:szCs w:val="20"/>
              </w:rPr>
              <w:t xml:space="preserve">237</w:t>
            </w:r>
          </w:p>
        </w:tc>
        <w:tc>
          <w:tcPr>
            <w:tcW w:type="dxa" w:w="526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sz w:val="20"/>
                <w:szCs w:val="20"/>
              </w:rPr>
              <w:t xml:space="preserve">Three-outcome audit trail + DP1/DP2 dual pre-flight (I-DP7-7)</w:t>
            </w:r>
          </w:p>
        </w:tc>
      </w:tr>
      <w:tr>
        <w:tc>
          <w:tcPr>
            <w:tcW w:type="dxa" w:w="5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sz w:val="20"/>
                <w:szCs w:val="20"/>
              </w:rPr>
              <w:t xml:space="preserve">—</w:t>
            </w:r>
          </w:p>
        </w:tc>
        <w:tc>
          <w:tcPr>
            <w:tcW w:type="dxa" w:w="29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sz w:val="20"/>
                <w:szCs w:val="20"/>
              </w:rPr>
              <w:t xml:space="preserve">pipeline_utils</w:t>
            </w:r>
          </w:p>
        </w:tc>
        <w:tc>
          <w:tcPr>
            <w:tcW w:type="dxa" w:w="7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sz w:val="20"/>
                <w:szCs w:val="20"/>
              </w:rPr>
              <w:t xml:space="preserve">152</w:t>
            </w:r>
          </w:p>
        </w:tc>
        <w:tc>
          <w:tcPr>
            <w:tcW w:type="dxa" w:w="526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sz w:val="20"/>
                <w:szCs w:val="20"/>
              </w:rPr>
              <w:t xml:space="preserve">Copied from DP5</w:t>
            </w:r>
          </w:p>
        </w:tc>
      </w:tr>
    </w:tbl>
    <w:p>
      <w:pPr>
        <w:spacing w:before="200" w:after="0"/>
      </w:pPr>
      <w:r>
        <w:t xml:space="preserve"/>
      </w:r>
    </w:p>
    <w:p>
      <w:r>
        <w:br w:type="page"/>
      </w:r>
    </w:p>
    <w:p>
      <w:pPr>
        <w:pStyle w:val="Heading1"/>
        <w:spacing w:before="340" w:after="120"/>
      </w:pPr>
      <w:r>
        <w:rPr>
          <w:rFonts w:ascii="Arial" w:cs="Arial" w:eastAsia="Arial" w:hAnsi="Arial"/>
          <w:b/>
          <w:bCs/>
          <w:color w:val="1A2744"/>
          <w:sz w:val="32"/>
          <w:szCs w:val="32"/>
        </w:rPr>
        <w:t xml:space="preserve">2.  Source-to-Target Decisions by Notebook</w:t>
      </w:r>
    </w:p>
    <w:p>
      <w:pPr>
        <w:pStyle w:val="Heading2"/>
        <w:spacing w:before="260" w:after="80"/>
      </w:pPr>
      <w:r>
        <w:rPr>
          <w:rFonts w:ascii="Arial" w:cs="Arial" w:eastAsia="Arial" w:hAnsi="Arial"/>
          <w:b/>
          <w:bCs/>
          <w:color w:val="1E5FA8"/>
          <w:sz w:val="26"/>
          <w:szCs w:val="26"/>
        </w:rPr>
        <w:t xml:space="preserve">2.1  prime_dim_posting_type</w:t>
      </w:r>
    </w:p>
    <w:p>
      <w:pPr>
        <w:spacing w:before="60" w:after="60"/>
      </w:pPr>
      <w:r>
        <w:rPr>
          <w:rFonts w:ascii="Arial" w:cs="Arial" w:eastAsia="Arial" w:hAnsi="Arial"/>
          <w:sz w:val="22"/>
          <w:szCs w:val="22"/>
        </w:rPr>
        <w:t xml:space="preserve">The grain is solicit.id — one posting type per solicitation. The two posting source tables (solicit_posting_direct and solicit_posting_connect) do not have a direct solicit_id FK. Both link via solicit_amendment.solicit_id. This required a pre-aggregated view pair before the main INSERT.</w:t>
      </w:r>
    </w:p>
    <w:p>
      <w:pPr>
        <w:pBdr>
          <w:left w:val="single" w:color="1A2744" w:sz="12" w:space="4"/>
        </w:pBdr>
        <w:spacing w:before="80" w:after="80"/>
        <w:ind w:left="280"/>
      </w:pPr>
      <w:r>
        <w:rPr>
          <w:rFonts w:ascii="Arial" w:cs="Arial" w:eastAsia="Arial" w:hAnsi="Arial"/>
          <w:b/>
          <w:bCs/>
          <w:color w:val="1A2744"/>
          <w:sz w:val="20"/>
          <w:szCs w:val="20"/>
        </w:rPr>
        <w:t xml:space="preserve">DECISION: </w:t>
      </w:r>
      <w:r>
        <w:rPr>
          <w:rFonts w:ascii="Arial" w:cs="Arial" w:eastAsia="Arial" w:hAnsi="Arial"/>
          <w:i/>
          <w:iCs/>
          <w:color w:val="333333"/>
          <w:sz w:val="20"/>
          <w:szCs w:val="20"/>
        </w:rPr>
        <w:t xml:space="preserve">COALESCE posting_type_cd (IMPROVEMENT I-DP7-5): a solicitation can have at most one active posting type in the ASSIST workflow. The priority CASE resolves DIRECT_CONNECT (direct posting with an external source reference) &gt; DIRECT (sole-source, J&amp;A) &gt; OPEN (competitive, connect posting) &gt; INFORMAL (no formal posting record). Each branch is documented in the code with the corresponding Silver FK that triggers it.</w:t>
      </w:r>
    </w:p>
    <w:p>
      <w:pPr>
        <w:pBdr>
          <w:left w:val="single" w:color="1A2744" w:sz="12" w:space="4"/>
        </w:pBdr>
        <w:spacing w:before="80" w:after="80"/>
        <w:ind w:left="280"/>
      </w:pPr>
      <w:r>
        <w:rPr>
          <w:rFonts w:ascii="Arial" w:cs="Arial" w:eastAsia="Arial" w:hAnsi="Arial"/>
          <w:b/>
          <w:bCs/>
          <w:color w:val="1A2744"/>
          <w:sz w:val="20"/>
          <w:szCs w:val="20"/>
        </w:rPr>
        <w:t xml:space="preserve">DECISION: </w:t>
      </w:r>
      <w:r>
        <w:rPr>
          <w:rFonts w:ascii="Arial" w:cs="Arial" w:eastAsia="Arial" w:hAnsi="Arial"/>
          <w:i/>
          <w:iCs/>
          <w:color w:val="333333"/>
          <w:sz w:val="20"/>
          <w:szCs w:val="20"/>
        </w:rPr>
        <w:t xml:space="preserve">Post-load integrity check: queries for any solicit_id that appears in both v_direct_per_solicit and v_connect_per_solicit. If any exist, this indicates a source data integrity issue (both posting types set). The DIRECT type takes precedence in the loaded data by CASE ordering; the WARNING surfaces the count for investigation.</w:t>
      </w:r>
    </w:p>
    <w:p>
      <w:pPr>
        <w:pBdr>
          <w:left w:val="single" w:color="1A2744" w:sz="12" w:space="4"/>
        </w:pBdr>
        <w:spacing w:before="80" w:after="80"/>
        <w:ind w:left="280"/>
      </w:pPr>
      <w:r>
        <w:rPr>
          <w:rFonts w:ascii="Arial" w:cs="Arial" w:eastAsia="Arial" w:hAnsi="Arial"/>
          <w:b/>
          <w:bCs/>
          <w:color w:val="1A2744"/>
          <w:sz w:val="20"/>
          <w:szCs w:val="20"/>
        </w:rPr>
        <w:t xml:space="preserve">DECISION: </w:t>
      </w:r>
      <w:r>
        <w:rPr>
          <w:rFonts w:ascii="Arial" w:cs="Arial" w:eastAsia="Arial" w:hAnsi="Arial"/>
          <w:i/>
          <w:iCs/>
          <w:color w:val="333333"/>
          <w:sz w:val="20"/>
          <w:szCs w:val="20"/>
        </w:rPr>
        <w:t xml:space="preserve">pm_responsible_user_id: only populated for CONNECT postings. NULL for DIRECT and INFORMAL solicitations by design — the programme manager field is specific to the connect workflow.</w:t>
      </w:r>
    </w:p>
    <w:p>
      <w:pPr>
        <w:pBdr>
          <w:left w:val="single" w:color="1A2744" w:sz="12" w:space="4"/>
        </w:pBdr>
        <w:spacing w:before="80" w:after="80"/>
        <w:ind w:left="280"/>
      </w:pPr>
      <w:r>
        <w:rPr>
          <w:rFonts w:ascii="Arial" w:cs="Arial" w:eastAsia="Arial" w:hAnsi="Arial"/>
          <w:b/>
          <w:bCs/>
          <w:color w:val="1A2744"/>
          <w:sz w:val="20"/>
          <w:szCs w:val="20"/>
        </w:rPr>
        <w:t xml:space="preserve">DECISION: </w:t>
      </w:r>
      <w:r>
        <w:rPr>
          <w:rFonts w:ascii="Arial" w:cs="Arial" w:eastAsia="Arial" w:hAnsi="Arial"/>
          <w:i/>
          <w:iCs/>
          <w:color w:val="333333"/>
          <w:sz w:val="20"/>
          <w:szCs w:val="20"/>
        </w:rPr>
        <w:t xml:space="preserve">ja_reason_cd: from solicit_posting_direct.reason_for_direct_cd. This is the J&amp;A statutory authority for other-than-full-and-open competition per FAR 6.302. Only populated for DIRECT/DIRECT_CONNECT postings.</w:t>
      </w:r>
    </w:p>
    <w:p>
      <w:pPr>
        <w:spacing w:before="100" w:after="0"/>
      </w:pPr>
      <w:r>
        <w:t xml:space="preserve"/>
      </w:r>
    </w:p>
    <w:p>
      <w:pPr>
        <w:pStyle w:val="Heading2"/>
        <w:spacing w:before="260" w:after="80"/>
      </w:pPr>
      <w:r>
        <w:rPr>
          <w:rFonts w:ascii="Arial" w:cs="Arial" w:eastAsia="Arial" w:hAnsi="Arial"/>
          <w:b/>
          <w:bCs/>
          <w:color w:val="1E5FA8"/>
          <w:sz w:val="26"/>
          <w:szCs w:val="26"/>
        </w:rPr>
        <w:t xml:space="preserve">2.2  prime_dim_piid</w:t>
      </w:r>
    </w:p>
    <w:p>
      <w:pPr>
        <w:spacing w:before="60" w:after="60"/>
      </w:pPr>
      <w:r>
        <w:rPr>
          <w:rFonts w:ascii="Arial" w:cs="Arial" w:eastAsia="Arial" w:hAnsi="Arial"/>
          <w:sz w:val="22"/>
          <w:szCs w:val="22"/>
        </w:rPr>
        <w:t xml:space="preserve">Source: silver_aasbs_award. One row per resulting award. piid_ext from the latest award_mod.</w:t>
      </w:r>
    </w:p>
    <w:p>
      <w:pPr>
        <w:pBdr>
          <w:left w:val="single" w:color="1A2744" w:sz="12" w:space="4"/>
        </w:pBdr>
        <w:spacing w:before="80" w:after="80"/>
        <w:ind w:left="280"/>
      </w:pPr>
      <w:r>
        <w:rPr>
          <w:rFonts w:ascii="Arial" w:cs="Arial" w:eastAsia="Arial" w:hAnsi="Arial"/>
          <w:b/>
          <w:bCs/>
          <w:color w:val="1A2744"/>
          <w:sz w:val="20"/>
          <w:szCs w:val="20"/>
        </w:rPr>
        <w:t xml:space="preserve">DECISION: </w:t>
      </w:r>
      <w:r>
        <w:rPr>
          <w:rFonts w:ascii="Arial" w:cs="Arial" w:eastAsia="Arial" w:hAnsi="Arial"/>
          <w:i/>
          <w:iCs/>
          <w:color w:val="333333"/>
          <w:sz w:val="20"/>
          <w:szCs w:val="20"/>
        </w:rPr>
        <w:t xml:space="preserve">PIID component parsing (IMPROVEMENT I-DP7-2): per FAR 4.1602, a conforming PIID encodes AAC (positions 1–6), fiscal year 2-digit (7–8), instrument type letter (9), sequence (10–13). The conformance guard requires LENGTH(TRIM(award_piid)) &gt;= 13. Any PIID shorter than 13 characters produces NULL for all parsed components rather than incorrect partial values. The +2000 offset on fiscal year (position 7–8 = '25' → FY2025) applies only when the two characters are both numeric.</w:t>
      </w:r>
    </w:p>
    <w:p>
      <w:pPr>
        <w:pBdr>
          <w:left w:val="single" w:color="1A2744" w:sz="12" w:space="4"/>
        </w:pBdr>
        <w:spacing w:before="80" w:after="80"/>
        <w:ind w:left="280"/>
      </w:pPr>
      <w:r>
        <w:rPr>
          <w:rFonts w:ascii="Arial" w:cs="Arial" w:eastAsia="Arial" w:hAnsi="Arial"/>
          <w:b/>
          <w:bCs/>
          <w:color w:val="1A2744"/>
          <w:sz w:val="20"/>
          <w:szCs w:val="20"/>
        </w:rPr>
        <w:t xml:space="preserve">DECISION: </w:t>
      </w:r>
      <w:r>
        <w:rPr>
          <w:rFonts w:ascii="Arial" w:cs="Arial" w:eastAsia="Arial" w:hAnsi="Arial"/>
          <w:i/>
          <w:iCs/>
          <w:color w:val="333333"/>
          <w:sz w:val="20"/>
          <w:szCs w:val="20"/>
        </w:rPr>
        <w:t xml:space="preserve">piid_id = award.id (natural key). The dim is keyed on award.id because piid_sk is used on fact_solicitation_response exclusively for winner rows, and each winner maps to exactly one award. Base_piid = award.award_piid (the full PIID at award level has no modification suffix).</w:t>
      </w:r>
    </w:p>
    <w:p>
      <w:pPr>
        <w:pBdr>
          <w:left w:val="single" w:color="1A2744" w:sz="12" w:space="4"/>
        </w:pBdr>
        <w:spacing w:before="80" w:after="80"/>
        <w:ind w:left="280"/>
      </w:pPr>
      <w:r>
        <w:rPr>
          <w:rFonts w:ascii="Arial" w:cs="Arial" w:eastAsia="Arial" w:hAnsi="Arial"/>
          <w:b/>
          <w:bCs/>
          <w:color w:val="1A2744"/>
          <w:sz w:val="20"/>
          <w:szCs w:val="20"/>
        </w:rPr>
        <w:t xml:space="preserve">DECISION: </w:t>
      </w:r>
      <w:r>
        <w:rPr>
          <w:rFonts w:ascii="Arial" w:cs="Arial" w:eastAsia="Arial" w:hAnsi="Arial"/>
          <w:i/>
          <w:iCs/>
          <w:color w:val="333333"/>
          <w:sz w:val="20"/>
          <w:szCs w:val="20"/>
        </w:rPr>
        <w:t xml:space="preserve">Non-conforming PIID post-load: the check prints a WARNING with sample values when non-conforming PIIDs exist. This is expected for legacy or migrated records. The sample helps operators identify which records need attention without failing the pipeline.</w:t>
      </w:r>
    </w:p>
    <w:p>
      <w:pPr>
        <w:spacing w:before="100" w:after="0"/>
      </w:pPr>
      <w:r>
        <w:t xml:space="preserve"/>
      </w:r>
    </w:p>
    <w:p>
      <w:pPr>
        <w:pStyle w:val="Heading2"/>
        <w:spacing w:before="260" w:after="80"/>
      </w:pPr>
      <w:r>
        <w:rPr>
          <w:rFonts w:ascii="Arial" w:cs="Arial" w:eastAsia="Arial" w:hAnsi="Arial"/>
          <w:b/>
          <w:bCs/>
          <w:color w:val="1E5FA8"/>
          <w:sz w:val="26"/>
          <w:szCs w:val="26"/>
        </w:rPr>
        <w:t xml:space="preserve">2.3  prime_fact_solicitation_response</w:t>
      </w:r>
    </w:p>
    <w:p>
      <w:pPr>
        <w:spacing w:before="60" w:after="60"/>
      </w:pPr>
      <w:r>
        <w:rPr>
          <w:rFonts w:ascii="Arial" w:cs="Arial" w:eastAsia="Arial" w:hAnsi="Arial"/>
          <w:sz w:val="22"/>
          <w:szCs w:val="22"/>
        </w:rPr>
        <w:t xml:space="preserve">The most complex notebook in DP7 — eight supporting temp views, dual pre-flight, and four DEFERRED column annotations.</w:t>
      </w:r>
    </w:p>
    <w:p>
      <w:pPr>
        <w:pBdr>
          <w:left w:val="single" w:color="1A2744" w:sz="12" w:space="4"/>
        </w:pBdr>
        <w:spacing w:before="80" w:after="80"/>
        <w:ind w:left="280"/>
      </w:pPr>
      <w:r>
        <w:rPr>
          <w:rFonts w:ascii="Arial" w:cs="Arial" w:eastAsia="Arial" w:hAnsi="Arial"/>
          <w:b/>
          <w:bCs/>
          <w:color w:val="1A2744"/>
          <w:sz w:val="20"/>
          <w:szCs w:val="20"/>
        </w:rPr>
        <w:t xml:space="preserve">DECISION: </w:t>
      </w:r>
      <w:r>
        <w:rPr>
          <w:rFonts w:ascii="Arial" w:cs="Arial" w:eastAsia="Arial" w:hAnsi="Arial"/>
          <w:i/>
          <w:iCs/>
          <w:color w:val="333333"/>
          <w:sz w:val="20"/>
          <w:szCs w:val="20"/>
        </w:rPr>
        <w:t xml:space="preserve">DP2 pre-flight guard (IMPROVEMENT I-DP7-1): fact_solicitation_response requires alt.dim_solicitation, alt.dim_acquisition, and alt.dim_contractor — all from DP2. The pre-flight checks all three at the top of the notebook and exits with BLOCKED_DP2_NOT_PRIMED if any are empty. This prevents silent sentinel-only loading which would appear to succeed but produce no meaningful FK resolutions.</w:t>
      </w:r>
    </w:p>
    <w:p>
      <w:pPr>
        <w:pBdr>
          <w:left w:val="single" w:color="1A2744" w:sz="12" w:space="4"/>
        </w:pBdr>
        <w:spacing w:before="80" w:after="80"/>
        <w:ind w:left="280"/>
      </w:pPr>
      <w:r>
        <w:rPr>
          <w:rFonts w:ascii="Arial" w:cs="Arial" w:eastAsia="Arial" w:hAnsi="Arial"/>
          <w:b/>
          <w:bCs/>
          <w:color w:val="1A2744"/>
          <w:sz w:val="20"/>
          <w:szCs w:val="20"/>
        </w:rPr>
        <w:t xml:space="preserve">DECISION: </w:t>
      </w:r>
      <w:r>
        <w:rPr>
          <w:rFonts w:ascii="Arial" w:cs="Arial" w:eastAsia="Arial" w:hAnsi="Arial"/>
          <w:i/>
          <w:iCs/>
          <w:color w:val="333333"/>
          <w:sz w:val="20"/>
          <w:szCs w:val="20"/>
        </w:rPr>
        <w:t xml:space="preserve">ia_sk winner-only resolution (IMPROVEMENT I-DP7-3): for winner rows, ia_sk is resolved via award.acquisition_id → award_ia.award_id → MIN(ia_id) → dim_ia. For non-winner rows, no award record exists to bridge through, so ia_sk = -1 is correct and expected. The three-bucket post-load report distinguishes: (a) winners with resolved ia_sk, (b) winners with unexpected sentinel (investigate), (c) non-winners with sentinel (expected — do not flag as an error).</w:t>
      </w:r>
    </w:p>
    <w:p>
      <w:pPr>
        <w:pBdr>
          <w:left w:val="single" w:color="1A2744" w:sz="12" w:space="4"/>
        </w:pBdr>
        <w:spacing w:before="80" w:after="80"/>
        <w:ind w:left="280"/>
      </w:pPr>
      <w:r>
        <w:rPr>
          <w:rFonts w:ascii="Arial" w:cs="Arial" w:eastAsia="Arial" w:hAnsi="Arial"/>
          <w:b/>
          <w:bCs/>
          <w:color w:val="1A2744"/>
          <w:sz w:val="20"/>
          <w:szCs w:val="20"/>
        </w:rPr>
        <w:t xml:space="preserve">DECISION: </w:t>
      </w:r>
      <w:r>
        <w:rPr>
          <w:rFonts w:ascii="Arial" w:cs="Arial" w:eastAsia="Arial" w:hAnsi="Arial"/>
          <w:i/>
          <w:iCs/>
          <w:color w:val="333333"/>
          <w:sz w:val="20"/>
          <w:szCs w:val="20"/>
        </w:rPr>
        <w:t xml:space="preserve">is_small_business_flag (IMPROVEMENT I-DP7-4): the primary path uses response_company_duns → alt.dim_contractor.duns_num → small_business_flag. dim_contractor was primed by DP2 and already holds the SB classification from award_mod_company.business_type_cd. The DUNS join is simpler and more direct than the ipartner chain (solicit_company → award_mod_company). A fallback to the ipartner chain is also resolved in v_contractor_per_response and combined via COALESCE. Post-load warns at 0% SB flag — this indicates a DUNS format mismatch (e.g. leading zeros dropped by the source system).</w:t>
      </w:r>
    </w:p>
    <w:p>
      <w:pPr>
        <w:pBdr>
          <w:left w:val="single" w:color="1A2744" w:sz="12" w:space="4"/>
        </w:pBdr>
        <w:spacing w:before="80" w:after="80"/>
        <w:ind w:left="280"/>
      </w:pPr>
      <w:r>
        <w:rPr>
          <w:rFonts w:ascii="Arial" w:cs="Arial" w:eastAsia="Arial" w:hAnsi="Arial"/>
          <w:b/>
          <w:bCs/>
          <w:color w:val="1A2744"/>
          <w:sz w:val="20"/>
          <w:szCs w:val="20"/>
        </w:rPr>
        <w:t xml:space="preserve">DECISION: </w:t>
      </w:r>
      <w:r>
        <w:rPr>
          <w:rFonts w:ascii="Arial" w:cs="Arial" w:eastAsia="Arial" w:hAnsi="Arial"/>
          <w:i/>
          <w:iCs/>
          <w:color w:val="333333"/>
          <w:sz w:val="20"/>
          <w:szCs w:val="20"/>
        </w:rPr>
        <w:t xml:space="preserve">response_status_cd derivation: AWARDED (winning_response_yn='Y'), NO_RESPONSE (no_response_yn='Y'), SUBMITTED (neither). These are the three natural states of a solicit_response record in ASSIST. No source column holds this status directly.</w:t>
      </w:r>
    </w:p>
    <w:p>
      <w:pPr>
        <w:pBdr>
          <w:left w:val="single" w:color="1A2744" w:sz="12" w:space="4"/>
        </w:pBdr>
        <w:spacing w:before="80" w:after="80"/>
        <w:ind w:left="280"/>
      </w:pPr>
      <w:r>
        <w:rPr>
          <w:rFonts w:ascii="Arial" w:cs="Arial" w:eastAsia="Arial" w:hAnsi="Arial"/>
          <w:b/>
          <w:bCs/>
          <w:color w:val="1A2744"/>
          <w:sz w:val="20"/>
          <w:szCs w:val="20"/>
        </w:rPr>
        <w:t xml:space="preserve">DECISION: </w:t>
      </w:r>
      <w:r>
        <w:rPr>
          <w:rFonts w:ascii="Arial" w:cs="Arial" w:eastAsia="Arial" w:hAnsi="Arial"/>
          <w:i/>
          <w:iCs/>
          <w:color w:val="333333"/>
          <w:sz w:val="20"/>
          <w:szCs w:val="20"/>
        </w:rPr>
        <w:t xml:space="preserve">DEFERRED columns (IMPROVEMENT I-DP7-6): bid_total_amt, bid_clin_count, bid_vs_award_variance, competition_rank are all NULL on prime. This is explicitly annotated as a source system limitation — ASSIST does not capture contractor bid prices. The distinction from SILVER-PENDING is important: SILVER-PENDING means a table exists in the source system but has not been ingested; DEFERRED means the source system itself does not capture the data. Resolution requires a source system enhancement programme, not merely Silver ingestion work.</w:t>
      </w:r>
    </w:p>
    <w:p>
      <w:pPr>
        <w:spacing w:before="200" w:after="0"/>
      </w:pPr>
      <w:r>
        <w:t xml:space="preserve"/>
      </w:r>
    </w:p>
    <w:p>
      <w:r>
        <w:br w:type="page"/>
      </w:r>
    </w:p>
    <w:p>
      <w:pPr>
        <w:pStyle w:val="Heading1"/>
        <w:spacing w:before="340" w:after="120"/>
      </w:pPr>
      <w:r>
        <w:rPr>
          <w:rFonts w:ascii="Arial" w:cs="Arial" w:eastAsia="Arial" w:hAnsi="Arial"/>
          <w:b/>
          <w:bCs/>
          <w:color w:val="1A2744"/>
          <w:sz w:val="32"/>
          <w:szCs w:val="32"/>
        </w:rPr>
        <w:t xml:space="preserve">3.  Cross-Notebook Design Decisions</w:t>
      </w:r>
    </w:p>
    <w:p>
      <w:pPr>
        <w:pStyle w:val="Heading2"/>
        <w:spacing w:before="260" w:after="80"/>
      </w:pPr>
      <w:r>
        <w:rPr>
          <w:rFonts w:ascii="Arial" w:cs="Arial" w:eastAsia="Arial" w:hAnsi="Arial"/>
          <w:b/>
          <w:bCs/>
          <w:color w:val="1E5FA8"/>
          <w:sz w:val="26"/>
          <w:szCs w:val="26"/>
        </w:rPr>
        <w:t xml:space="preserve">3.1  DP2 dependency handling</w:t>
      </w:r>
    </w:p>
    <w:p>
      <w:pPr>
        <w:spacing w:before="60" w:after="60"/>
      </w:pPr>
      <w:r>
        <w:rPr>
          <w:rFonts w:ascii="Arial" w:cs="Arial" w:eastAsia="Arial" w:hAnsi="Arial"/>
          <w:sz w:val="22"/>
          <w:szCs w:val="22"/>
        </w:rPr>
        <w:t xml:space="preserve">DP7 has a hard dependency on three DP2 Gold dims. Both the driver (pre-flight) and the fact notebook (internal pre-flight guard) check for DP2 readiness. The dual-check ensures the fact cannot run standalone (without the driver) without the DP2 check firing.</w:t>
      </w:r>
    </w:p>
    <w:p>
      <w:pPr>
        <w:pStyle w:val="Heading2"/>
        <w:spacing w:before="260" w:after="80"/>
      </w:pPr>
      <w:r>
        <w:rPr>
          <w:rFonts w:ascii="Arial" w:cs="Arial" w:eastAsia="Arial" w:hAnsi="Arial"/>
          <w:b/>
          <w:bCs/>
          <w:color w:val="1E5FA8"/>
          <w:sz w:val="26"/>
          <w:szCs w:val="26"/>
        </w:rPr>
        <w:t xml:space="preserve">3.2  Winner vs non-winner pattern</w:t>
      </w:r>
    </w:p>
    <w:p>
      <w:pPr>
        <w:spacing w:before="60" w:after="60"/>
      </w:pPr>
      <w:r>
        <w:rPr>
          <w:rFonts w:ascii="Arial" w:cs="Arial" w:eastAsia="Arial" w:hAnsi="Arial"/>
          <w:sz w:val="22"/>
          <w:szCs w:val="22"/>
        </w:rPr>
        <w:t xml:space="preserve">Several fields on fact_solicitation_response are winner-only: piid_sk, award_date_sk, award_total_amt, ia_sk (when resolved). These are computed as CASE WHEN winning_response_yn='Y' THEN ... ELSE NULL/sentinel. This is explicitly documented in code comments for each field. Non-winner sentinel ia_sk=-1 is documented as expected behaviour in the three-bucket post-load report.</w:t>
      </w:r>
    </w:p>
    <w:p>
      <w:pPr>
        <w:pStyle w:val="Heading2"/>
        <w:spacing w:before="260" w:after="80"/>
      </w:pPr>
      <w:r>
        <w:rPr>
          <w:rFonts w:ascii="Arial" w:cs="Arial" w:eastAsia="Arial" w:hAnsi="Arial"/>
          <w:b/>
          <w:bCs/>
          <w:color w:val="1E5FA8"/>
          <w:sz w:val="26"/>
          <w:szCs w:val="26"/>
        </w:rPr>
        <w:t xml:space="preserve">3.3  DEFERRED vs SILVER-PENDING distinction</w:t>
      </w:r>
    </w:p>
    <w:p>
      <w:pPr>
        <w:spacing w:before="60" w:after="60"/>
      </w:pPr>
      <w:r>
        <w:rPr>
          <w:rFonts w:ascii="Arial" w:cs="Arial" w:eastAsia="Arial" w:hAnsi="Arial"/>
          <w:sz w:val="22"/>
          <w:szCs w:val="22"/>
        </w:rPr>
        <w:t xml:space="preserve">DP7 introduces a new annotation category: DEFERRED. This differs from SILVER-PENDING in a critical way: SILVER-PENDING means the source table exists and simply needs to be ingested into Silver. DEFERRED means the source system (ASSIST) does not collect the data at all. The distinction affects the resolution path: SILVER-PENDING requires Silver pipeline work; DEFERRED requires source system programme engagement first. Both categories use NULL on prime but are documented differently in code comments.</w:t>
      </w:r>
    </w:p>
    <w:p>
      <w:pPr>
        <w:spacing w:before="200" w:after="0"/>
      </w:pPr>
      <w:r>
        <w:t xml:space="preserve"/>
      </w:r>
    </w:p>
    <w:p>
      <w:r>
        <w:br w:type="page"/>
      </w:r>
    </w:p>
    <w:p>
      <w:pPr>
        <w:pStyle w:val="Heading1"/>
        <w:spacing w:before="340" w:after="120"/>
      </w:pPr>
      <w:r>
        <w:rPr>
          <w:rFonts w:ascii="Arial" w:cs="Arial" w:eastAsia="Arial" w:hAnsi="Arial"/>
          <w:b/>
          <w:bCs/>
          <w:color w:val="1A2744"/>
          <w:sz w:val="32"/>
          <w:szCs w:val="32"/>
        </w:rPr>
        <w:t xml:space="preserve">4.  Improvement Decisions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3000"/>
        <w:gridCol w:w="3260"/>
      </w:tblGrid>
      <w:tr>
        <w:tc>
          <w:tcPr>
            <w:tcW w:type="dxa" w:w="500"/>
            <w:tcBorders>
              <w:top w:val="single" w:color="DCE3EF" w:sz="4"/>
              <w:left w:val="single" w:color="DCE3EF" w:sz="4"/>
              <w:bottom w:val="single" w:color="DCE3EF" w:sz="4"/>
              <w:right w:val="single" w:color="DCE3EF" w:sz="4"/>
            </w:tcBorders>
            <w:shd w:fill="1A2744" w:val="clear"/>
            <w:tcMar>
              <w:top w:type="dxa" w:w="80"/>
              <w:left w:type="dxa" w:w="120"/>
              <w:bottom w:type="dxa" w:w="80"/>
              <w:right w:type="dxa" w:w="120"/>
            </w:tcMar>
            <w:vAlign w:val="center"/>
          </w:tcPr>
          <w:p>
            <w:r>
              <w:rPr>
                <w:rFonts w:ascii="Arial" w:cs="Arial" w:eastAsia="Arial" w:hAnsi="Arial"/>
                <w:b/>
                <w:bCs/>
                <w:color w:val="FFFFFF"/>
                <w:sz w:val="18"/>
                <w:szCs w:val="18"/>
              </w:rPr>
              <w:t xml:space="preserve">Ref</w:t>
            </w:r>
          </w:p>
        </w:tc>
        <w:tc>
          <w:tcPr>
            <w:tcW w:type="dxa" w:w="2600"/>
            <w:tcBorders>
              <w:top w:val="single" w:color="DCE3EF" w:sz="4"/>
              <w:left w:val="single" w:color="DCE3EF" w:sz="4"/>
              <w:bottom w:val="single" w:color="DCE3EF" w:sz="4"/>
              <w:right w:val="single" w:color="DCE3EF" w:sz="4"/>
            </w:tcBorders>
            <w:shd w:fill="1A2744" w:val="clear"/>
            <w:tcMar>
              <w:top w:type="dxa" w:w="80"/>
              <w:left w:type="dxa" w:w="120"/>
              <w:bottom w:type="dxa" w:w="80"/>
              <w:right w:type="dxa" w:w="120"/>
            </w:tcMar>
            <w:vAlign w:val="center"/>
          </w:tcPr>
          <w:p>
            <w:r>
              <w:rPr>
                <w:rFonts w:ascii="Arial" w:cs="Arial" w:eastAsia="Arial" w:hAnsi="Arial"/>
                <w:b/>
                <w:bCs/>
                <w:color w:val="FFFFFF"/>
                <w:sz w:val="18"/>
                <w:szCs w:val="18"/>
              </w:rPr>
              <w:t xml:space="preserve">Applied In</w:t>
            </w:r>
          </w:p>
        </w:tc>
        <w:tc>
          <w:tcPr>
            <w:tcW w:type="dxa" w:w="3000"/>
            <w:tcBorders>
              <w:top w:val="single" w:color="DCE3EF" w:sz="4"/>
              <w:left w:val="single" w:color="DCE3EF" w:sz="4"/>
              <w:bottom w:val="single" w:color="DCE3EF" w:sz="4"/>
              <w:right w:val="single" w:color="DCE3EF" w:sz="4"/>
            </w:tcBorders>
            <w:shd w:fill="1A2744" w:val="clear"/>
            <w:tcMar>
              <w:top w:type="dxa" w:w="80"/>
              <w:left w:type="dxa" w:w="120"/>
              <w:bottom w:type="dxa" w:w="80"/>
              <w:right w:type="dxa" w:w="120"/>
            </w:tcMar>
            <w:vAlign w:val="center"/>
          </w:tcPr>
          <w:p>
            <w:r>
              <w:rPr>
                <w:rFonts w:ascii="Arial" w:cs="Arial" w:eastAsia="Arial" w:hAnsi="Arial"/>
                <w:b/>
                <w:bCs/>
                <w:color w:val="FFFFFF"/>
                <w:sz w:val="18"/>
                <w:szCs w:val="18"/>
              </w:rPr>
              <w:t xml:space="preserve">What</w:t>
            </w:r>
          </w:p>
        </w:tc>
        <w:tc>
          <w:tcPr>
            <w:tcW w:type="dxa" w:w="3260"/>
            <w:tcBorders>
              <w:top w:val="single" w:color="DCE3EF" w:sz="4"/>
              <w:left w:val="single" w:color="DCE3EF" w:sz="4"/>
              <w:bottom w:val="single" w:color="DCE3EF" w:sz="4"/>
              <w:right w:val="single" w:color="DCE3EF" w:sz="4"/>
            </w:tcBorders>
            <w:shd w:fill="1A2744" w:val="clear"/>
            <w:tcMar>
              <w:top w:type="dxa" w:w="80"/>
              <w:left w:type="dxa" w:w="120"/>
              <w:bottom w:type="dxa" w:w="80"/>
              <w:right w:type="dxa" w:w="120"/>
            </w:tcMar>
            <w:vAlign w:val="center"/>
          </w:tcPr>
          <w:p>
            <w:r>
              <w:rPr>
                <w:rFonts w:ascii="Arial" w:cs="Arial" w:eastAsia="Arial" w:hAnsi="Arial"/>
                <w:b/>
                <w:bCs/>
                <w:color w:val="FFFFFF"/>
                <w:sz w:val="18"/>
                <w:szCs w:val="18"/>
              </w:rPr>
              <w:t xml:space="preserve">Why</w:t>
            </w:r>
          </w:p>
        </w:tc>
      </w:tr>
      <w:tr>
        <w:tc>
          <w:tcPr>
            <w:tcW w:type="dxa" w:w="5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sz w:val="20"/>
                <w:szCs w:val="20"/>
              </w:rPr>
              <w:t xml:space="preserve">I-DP7-1</w:t>
            </w:r>
          </w:p>
        </w:tc>
        <w:tc>
          <w:tcPr>
            <w:tcW w:type="dxa" w:w="26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sz w:val="20"/>
                <w:szCs w:val="20"/>
              </w:rPr>
              <w:t xml:space="preserve">prime_fact_solicitation_response + driver</w:t>
            </w:r>
          </w:p>
        </w:tc>
        <w:tc>
          <w:tcPr>
            <w:tcW w:type="dxa" w:w="30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sz w:val="20"/>
                <w:szCs w:val="20"/>
              </w:rPr>
              <w:t xml:space="preserve">DP2 pre-flight guard dual-check</w:t>
            </w:r>
          </w:p>
        </w:tc>
        <w:tc>
          <w:tcPr>
            <w:tcW w:type="dxa" w:w="326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center"/>
          </w:tcPr>
          <w:p>
            <w:r>
              <w:rPr>
                <w:rFonts w:ascii="Arial" w:cs="Arial" w:eastAsia="Arial" w:hAnsi="Arial"/>
                <w:b/>
                <w:bCs/>
                <w:color w:val="222222"/>
                <w:sz w:val="19"/>
                <w:szCs w:val="19"/>
              </w:rPr>
              <w:t xml:space="preserve">Silent all-sentinel loading is worse than a clean abort. The guard surfaces missing DP2 dims immediately.</w:t>
            </w:r>
          </w:p>
        </w:tc>
      </w:tr>
      <w:tr>
        <w:tc>
          <w:tcPr>
            <w:tcW w:type="dxa" w:w="5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sz w:val="20"/>
                <w:szCs w:val="20"/>
              </w:rPr>
              <w:t xml:space="preserve">I-DP7-2</w:t>
            </w:r>
          </w:p>
        </w:tc>
        <w:tc>
          <w:tcPr>
            <w:tcW w:type="dxa" w:w="26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sz w:val="20"/>
                <w:szCs w:val="20"/>
              </w:rPr>
              <w:t xml:space="preserve">prime_dim_piid</w:t>
            </w:r>
          </w:p>
        </w:tc>
        <w:tc>
          <w:tcPr>
            <w:tcW w:type="dxa" w:w="30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sz w:val="20"/>
                <w:szCs w:val="20"/>
              </w:rPr>
              <w:t xml:space="preserve">FAR 4.1602 positional parse + conformance guard</w:t>
            </w:r>
          </w:p>
        </w:tc>
        <w:tc>
          <w:tcPr>
            <w:tcW w:type="dxa" w:w="326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center"/>
          </w:tcPr>
          <w:p>
            <w:r>
              <w:rPr>
                <w:rFonts w:ascii="Arial" w:cs="Arial" w:eastAsia="Arial" w:hAnsi="Arial"/>
                <w:b/>
                <w:bCs/>
                <w:color w:val="222222"/>
                <w:sz w:val="19"/>
                <w:szCs w:val="19"/>
              </w:rPr>
              <w:t xml:space="preserve">Non-conforming PIIDs must produce NULL not garbage substrings. Post-load shows conformance rate.</w:t>
            </w:r>
          </w:p>
        </w:tc>
      </w:tr>
      <w:tr>
        <w:tc>
          <w:tcPr>
            <w:tcW w:type="dxa" w:w="5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sz w:val="20"/>
                <w:szCs w:val="20"/>
              </w:rPr>
              <w:t xml:space="preserve">I-DP7-3</w:t>
            </w:r>
          </w:p>
        </w:tc>
        <w:tc>
          <w:tcPr>
            <w:tcW w:type="dxa" w:w="26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sz w:val="20"/>
                <w:szCs w:val="20"/>
              </w:rPr>
              <w:t xml:space="preserve">prime_fact_solicitation_response</w:t>
            </w:r>
          </w:p>
        </w:tc>
        <w:tc>
          <w:tcPr>
            <w:tcW w:type="dxa" w:w="30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sz w:val="20"/>
                <w:szCs w:val="20"/>
              </w:rPr>
              <w:t xml:space="preserve">ia_sk three-bucket post-load report</w:t>
            </w:r>
          </w:p>
        </w:tc>
        <w:tc>
          <w:tcPr>
            <w:tcW w:type="dxa" w:w="326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center"/>
          </w:tcPr>
          <w:p>
            <w:r>
              <w:rPr>
                <w:rFonts w:ascii="Arial" w:cs="Arial" w:eastAsia="Arial" w:hAnsi="Arial"/>
                <w:b/>
                <w:bCs/>
                <w:color w:val="222222"/>
                <w:sz w:val="19"/>
                <w:szCs w:val="19"/>
              </w:rPr>
              <w:t xml:space="preserve">Non-winner ia_sk=-1 is expected; winner ia_sk=-1 is a bug. The three-bucket report distinguishes these explicitly.</w:t>
            </w:r>
          </w:p>
        </w:tc>
      </w:tr>
      <w:tr>
        <w:tc>
          <w:tcPr>
            <w:tcW w:type="dxa" w:w="5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sz w:val="20"/>
                <w:szCs w:val="20"/>
              </w:rPr>
              <w:t xml:space="preserve">I-DP7-4</w:t>
            </w:r>
          </w:p>
        </w:tc>
        <w:tc>
          <w:tcPr>
            <w:tcW w:type="dxa" w:w="26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sz w:val="20"/>
                <w:szCs w:val="20"/>
              </w:rPr>
              <w:t xml:space="preserve">prime_fact_solicitation_response</w:t>
            </w:r>
          </w:p>
        </w:tc>
        <w:tc>
          <w:tcPr>
            <w:tcW w:type="dxa" w:w="30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sz w:val="20"/>
                <w:szCs w:val="20"/>
              </w:rPr>
              <w:t xml:space="preserve">is_small_business_flag via DUNS + 0% warning</w:t>
            </w:r>
          </w:p>
        </w:tc>
        <w:tc>
          <w:tcPr>
            <w:tcW w:type="dxa" w:w="326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center"/>
          </w:tcPr>
          <w:p>
            <w:r>
              <w:rPr>
                <w:rFonts w:ascii="Arial" w:cs="Arial" w:eastAsia="Arial" w:hAnsi="Arial"/>
                <w:b/>
                <w:bCs/>
                <w:color w:val="222222"/>
                <w:sz w:val="19"/>
                <w:szCs w:val="19"/>
              </w:rPr>
              <w:t xml:space="preserve">DUNS join to dim_contractor is simpler than ipartner chain. 0% warning detects format mismatches early.</w:t>
            </w:r>
          </w:p>
        </w:tc>
      </w:tr>
      <w:tr>
        <w:tc>
          <w:tcPr>
            <w:tcW w:type="dxa" w:w="5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sz w:val="20"/>
                <w:szCs w:val="20"/>
              </w:rPr>
              <w:t xml:space="preserve">I-DP7-5</w:t>
            </w:r>
          </w:p>
        </w:tc>
        <w:tc>
          <w:tcPr>
            <w:tcW w:type="dxa" w:w="26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sz w:val="20"/>
                <w:szCs w:val="20"/>
              </w:rPr>
              <w:t xml:space="preserve">prime_dim_posting_type</w:t>
            </w:r>
          </w:p>
        </w:tc>
        <w:tc>
          <w:tcPr>
            <w:tcW w:type="dxa" w:w="30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sz w:val="20"/>
                <w:szCs w:val="20"/>
              </w:rPr>
              <w:t xml:space="preserve">DIRECT/CONNECT COALESCE + integrity check</w:t>
            </w:r>
          </w:p>
        </w:tc>
        <w:tc>
          <w:tcPr>
            <w:tcW w:type="dxa" w:w="326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center"/>
          </w:tcPr>
          <w:p>
            <w:r>
              <w:rPr>
                <w:rFonts w:ascii="Arial" w:cs="Arial" w:eastAsia="Arial" w:hAnsi="Arial"/>
                <w:b/>
                <w:bCs/>
                <w:color w:val="222222"/>
                <w:sz w:val="19"/>
                <w:szCs w:val="19"/>
              </w:rPr>
              <w:t xml:space="preserve">Documents the priority ordering; detects source data issues where both posting types are set.</w:t>
            </w:r>
          </w:p>
        </w:tc>
      </w:tr>
      <w:tr>
        <w:tc>
          <w:tcPr>
            <w:tcW w:type="dxa" w:w="5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sz w:val="20"/>
                <w:szCs w:val="20"/>
              </w:rPr>
              <w:t xml:space="preserve">I-DP7-6</w:t>
            </w:r>
          </w:p>
        </w:tc>
        <w:tc>
          <w:tcPr>
            <w:tcW w:type="dxa" w:w="26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sz w:val="20"/>
                <w:szCs w:val="20"/>
              </w:rPr>
              <w:t xml:space="preserve">prime_fact_solicitation_response</w:t>
            </w:r>
          </w:p>
        </w:tc>
        <w:tc>
          <w:tcPr>
            <w:tcW w:type="dxa" w:w="30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sz w:val="20"/>
                <w:szCs w:val="20"/>
              </w:rPr>
              <w:t xml:space="preserve">DEFERRED annotation (vs SILVER-PENDING)</w:t>
            </w:r>
          </w:p>
        </w:tc>
        <w:tc>
          <w:tcPr>
            <w:tcW w:type="dxa" w:w="326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center"/>
          </w:tcPr>
          <w:p>
            <w:r>
              <w:rPr>
                <w:rFonts w:ascii="Arial" w:cs="Arial" w:eastAsia="Arial" w:hAnsi="Arial"/>
                <w:b/>
                <w:bCs/>
                <w:color w:val="222222"/>
                <w:sz w:val="19"/>
                <w:szCs w:val="19"/>
              </w:rPr>
              <w:t xml:space="preserve">Correctly characterises source system limitation. Resolution path is different from Silver ingestion gaps.</w:t>
            </w:r>
          </w:p>
        </w:tc>
      </w:tr>
      <w:tr>
        <w:tc>
          <w:tcPr>
            <w:tcW w:type="dxa" w:w="5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sz w:val="20"/>
                <w:szCs w:val="20"/>
              </w:rPr>
              <w:t xml:space="preserve">I-DP7-7</w:t>
            </w:r>
          </w:p>
        </w:tc>
        <w:tc>
          <w:tcPr>
            <w:tcW w:type="dxa" w:w="26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sz w:val="20"/>
                <w:szCs w:val="20"/>
              </w:rPr>
              <w:t xml:space="preserve">prime_dp7_driver</w:t>
            </w:r>
          </w:p>
        </w:tc>
        <w:tc>
          <w:tcPr>
            <w:tcW w:type="dxa" w:w="30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sz w:val="20"/>
                <w:szCs w:val="20"/>
              </w:rPr>
              <w:t xml:space="preserve">DRIVER_WARNING on force_fact + PREFLIGHT_FAILURE distinguished</w:t>
            </w:r>
          </w:p>
        </w:tc>
        <w:tc>
          <w:tcPr>
            <w:tcW w:type="dxa" w:w="326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center"/>
          </w:tcPr>
          <w:p>
            <w:r>
              <w:rPr>
                <w:rFonts w:ascii="Arial" w:cs="Arial" w:eastAsia="Arial" w:hAnsi="Arial"/>
                <w:b/>
                <w:bCs/>
                <w:color w:val="222222"/>
                <w:sz w:val="19"/>
                <w:szCs w:val="19"/>
              </w:rPr>
              <w:t xml:space="preserve">Built in from first generation. PREFLIGHT_FAILURE is separate from DRIVER_FAILURE — dependency absence vs notebook error.</w:t>
            </w:r>
          </w:p>
        </w:tc>
      </w:tr>
    </w:tbl>
    <w:p>
      <w:pPr>
        <w:spacing w:before="200" w:after="0"/>
      </w:pPr>
      <w:r>
        <w:t xml:space="preserve"/>
      </w:r>
    </w:p>
    <w:p>
      <w:pPr>
        <w:pStyle w:val="Heading1"/>
        <w:spacing w:before="340" w:after="120"/>
      </w:pPr>
      <w:r>
        <w:rPr>
          <w:rFonts w:ascii="Arial" w:cs="Arial" w:eastAsia="Arial" w:hAnsi="Arial"/>
          <w:b/>
          <w:bCs/>
          <w:color w:val="1A2744"/>
          <w:sz w:val="32"/>
          <w:szCs w:val="32"/>
        </w:rPr>
        <w:t xml:space="preserve">5.  Outstanding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800"/>
        <w:gridCol w:w="2000"/>
        <w:gridCol w:w="1560"/>
      </w:tblGrid>
      <w:tr>
        <w:tc>
          <w:tcPr>
            <w:tcW w:type="dxa" w:w="5800"/>
            <w:tcBorders>
              <w:top w:val="single" w:color="DCE3EF" w:sz="4"/>
              <w:left w:val="single" w:color="DCE3EF" w:sz="4"/>
              <w:bottom w:val="single" w:color="DCE3EF" w:sz="4"/>
              <w:right w:val="single" w:color="DCE3EF" w:sz="4"/>
            </w:tcBorders>
            <w:shd w:fill="1A2744" w:val="clear"/>
            <w:tcMar>
              <w:top w:type="dxa" w:w="80"/>
              <w:left w:type="dxa" w:w="120"/>
              <w:bottom w:type="dxa" w:w="80"/>
              <w:right w:type="dxa" w:w="120"/>
            </w:tcMar>
            <w:vAlign w:val="center"/>
          </w:tcPr>
          <w:p>
            <w:r>
              <w:rPr>
                <w:rFonts w:ascii="Arial" w:cs="Arial" w:eastAsia="Arial" w:hAnsi="Arial"/>
                <w:b/>
                <w:bCs/>
                <w:color w:val="FFFFFF"/>
                <w:sz w:val="18"/>
                <w:szCs w:val="18"/>
              </w:rPr>
              <w:t xml:space="preserve">Item</w:t>
            </w:r>
          </w:p>
        </w:tc>
        <w:tc>
          <w:tcPr>
            <w:tcW w:type="dxa" w:w="2000"/>
            <w:tcBorders>
              <w:top w:val="single" w:color="DCE3EF" w:sz="4"/>
              <w:left w:val="single" w:color="DCE3EF" w:sz="4"/>
              <w:bottom w:val="single" w:color="DCE3EF" w:sz="4"/>
              <w:right w:val="single" w:color="DCE3EF" w:sz="4"/>
            </w:tcBorders>
            <w:shd w:fill="1A2744" w:val="clear"/>
            <w:tcMar>
              <w:top w:type="dxa" w:w="80"/>
              <w:left w:type="dxa" w:w="120"/>
              <w:bottom w:type="dxa" w:w="80"/>
              <w:right w:type="dxa" w:w="120"/>
            </w:tcMar>
            <w:vAlign w:val="center"/>
          </w:tcPr>
          <w:p>
            <w:r>
              <w:rPr>
                <w:rFonts w:ascii="Arial" w:cs="Arial" w:eastAsia="Arial" w:hAnsi="Arial"/>
                <w:b/>
                <w:bCs/>
                <w:color w:val="FFFFFF"/>
                <w:sz w:val="18"/>
                <w:szCs w:val="18"/>
              </w:rPr>
              <w:t xml:space="preserve">Owner</w:t>
            </w:r>
          </w:p>
        </w:tc>
        <w:tc>
          <w:tcPr>
            <w:tcW w:type="dxa" w:w="1560"/>
            <w:tcBorders>
              <w:top w:val="single" w:color="DCE3EF" w:sz="4"/>
              <w:left w:val="single" w:color="DCE3EF" w:sz="4"/>
              <w:bottom w:val="single" w:color="DCE3EF" w:sz="4"/>
              <w:right w:val="single" w:color="DCE3EF" w:sz="4"/>
            </w:tcBorders>
            <w:shd w:fill="1A2744" w:val="clear"/>
            <w:tcMar>
              <w:top w:type="dxa" w:w="80"/>
              <w:left w:type="dxa" w:w="120"/>
              <w:bottom w:type="dxa" w:w="80"/>
              <w:right w:type="dxa" w:w="120"/>
            </w:tcMar>
            <w:vAlign w:val="center"/>
          </w:tcPr>
          <w:p>
            <w:r>
              <w:rPr>
                <w:rFonts w:ascii="Arial" w:cs="Arial" w:eastAsia="Arial" w:hAnsi="Arial"/>
                <w:b/>
                <w:bCs/>
                <w:color w:val="FFFFFF"/>
                <w:sz w:val="18"/>
                <w:szCs w:val="18"/>
              </w:rPr>
              <w:t xml:space="preserve">Priority</w:t>
            </w:r>
          </w:p>
        </w:tc>
      </w:tr>
      <w:tr>
        <w:tc>
          <w:tcPr>
            <w:tcW w:type="dxa" w:w="58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sz w:val="20"/>
                <w:szCs w:val="20"/>
              </w:rPr>
              <w:t xml:space="preserve">Source system enhancement to capture contractor bid prices in ASSIST. This is the primary data quality gap in DP7 and cannot be resolved by Silver or Gold pipeline work alone. Required for FAR 15.404 price reasonableness analytics.</w:t>
            </w:r>
          </w:p>
        </w:tc>
        <w:tc>
          <w:tcPr>
            <w:tcW w:type="dxa" w:w="20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sz w:val="20"/>
                <w:szCs w:val="20"/>
              </w:rPr>
              <w:t xml:space="preserve">Source system / programme owner</w:t>
            </w:r>
          </w:p>
        </w:tc>
        <w:tc>
          <w:tcPr>
            <w:tcW w:type="dxa" w:w="156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sz w:val="20"/>
                <w:szCs w:val="20"/>
              </w:rPr>
              <w:t xml:space="preserve">HIGH</w:t>
            </w:r>
          </w:p>
        </w:tc>
      </w:tr>
      <w:tr>
        <w:tc>
          <w:tcPr>
            <w:tcW w:type="dxa" w:w="58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sz w:val="20"/>
                <w:szCs w:val="20"/>
              </w:rPr>
              <w:t xml:space="preserve">Validate DUNS format between response_company_duns and dim_contractor.duns_num. Check for leading zero stripping, separator differences.</w:t>
            </w:r>
          </w:p>
        </w:tc>
        <w:tc>
          <w:tcPr>
            <w:tcW w:type="dxa" w:w="20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sz w:val="20"/>
                <w:szCs w:val="20"/>
              </w:rPr>
              <w:t xml:space="preserve">DP7 data engineer</w:t>
            </w:r>
          </w:p>
        </w:tc>
        <w:tc>
          <w:tcPr>
            <w:tcW w:type="dxa" w:w="156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sz w:val="20"/>
                <w:szCs w:val="20"/>
              </w:rPr>
              <w:t xml:space="preserve">MEDIUM</w:t>
            </w:r>
          </w:p>
        </w:tc>
      </w:tr>
      <w:tr>
        <w:tc>
          <w:tcPr>
            <w:tcW w:type="dxa" w:w="58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sz w:val="20"/>
                <w:szCs w:val="20"/>
              </w:rPr>
              <w:t xml:space="preserve">Confirm DIRECT_CONNECT posting type logic. Verify external_source_ref presence is the correct differentiator between DIRECT and DIRECT_CONNECT in the ASSIST workflow.</w:t>
            </w:r>
          </w:p>
        </w:tc>
        <w:tc>
          <w:tcPr>
            <w:tcW w:type="dxa" w:w="20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sz w:val="20"/>
                <w:szCs w:val="20"/>
              </w:rPr>
              <w:t xml:space="preserve">DP7 data engineer</w:t>
            </w:r>
          </w:p>
        </w:tc>
        <w:tc>
          <w:tcPr>
            <w:tcW w:type="dxa" w:w="156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sz w:val="20"/>
                <w:szCs w:val="20"/>
              </w:rPr>
              <w:t xml:space="preserve">LOW</w:t>
            </w:r>
          </w:p>
        </w:tc>
      </w:tr>
      <w:tr>
        <w:tc>
          <w:tcPr>
            <w:tcW w:type="dxa" w:w="58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sz w:val="20"/>
                <w:szCs w:val="20"/>
              </w:rPr>
              <w:t xml:space="preserve">Review non-conforming PIID samples in post-load output and document which PIID format variants are expected for legacy/migration records.</w:t>
            </w:r>
          </w:p>
        </w:tc>
        <w:tc>
          <w:tcPr>
            <w:tcW w:type="dxa" w:w="20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sz w:val="20"/>
                <w:szCs w:val="20"/>
              </w:rPr>
              <w:t xml:space="preserve">DP7 data engineer</w:t>
            </w:r>
          </w:p>
        </w:tc>
        <w:tc>
          <w:tcPr>
            <w:tcW w:type="dxa" w:w="156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sz w:val="20"/>
                <w:szCs w:val="20"/>
              </w:rPr>
              <w:t xml:space="preserve">LOW</w:t>
            </w:r>
          </w:p>
        </w:tc>
      </w:tr>
    </w:tbl>
    <w:sectPr>
      <w:headerReference w:type="default" r:id="rId6"/>
      <w:footerReference w:type="default" r:id="rId7"/>
      <w:pgSz w:w="12240" w:h="15840" w:orient="portrait"/>
      <w:pgMar w:top="1080" w:right="960" w:bottom="1080" w:left="9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CE3EF" w:sz="4" w:space="2"/>
      </w:pBdr>
      <w:jc w:val="right"/>
    </w:pPr>
    <w:r>
      <w:rPr>
        <w:rFonts w:ascii="Arial" w:cs="Arial" w:eastAsia="Arial" w:hAnsi="Arial"/>
        <w:color w:val="6B7A99"/>
        <w:sz w:val="18"/>
        <w:szCs w:val="18"/>
      </w:rPr>
      <w:t xml:space="preserve">ASSIST OCFO  ·  Confidential  ·  26 March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227" w:sz="4" w:space="2"/>
      </w:pBdr>
    </w:pPr>
    <w:r>
      <w:rPr>
        <w:rFonts w:ascii="Arial" w:cs="Arial" w:eastAsia="Arial" w:hAnsi="Arial"/>
        <w:color w:val="6B7A99"/>
        <w:sz w:val="18"/>
        <w:szCs w:val="18"/>
      </w:rPr>
      <w:t xml:space="preserve">ASSIST OCFO  ·  DP7 Solicitation &amp; Market Intelligence  ·  Build Narrative &amp; Decision Log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40" w:after="120"/>
      <w:outlineLvl w:val="0"/>
    </w:pPr>
    <w:rPr>
      <w:rFonts w:ascii="Arial" w:cs="Arial" w:eastAsia="Arial" w:hAnsi="Arial"/>
      <w:b/>
      <w:bCs/>
      <w:color w:val="1A2744"/>
      <w:sz w:val="32"/>
      <w:szCs w:val="32"/>
    </w:rPr>
  </w:style>
  <w:style w:type="paragraph" w:styleId="Heading2">
    <w:name w:val="Heading 2"/>
    <w:basedOn w:val="Normal"/>
    <w:next w:val="Normal"/>
    <w:qFormat/>
    <w:pPr>
      <w:spacing w:before="260" w:after="80"/>
      <w:outlineLvl w:val="1"/>
    </w:pPr>
    <w:rPr>
      <w:rFonts w:ascii="Arial" w:cs="Arial" w:eastAsia="Arial" w:hAnsi="Arial"/>
      <w:b/>
      <w:bCs/>
      <w:color w:val="1E5FA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2026-03-27T19:36:44.014Z</dcterms:created>
  <dcterms:modified xsi:type="dcterms:W3CDTF">2026-03-27T19:36:44.014Z</dcterms:modified>
</cp:coreProperties>
</file>

<file path=docProps/custom.xml><?xml version="1.0" encoding="utf-8"?>
<Properties xmlns="http://schemas.openxmlformats.org/officeDocument/2006/custom-properties" xmlns:vt="http://schemas.openxmlformats.org/officeDocument/2006/docPropsVTypes"/>
</file>