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80"/>
      </w:pPr>
      <w:r>
        <w:rPr>
          <w:rFonts w:ascii="Arial" w:cs="Arial" w:eastAsia="Arial" w:hAnsi="Arial"/>
          <w:b/>
          <w:bCs/>
          <w:color w:val="C9A227"/>
          <w:sz w:val="24"/>
          <w:szCs w:val="24"/>
        </w:rPr>
        <w:t xml:space="preserve">ASSIST OCFO</w:t>
      </w:r>
    </w:p>
    <w:p>
      <w:pPr>
        <w:spacing w:before="0" w:after="60"/>
      </w:pPr>
      <w:r>
        <w:rPr>
          <w:rFonts w:ascii="Arial" w:cs="Arial" w:eastAsia="Arial" w:hAnsi="Arial"/>
          <w:b/>
          <w:bCs/>
          <w:color w:val="1A2744"/>
          <w:sz w:val="44"/>
          <w:szCs w:val="44"/>
        </w:rPr>
        <w:t xml:space="preserve">DP1 — Obligation &amp; Expenditure Tracker</w:t>
      </w:r>
    </w:p>
    <w:p>
      <w:pPr>
        <w:spacing w:before="0" w:after="40"/>
      </w:pPr>
      <w:r>
        <w:rPr>
          <w:rFonts w:ascii="Arial" w:cs="Arial" w:eastAsia="Arial" w:hAnsi="Arial"/>
          <w:color w:val="1E5FA8"/>
          <w:sz w:val="28"/>
          <w:szCs w:val="28"/>
        </w:rPr>
        <w:t xml:space="preserve">Silver → Gold CDC Delta Refresh Pipeline</w:t>
      </w:r>
    </w:p>
    <w:p>
      <w:pPr>
        <w:spacing w:before="0" w:after="20"/>
      </w:pPr>
      <w:r>
        <w:rPr>
          <w:rFonts w:ascii="Arial" w:cs="Arial" w:eastAsia="Arial" w:hAnsi="Arial"/>
          <w:b/>
          <w:bCs/>
          <w:color w:val="C9770A"/>
          <w:sz w:val="20"/>
          <w:szCs w:val="20"/>
        </w:rPr>
        <w:t xml:space="preserve">Version 1.1.0  ·  Updated 26 March 2026</w:t>
      </w:r>
    </w:p>
    <w:p>
      <w:pPr>
        <w:pBdr>
          <w:left w:val="single" w:color="C9770A" w:sz="12" w:space="4"/>
        </w:pBdr>
        <w:spacing w:before="80" w:after="80"/>
        <w:ind w:left="300"/>
      </w:pPr>
      <w:r>
        <w:rPr>
          <w:rFonts w:ascii="Arial" w:cs="Arial" w:eastAsia="Arial" w:hAnsi="Arial"/>
          <w:b/>
          <w:bCs/>
          <w:color w:val="C9770A"/>
          <w:sz w:val="20"/>
          <w:szCs w:val="20"/>
        </w:rPr>
        <w:t xml:space="preserve">CHANGED v1.1.0: </w:t>
      </w: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Three sections updated in v1.1.0: (1) Out of Scope — dim_date spine range corrected to 2000–2040. (2) Source table for cdc_fact billed_amt changed from silver_billing_billing to silver_aasbs_bill_item. (3) Action note added that the CDC fact notebook carries the same billed_amt over-count bug as the prime notebook and requires the same fix before the next CDC run.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Attribute</w:t>
            </w:r>
          </w:p>
        </w:tc>
        <w:tc>
          <w:tcPr>
            <w:tcW w:type="dxa" w:w="636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Document Status</w:t>
            </w:r>
          </w:p>
        </w:tc>
        <w:tc>
          <w:tcPr>
            <w:tcW w:type="dxa" w:w="636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Draft v1.0 → Updated v1.1.0 (26 Mar 2026)</w:t>
            </w:r>
          </w:p>
        </w:tc>
      </w:tr>
      <w:tr>
        <w:tc>
          <w:tcPr>
            <w:tcW w:type="dxa" w:w="30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Data Product</w:t>
            </w:r>
          </w:p>
        </w:tc>
        <w:tc>
          <w:tcPr>
            <w:tcW w:type="dxa" w:w="636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DP1 — Obligation &amp; Expenditure Tracker</w:t>
            </w:r>
          </w:p>
        </w:tc>
      </w:tr>
      <w:tr>
        <w:tc>
          <w:tcPr>
            <w:tcW w:type="dxa" w:w="30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Pipeline Type</w:t>
            </w:r>
          </w:p>
        </w:tc>
        <w:tc>
          <w:tcPr>
            <w:tcW w:type="dxa" w:w="636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CDC Delta Refresh (Silver → Gold)</w:t>
            </w:r>
          </w:p>
        </w:tc>
      </w:tr>
      <w:tr>
        <w:tc>
          <w:tcPr>
            <w:tcW w:type="dxa" w:w="30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Companion Doc</w:t>
            </w:r>
          </w:p>
        </w:tc>
        <w:tc>
          <w:tcPr>
            <w:tcW w:type="dxa" w:w="636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DP1 Silver→Gold Full Priming Pipeline Design Document</w:t>
            </w:r>
          </w:p>
        </w:tc>
      </w:tr>
      <w:tr>
        <w:tc>
          <w:tcPr>
            <w:tcW w:type="dxa" w:w="30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Target Catalog</w:t>
            </w:r>
          </w:p>
        </w:tc>
        <w:tc>
          <w:tcPr>
            <w:tcW w:type="dxa" w:w="636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assist_catalog</w:t>
            </w:r>
          </w:p>
        </w:tc>
      </w:tr>
      <w:tr>
        <w:tc>
          <w:tcPr>
            <w:tcW w:type="dxa" w:w="30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Target Schemas</w:t>
            </w:r>
          </w:p>
        </w:tc>
        <w:tc>
          <w:tcPr>
            <w:tcW w:type="dxa" w:w="636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assist_catalog.common | assist_catalog.oet</w:t>
            </w:r>
          </w:p>
        </w:tc>
      </w:tr>
      <w:tr>
        <w:tc>
          <w:tcPr>
            <w:tcW w:type="dxa" w:w="30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Runtime</w:t>
            </w:r>
          </w:p>
        </w:tc>
        <w:tc>
          <w:tcPr>
            <w:tcW w:type="dxa" w:w="636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Databricks Runtime 14.x LTS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A2744"/>
          <w:sz w:val="32"/>
          <w:szCs w:val="32"/>
        </w:rPr>
        <w:t xml:space="preserve">1. Purpose &amp; Scope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This document describes the CDC (Change Data Capture) delta refresh pipeline for DP1. It is the incremental counterpart to the Full Priming pipeline and is designed to run on a scheduled cadence (typically daily) to keep the Gold layer current with source system changes.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E5FA8"/>
          <w:sz w:val="26"/>
          <w:szCs w:val="26"/>
        </w:rPr>
        <w:t xml:space="preserve">1.2 Out of Scope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Full re-prime (TRUNCATE + INSERT) — handled by the companion priming job.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DP2 through DP11 CDC pipelines — each product has its own job.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dim_date CDC — date spine (2000–2040) is static; re-prime only for range extension.</w:t>
      </w:r>
    </w:p>
    <w:p>
      <w:pPr>
        <w:pBdr>
          <w:left w:val="single" w:color="C9770A" w:sz="12" w:space="4"/>
        </w:pBdr>
        <w:spacing w:before="80" w:after="80"/>
        <w:ind w:left="300"/>
      </w:pPr>
      <w:r>
        <w:rPr>
          <w:rFonts w:ascii="Arial" w:cs="Arial" w:eastAsia="Arial" w:hAnsi="Arial"/>
          <w:b/>
          <w:bCs/>
          <w:color w:val="C9770A"/>
          <w:sz w:val="20"/>
          <w:szCs w:val="20"/>
        </w:rPr>
        <w:t xml:space="preserve">CHANGED v1.1.0: </w:t>
      </w: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dim_date spine range corrected from 2000–2035 to 2000–2040, matching the prime notebook fix in v1.1.0.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Bronze ingest (Postgres → Silver) — upstream responsibility.</w:t>
      </w:r>
    </w:p>
    <w:p>
      <w:pPr>
        <w:pBdr>
          <w:left w:val="single" w:color="0D7377" w:sz="12" w:space="4"/>
        </w:pBdr>
        <w:spacing w:before="80" w:after="80"/>
        <w:ind w:left="30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This pipeline assumes the Full Prime job has already been run at least once. Running CDC against an empty Gold layer will produce incorrect results.</w:t>
      </w:r>
    </w:p>
    <w:p>
      <w:r>
        <w:br w:type="pag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A2744"/>
          <w:sz w:val="32"/>
          <w:szCs w:val="32"/>
        </w:rPr>
        <w:t xml:space="preserve">2. Architecture Overview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E5FA8"/>
          <w:sz w:val="26"/>
          <w:szCs w:val="26"/>
        </w:rPr>
        <w:t xml:space="preserve">2.1 Notebook Structure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Notebooks: pipeline_utils.py, pipeline_utils_cdc.py, cdc_dim_agency, cdc_dim_ia, cdc_dim_loa (CRITICAL), cdc_dim_award, cdc_dim_funding, cdc_dim_line_item (CRITICAL), cdc_fact_obligation_expenditure, cdc_dp1_driver. No structural changes in v1.1.0.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E5FA8"/>
          <w:sz w:val="26"/>
          <w:szCs w:val="26"/>
        </w:rPr>
        <w:t xml:space="preserve">2.2 Partial Tolerance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dim_loa and dim_line_item are CRITICAL. If either fails, the fact step is automatically blocked. All other dimension failures are logged as warnings. No changes in v1.1.0.</w:t>
      </w:r>
    </w:p>
    <w:p>
      <w:r>
        <w:br w:type="pag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A2744"/>
          <w:sz w:val="32"/>
          <w:szCs w:val="32"/>
        </w:rPr>
        <w:t xml:space="preserve">3. Watermark Strategy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Hybrid watermark design unchanged from v1.0. Primary watermark from pipeline_audit.watermark_to; safety belt includes rows where updated_dt IS NULL; fallback is 24-hour lookback on first run. See v1.0 for full watermark SQL patterns.</w:t>
      </w:r>
    </w:p>
    <w:p>
      <w:r>
        <w:br w:type="pag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A2744"/>
          <w:sz w:val="32"/>
          <w:szCs w:val="32"/>
        </w:rPr>
        <w:t xml:space="preserve">4. SCD Type 2 Hybrid Merge Strategy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Three-stage merge process unchanged from v1.0: (1) Close — expire old version. (2) New version — INSERT new current row. (3) In-place — update minor fields without versioning. Tracked vs in-place field assignments per dimension unchanged.</w:t>
      </w:r>
    </w:p>
    <w:p>
      <w:r>
        <w:br w:type="pag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A2744"/>
          <w:sz w:val="32"/>
          <w:szCs w:val="32"/>
        </w:rPr>
        <w:t xml:space="preserve">5. Fact Table Append Strategy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APPEND-only strategy unchanged. Affected grain detection and consumer deduplication pattern unchanged. Snapshot growth monitoring queries unchanged. See v1.0 for full detail.</w:t>
      </w:r>
    </w:p>
    <w:p>
      <w:pPr>
        <w:pBdr>
          <w:left w:val="single" w:color="C9770A" w:sz="12" w:space="4"/>
        </w:pBdr>
        <w:spacing w:before="80" w:after="80"/>
        <w:ind w:left="300"/>
      </w:pPr>
      <w:r>
        <w:rPr>
          <w:rFonts w:ascii="Arial" w:cs="Arial" w:eastAsia="Arial" w:hAnsi="Arial"/>
          <w:b/>
          <w:bCs/>
          <w:color w:val="C9770A"/>
          <w:sz w:val="20"/>
          <w:szCs w:val="20"/>
        </w:rPr>
        <w:t xml:space="preserve">WARNING: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cdc_fact_obligation_expenditure carries the same billed_amt over-count bug as the prime notebook (billed_amt sourced from silver_billing_billing at IA/agreement grain, not CLIN grain). This notebook must be updated to source billed_amt from silver_aasbs_bill_item via line_item_accepted_id before the next CDC run. This fix is tracked separately and is NOT included in the v1.1.0 pipeline zip — the CDC pipeline was out of scope for the current fix cycle.</w:t>
      </w:r>
    </w:p>
    <w:p>
      <w:r>
        <w:br w:type="pag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A2744"/>
          <w:sz w:val="32"/>
          <w:szCs w:val="32"/>
        </w:rPr>
        <w:t xml:space="preserve">6. Conditional accrued_amt Population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Cross-product dependency on DP4 unchanged. dp4_ran_since() helper logic unchanged. Conditional join to silver_aasbs_accrual_income unchanged. No updates in v1.1.0.</w:t>
      </w:r>
    </w:p>
    <w:p>
      <w:r>
        <w:br w:type="pag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A2744"/>
          <w:sz w:val="32"/>
          <w:szCs w:val="32"/>
        </w:rPr>
        <w:t xml:space="preserve">7. pipeline_utils_cdc.py Reference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All helper functions unchanged: get_watermark, audit_start_cdc, audit_success_cdc, scd2_apply_changes, dp4_ran_since, changed_rows_filter. Constants unchanged. No updates in v1.1.0.</w:t>
      </w:r>
    </w:p>
    <w:p>
      <w:r>
        <w:br w:type="pag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A2744"/>
          <w:sz w:val="32"/>
          <w:szCs w:val="32"/>
        </w:rPr>
        <w:t xml:space="preserve">8. Data Quality &amp; Validation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Per-notebook quality checks unchanged from v1.0. Snapshot growth monitoring queries unchanged. No updates in v1.1.0.</w:t>
      </w:r>
    </w:p>
    <w:p>
      <w:r>
        <w:br w:type="pag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A2744"/>
          <w:sz w:val="32"/>
          <w:szCs w:val="32"/>
        </w:rPr>
        <w:t xml:space="preserve">9. Deployment &amp; Operations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Job configuration, operational runbook, and schedule unchanged from v1.0. No updates in v1.1.0.</w:t>
      </w:r>
    </w:p>
    <w:p>
      <w:r>
        <w:br w:type="pag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A2744"/>
          <w:sz w:val="32"/>
          <w:szCs w:val="32"/>
        </w:rPr>
        <w:t xml:space="preserve">10. Source Tables Used by CDC Notebooks</w:t>
      </w:r>
    </w:p>
    <w:p>
      <w:pPr>
        <w:pBdr>
          <w:left w:val="single" w:color="C9770A" w:sz="12" w:space="4"/>
        </w:pBdr>
        <w:spacing w:before="80" w:after="80"/>
        <w:ind w:left="300"/>
      </w:pPr>
      <w:r>
        <w:rPr>
          <w:rFonts w:ascii="Arial" w:cs="Arial" w:eastAsia="Arial" w:hAnsi="Arial"/>
          <w:b/>
          <w:bCs/>
          <w:color w:val="C9770A"/>
          <w:sz w:val="20"/>
          <w:szCs w:val="20"/>
        </w:rPr>
        <w:t xml:space="preserve">CHANGED v1.1.0: </w:t>
      </w: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silver_billing_billing removed as secondary trigger for cdc_fact billed_amt. Replaced by silver_aasbs_bill_item which provides billed_amt at CLIN grain via line_item_accepted_id. This change is pending implementation in the CDC fact notebook — see WARNING in section 5.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600"/>
        <w:gridCol w:w="2200"/>
        <w:gridCol w:w="1360"/>
      </w:tblGrid>
      <w:tr>
        <w:tc>
          <w:tcPr>
            <w:tcW w:type="dxa" w:w="32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Silver Table</w:t>
            </w:r>
          </w:p>
        </w:tc>
        <w:tc>
          <w:tcPr>
            <w:tcW w:type="dxa" w:w="26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Change Detection Column</w:t>
            </w:r>
          </w:p>
        </w:tc>
        <w:tc>
          <w:tcPr>
            <w:tcW w:type="dxa" w:w="22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Used By</w:t>
            </w:r>
          </w:p>
        </w:tc>
        <w:tc>
          <w:tcPr>
            <w:tcW w:type="dxa" w:w="136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Change Status</w:t>
            </w:r>
          </w:p>
        </w:tc>
      </w:tr>
      <w:tr>
        <w:tc>
          <w:tcPr>
            <w:tcW w:type="dxa" w:w="32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silver_aasbs_lu_activity_address_code</w:t>
            </w:r>
          </w:p>
        </w:tc>
        <w:tc>
          <w:tcPr>
            <w:tcW w:type="dxa" w:w="26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updated_dt + created_dt safety belt</w:t>
            </w:r>
          </w:p>
        </w:tc>
        <w:tc>
          <w:tcPr>
            <w:tcW w:type="dxa" w:w="22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cdc_dim_agency</w:t>
            </w:r>
          </w:p>
        </w:tc>
        <w:tc>
          <w:tcPr>
            <w:tcW w:type="dxa" w:w="136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"/>
                <w:bCs w:val="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silver_aasbs_lu_agency</w:t>
            </w:r>
          </w:p>
        </w:tc>
        <w:tc>
          <w:tcPr>
            <w:tcW w:type="dxa" w:w="26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Joined (no change detection)</w:t>
            </w:r>
          </w:p>
        </w:tc>
        <w:tc>
          <w:tcPr>
            <w:tcW w:type="dxa" w:w="22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cdc_dim_agency</w:t>
            </w:r>
          </w:p>
        </w:tc>
        <w:tc>
          <w:tcPr>
            <w:tcW w:type="dxa" w:w="136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"/>
                <w:bCs w:val="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silver_aasbs_lu_bureau</w:t>
            </w:r>
          </w:p>
        </w:tc>
        <w:tc>
          <w:tcPr>
            <w:tcW w:type="dxa" w:w="26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Joined (no change detection)</w:t>
            </w:r>
          </w:p>
        </w:tc>
        <w:tc>
          <w:tcPr>
            <w:tcW w:type="dxa" w:w="22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cdc_dim_agency</w:t>
            </w:r>
          </w:p>
        </w:tc>
        <w:tc>
          <w:tcPr>
            <w:tcW w:type="dxa" w:w="136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"/>
                <w:bCs w:val="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silver_table_master_lu_federal_agency</w:t>
            </w:r>
          </w:p>
        </w:tc>
        <w:tc>
          <w:tcPr>
            <w:tcW w:type="dxa" w:w="26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Joined (no change detection)</w:t>
            </w:r>
          </w:p>
        </w:tc>
        <w:tc>
          <w:tcPr>
            <w:tcW w:type="dxa" w:w="22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cdc_dim_agency</w:t>
            </w:r>
          </w:p>
        </w:tc>
        <w:tc>
          <w:tcPr>
            <w:tcW w:type="dxa" w:w="136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"/>
                <w:bCs w:val="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silver_aasbs_ia</w:t>
            </w:r>
          </w:p>
        </w:tc>
        <w:tc>
          <w:tcPr>
            <w:tcW w:type="dxa" w:w="26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updated_dt</w:t>
            </w:r>
          </w:p>
        </w:tc>
        <w:tc>
          <w:tcPr>
            <w:tcW w:type="dxa" w:w="22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cdc_dim_ia</w:t>
            </w:r>
          </w:p>
        </w:tc>
        <w:tc>
          <w:tcPr>
            <w:tcW w:type="dxa" w:w="136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"/>
                <w:bCs w:val="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silver_aasbs_funding</w:t>
            </w:r>
          </w:p>
        </w:tc>
        <w:tc>
          <w:tcPr>
            <w:tcW w:type="dxa" w:w="26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updated_dt (for ia_end_dt chain)</w:t>
            </w:r>
          </w:p>
        </w:tc>
        <w:tc>
          <w:tcPr>
            <w:tcW w:type="dxa" w:w="22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cdc_dim_ia</w:t>
            </w:r>
          </w:p>
        </w:tc>
        <w:tc>
          <w:tcPr>
            <w:tcW w:type="dxa" w:w="136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"/>
                <w:bCs w:val="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silver_aasbs_funding_amendment</w:t>
            </w:r>
          </w:p>
        </w:tc>
        <w:tc>
          <w:tcPr>
            <w:tcW w:type="dxa" w:w="26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updated_dt (for ia_end_dt chain)</w:t>
            </w:r>
          </w:p>
        </w:tc>
        <w:tc>
          <w:tcPr>
            <w:tcW w:type="dxa" w:w="22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cdc_dim_ia</w:t>
            </w:r>
          </w:p>
        </w:tc>
        <w:tc>
          <w:tcPr>
            <w:tcW w:type="dxa" w:w="136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"/>
                <w:bCs w:val="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silver_aasbs_lu_ia_status</w:t>
            </w:r>
          </w:p>
        </w:tc>
        <w:tc>
          <w:tcPr>
            <w:tcW w:type="dxa" w:w="26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Joined (no change detection)</w:t>
            </w:r>
          </w:p>
        </w:tc>
        <w:tc>
          <w:tcPr>
            <w:tcW w:type="dxa" w:w="22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cdc_dim_ia</w:t>
            </w:r>
          </w:p>
        </w:tc>
        <w:tc>
          <w:tcPr>
            <w:tcW w:type="dxa" w:w="136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"/>
                <w:bCs w:val="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silver_aasbs_loa</w:t>
            </w:r>
          </w:p>
        </w:tc>
        <w:tc>
          <w:tcPr>
            <w:tcW w:type="dxa" w:w="26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updated_dt</w:t>
            </w:r>
          </w:p>
        </w:tc>
        <w:tc>
          <w:tcPr>
            <w:tcW w:type="dxa" w:w="22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cdc_dim_loa</w:t>
            </w:r>
          </w:p>
        </w:tc>
        <w:tc>
          <w:tcPr>
            <w:tcW w:type="dxa" w:w="136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"/>
                <w:bCs w:val="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silver_billing_billing</w:t>
            </w:r>
          </w:p>
        </w:tc>
        <w:tc>
          <w:tcPr>
            <w:tcW w:type="dxa" w:w="26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updated_dt (object_class enrichment)</w:t>
            </w:r>
          </w:p>
        </w:tc>
        <w:tc>
          <w:tcPr>
            <w:tcW w:type="dxa" w:w="22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cdc_dim_loa</w:t>
            </w:r>
          </w:p>
        </w:tc>
        <w:tc>
          <w:tcPr>
            <w:tcW w:type="dxa" w:w="136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"/>
                <w:bCs w:val="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silver_aasbs_award</w:t>
            </w:r>
          </w:p>
        </w:tc>
        <w:tc>
          <w:tcPr>
            <w:tcW w:type="dxa" w:w="26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updated_dt</w:t>
            </w:r>
          </w:p>
        </w:tc>
        <w:tc>
          <w:tcPr>
            <w:tcW w:type="dxa" w:w="22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cdc_dim_award</w:t>
            </w:r>
          </w:p>
        </w:tc>
        <w:tc>
          <w:tcPr>
            <w:tcW w:type="dxa" w:w="136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"/>
                <w:bCs w:val="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silver_aasbs_award_mod</w:t>
            </w:r>
          </w:p>
        </w:tc>
        <w:tc>
          <w:tcPr>
            <w:tcW w:type="dxa" w:w="26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updated_dt (detects mod changes)</w:t>
            </w:r>
          </w:p>
        </w:tc>
        <w:tc>
          <w:tcPr>
            <w:tcW w:type="dxa" w:w="22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cdc_dim_award</w:t>
            </w:r>
          </w:p>
        </w:tc>
        <w:tc>
          <w:tcPr>
            <w:tcW w:type="dxa" w:w="136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"/>
                <w:bCs w:val="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silver_aasbs_funding</w:t>
            </w:r>
          </w:p>
        </w:tc>
        <w:tc>
          <w:tcPr>
            <w:tcW w:type="dxa" w:w="26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updated_dt</w:t>
            </w:r>
          </w:p>
        </w:tc>
        <w:tc>
          <w:tcPr>
            <w:tcW w:type="dxa" w:w="22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cdc_dim_funding</w:t>
            </w:r>
          </w:p>
        </w:tc>
        <w:tc>
          <w:tcPr>
            <w:tcW w:type="dxa" w:w="136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"/>
                <w:bCs w:val="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silver_aasbs_funding_amendment</w:t>
            </w:r>
          </w:p>
        </w:tc>
        <w:tc>
          <w:tcPr>
            <w:tcW w:type="dxa" w:w="26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updated_dt</w:t>
            </w:r>
          </w:p>
        </w:tc>
        <w:tc>
          <w:tcPr>
            <w:tcW w:type="dxa" w:w="22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cdc_dim_funding</w:t>
            </w:r>
          </w:p>
        </w:tc>
        <w:tc>
          <w:tcPr>
            <w:tcW w:type="dxa" w:w="136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"/>
                <w:bCs w:val="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silver_aasbs_loa_ledger</w:t>
            </w:r>
          </w:p>
        </w:tc>
        <w:tc>
          <w:tcPr>
            <w:tcW w:type="dxa" w:w="26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updated_dt (total_funded_amt)</w:t>
            </w:r>
          </w:p>
        </w:tc>
        <w:tc>
          <w:tcPr>
            <w:tcW w:type="dxa" w:w="22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cdc_dim_funding</w:t>
            </w:r>
          </w:p>
        </w:tc>
        <w:tc>
          <w:tcPr>
            <w:tcW w:type="dxa" w:w="136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"/>
                <w:bCs w:val="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silver_aasbs_line_item</w:t>
            </w:r>
          </w:p>
        </w:tc>
        <w:tc>
          <w:tcPr>
            <w:tcW w:type="dxa" w:w="26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updated_dt</w:t>
            </w:r>
          </w:p>
        </w:tc>
        <w:tc>
          <w:tcPr>
            <w:tcW w:type="dxa" w:w="22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cdc_dim_line_item</w:t>
            </w:r>
          </w:p>
        </w:tc>
        <w:tc>
          <w:tcPr>
            <w:tcW w:type="dxa" w:w="136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"/>
                <w:bCs w:val="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silver_aasbs_line_item_accepted</w:t>
            </w:r>
          </w:p>
        </w:tc>
        <w:tc>
          <w:tcPr>
            <w:tcW w:type="dxa" w:w="26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updated_dt</w:t>
            </w:r>
          </w:p>
        </w:tc>
        <w:tc>
          <w:tcPr>
            <w:tcW w:type="dxa" w:w="22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cdc_dim_line_item</w:t>
            </w:r>
          </w:p>
        </w:tc>
        <w:tc>
          <w:tcPr>
            <w:tcW w:type="dxa" w:w="136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"/>
                <w:bCs w:val="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silver_aasbs_loa_ledger</w:t>
            </w:r>
          </w:p>
        </w:tc>
        <w:tc>
          <w:tcPr>
            <w:tcW w:type="dxa" w:w="26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updated_dt (primary fact trigger)</w:t>
            </w:r>
          </w:p>
        </w:tc>
        <w:tc>
          <w:tcPr>
            <w:tcW w:type="dxa" w:w="22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cdc_fact</w:t>
            </w:r>
          </w:p>
        </w:tc>
        <w:tc>
          <w:tcPr>
            <w:tcW w:type="dxa" w:w="136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"/>
                <w:bCs w:val="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silver_aasbs_invoice_item</w:t>
            </w:r>
          </w:p>
        </w:tc>
        <w:tc>
          <w:tcPr>
            <w:tcW w:type="dxa" w:w="26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updated_dt (secondary trigger)</w:t>
            </w:r>
          </w:p>
        </w:tc>
        <w:tc>
          <w:tcPr>
            <w:tcW w:type="dxa" w:w="22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cdc_fact</w:t>
            </w:r>
          </w:p>
        </w:tc>
        <w:tc>
          <w:tcPr>
            <w:tcW w:type="dxa" w:w="136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"/>
                <w:bCs w:val="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silver_aasbs_acceptance_item</w:t>
            </w:r>
          </w:p>
        </w:tc>
        <w:tc>
          <w:tcPr>
            <w:tcW w:type="dxa" w:w="26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updated_dt (secondary trigger)</w:t>
            </w:r>
          </w:p>
        </w:tc>
        <w:tc>
          <w:tcPr>
            <w:tcW w:type="dxa" w:w="22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cdc_fact</w:t>
            </w:r>
          </w:p>
        </w:tc>
        <w:tc>
          <w:tcPr>
            <w:tcW w:type="dxa" w:w="136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"/>
                <w:bCs w:val="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8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silver_aasbs_bill_item</w:t>
            </w:r>
          </w:p>
        </w:tc>
        <w:tc>
          <w:tcPr>
            <w:tcW w:type="dxa" w:w="26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8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updated_dt (secondary trigger — billed_amt)</w:t>
            </w:r>
          </w:p>
        </w:tc>
        <w:tc>
          <w:tcPr>
            <w:tcW w:type="dxa" w:w="22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8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cdc_fact</w:t>
            </w:r>
          </w:p>
        </w:tc>
        <w:tc>
          <w:tcPr>
            <w:tcW w:type="dxa" w:w="136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8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C9770A"/>
                <w:sz w:val="20"/>
                <w:szCs w:val="20"/>
              </w:rPr>
              <w:t xml:space="preserve">CHANGED v1.1.0 — replaces silver_billing_billing</w:t>
            </w:r>
          </w:p>
        </w:tc>
      </w:tr>
      <w:tr>
        <w:tc>
          <w:tcPr>
            <w:tcW w:type="dxa" w:w="32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silver_aasbs_accrual_income</w:t>
            </w:r>
          </w:p>
        </w:tc>
        <w:tc>
          <w:tcPr>
            <w:tcW w:type="dxa" w:w="26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Joined if DP4 available</w:t>
            </w:r>
          </w:p>
        </w:tc>
        <w:tc>
          <w:tcPr>
            <w:tcW w:type="dxa" w:w="22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cdc_fact (conditional)</w:t>
            </w:r>
          </w:p>
        </w:tc>
        <w:tc>
          <w:tcPr>
            <w:tcW w:type="dxa" w:w="136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"/>
                <w:bCs w:val=""/>
                <w:color w:val="222222"/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6"/>
      <w:pgSz w:w="12240" w:h="15840" w:orient="portrait"/>
      <w:pgMar w:top="1080" w:right="1000" w:bottom="108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A227" w:sz="4" w:space="2"/>
      </w:pBdr>
    </w:pPr>
    <w:r>
      <w:rPr>
        <w:rFonts w:ascii="Arial" w:cs="Arial" w:eastAsia="Arial" w:hAnsi="Arial"/>
        <w:color w:val="6B7A99"/>
        <w:sz w:val="18"/>
        <w:szCs w:val="18"/>
      </w:rPr>
      <w:t xml:space="preserve">ASSIST OCFO  |  DP1 CDC Design Document  |  v1.1.0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20"/>
      <w:outlineLvl w:val="0"/>
    </w:pPr>
    <w:rPr>
      <w:rFonts w:ascii="Arial" w:cs="Arial" w:eastAsia="Arial" w:hAnsi="Arial"/>
      <w:b/>
      <w:bCs/>
      <w:color w:val="1A2744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Arial" w:cs="Arial" w:eastAsia="Arial" w:hAnsi="Arial"/>
      <w:b/>
      <w:bCs/>
      <w:color w:val="1E5FA8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2026-03-26T20:30:20.934Z</dcterms:created>
  <dcterms:modified xsi:type="dcterms:W3CDTF">2026-03-26T20:30:20.935Z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