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C9A227"/>
          <w:sz w:val="28"/>
          <w:szCs w:val="28"/>
        </w:rPr>
        <w:t xml:space="preserve">ASSIST OCFO</w:t>
      </w:r>
    </w:p>
    <w:p>
      <w:pPr>
        <w:spacing w:before="0" w:after="40"/>
      </w:pPr>
      <w:r>
        <w:rPr>
          <w:rFonts w:ascii="Arial" w:cs="Arial" w:eastAsia="Arial" w:hAnsi="Arial"/>
          <w:b/>
          <w:bCs/>
          <w:color w:val="1A2744"/>
          <w:sz w:val="48"/>
          <w:szCs w:val="48"/>
        </w:rPr>
        <w:t xml:space="preserve">DP5 — Treasury Transmission &amp; Payment Pipeline</w:t>
      </w:r>
    </w:p>
    <w:p>
      <w:pPr>
        <w:spacing w:before="0" w:after="40"/>
      </w:pPr>
      <w:r>
        <w:rPr>
          <w:rFonts w:ascii="Arial" w:cs="Arial" w:eastAsia="Arial" w:hAnsi="Arial"/>
          <w:color w:val="1E5FA8"/>
          <w:sz w:val="28"/>
          <w:szCs w:val="28"/>
        </w:rPr>
        <w:t xml:space="preserve">Silver → Gold Priming Pipeline  ·  Design Document</w:t>
      </w:r>
    </w:p>
    <w:p>
      <w:pPr>
        <w:spacing w:before="0" w:after="20"/>
      </w:pPr>
      <w:r>
        <w:rPr>
          <w:rFonts w:ascii="Arial" w:cs="Arial" w:eastAsia="Arial" w:hAnsi="Arial"/>
          <w:b/>
          <w:bCs/>
          <w:color w:val="C9770A"/>
          <w:sz w:val="22"/>
          <w:szCs w:val="22"/>
        </w:rPr>
        <w:t xml:space="preserve">Version 1.0  ·  26 March 2026  ·  Initial Release</w:t>
      </w:r>
    </w:p>
    <w:p>
      <w:pPr>
        <w:pBdr>
          <w:bottom w:val="single" w:color="DCE3EF" w:sz="4" w:space="2"/>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Product</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DP5 — Treasury Transmission &amp; Payment Pipeline (TPP)</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Schema</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assist_catalog.tpp</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Pipeline Type</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Full Prime — TRUNCATE→INSERT (dims) / INSERT-only guard (facts)</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Databricks Runtime</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14.x LTS with Unity Catalog</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Secret Scope</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assist-ocfo-secrets</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Version</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1.0  (initial generation — no prior version exists)</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Status</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Production Ready</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Regulatory Refs</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Prompt Payment Act (31 U.S.C. §3901), TFM Volume I Part 2, OMB Circular A-136</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Gold Tables</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6  (4 dims + 2 facts)</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Notebooks</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8  (6 pipeline + 1 driver + 1 utils)</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Companion Document</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dp5_build_narrative.docx — full build narrative and decision log</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1  Overview</w:t>
      </w:r>
    </w:p>
    <w:p>
      <w:pPr>
        <w:spacing w:before="60" w:after="60"/>
      </w:pPr>
      <w:r>
        <w:rPr>
          <w:rFonts w:ascii="Arial" w:cs="Arial" w:eastAsia="Arial" w:hAnsi="Arial"/>
          <w:sz w:val="22"/>
          <w:szCs w:val="22"/>
        </w:rPr>
        <w:t xml:space="preserve">DP5 — Treasury Transmission &amp; Payment Pipeline (TPP) provides end-to-end visibility of every financial transmission from ASSIST to US Treasury systems including Pegasys, VITAP, BAAR, and IPAC. It tracks the full payment chain: billing generation → transmittal dispatch → Treasury confirmation → receiving report acceptance → invoice reconciliation → payment settlement.</w:t>
      </w:r>
    </w:p>
    <w:p>
      <w:pPr>
        <w:spacing w:before="60" w:after="60"/>
      </w:pPr>
      <w:r>
        <w:rPr>
          <w:rFonts w:ascii="Arial" w:cs="Arial" w:eastAsia="Arial" w:hAnsi="Arial"/>
          <w:sz w:val="22"/>
          <w:szCs w:val="22"/>
        </w:rPr>
        <w:t xml:space="preserve">DP5 is downstream of DP1 (uses common.dim_line_item, dim_ia, dim_agency, dim_date) and does not depend on DP2, DP3, or DP4. It is the primary source of Prompt Payment Act compliance data and Treasury transmission audit trail for the ASSIST OCFO reporting layer.</w:t>
      </w:r>
    </w:p>
    <w:p>
      <w:pPr>
        <w:pStyle w:val="Heading2"/>
        <w:spacing w:before="260" w:after="80"/>
      </w:pPr>
      <w:r>
        <w:rPr>
          <w:rFonts w:ascii="Arial" w:cs="Arial" w:eastAsia="Arial" w:hAnsi="Arial"/>
          <w:b/>
          <w:bCs/>
          <w:color w:val="1E5FA8"/>
          <w:sz w:val="26"/>
          <w:szCs w:val="26"/>
        </w:rPr>
        <w:t xml:space="preserve">1.1  Product Objectives</w:t>
      </w:r>
    </w:p>
    <w:p>
      <w:pPr>
        <w:pStyle w:val="ListParagraph"/>
        <w:numPr>
          <w:ilvl w:val="0"/>
          <w:numId w:val="2"/>
        </w:numPr>
        <w:spacing w:before="40" w:after="40"/>
      </w:pPr>
      <w:r>
        <w:rPr>
          <w:rFonts w:ascii="Arial" w:cs="Arial" w:eastAsia="Arial" w:hAnsi="Arial"/>
          <w:sz w:val="22"/>
          <w:szCs w:val="22"/>
        </w:rPr>
        <w:t xml:space="preserve">Provide a complete audit trail of every billing summary transmission from ASSIST to Treasury systems.</w:t>
      </w:r>
    </w:p>
    <w:p>
      <w:pPr>
        <w:pStyle w:val="ListParagraph"/>
        <w:numPr>
          <w:ilvl w:val="0"/>
          <w:numId w:val="2"/>
        </w:numPr>
        <w:spacing w:before="40" w:after="40"/>
      </w:pPr>
      <w:r>
        <w:rPr>
          <w:rFonts w:ascii="Arial" w:cs="Arial" w:eastAsia="Arial" w:hAnsi="Arial"/>
          <w:sz w:val="22"/>
          <w:szCs w:val="22"/>
        </w:rPr>
        <w:t xml:space="preserve">Enable payment reconciliation at the invoice level: PO amounts vs receiving report amounts vs payment amounts.</w:t>
      </w:r>
    </w:p>
    <w:p>
      <w:pPr>
        <w:pStyle w:val="ListParagraph"/>
        <w:numPr>
          <w:ilvl w:val="0"/>
          <w:numId w:val="2"/>
        </w:numPr>
        <w:spacing w:before="40" w:after="40"/>
      </w:pPr>
      <w:r>
        <w:rPr>
          <w:rFonts w:ascii="Arial" w:cs="Arial" w:eastAsia="Arial" w:hAnsi="Arial"/>
          <w:sz w:val="22"/>
          <w:szCs w:val="22"/>
        </w:rPr>
        <w:t xml:space="preserve">Support Prompt Payment Act (31 U.S.C. §3901) compliance monitoring once payment data is ingested into Silver.</w:t>
      </w:r>
    </w:p>
    <w:p>
      <w:pPr>
        <w:pStyle w:val="ListParagraph"/>
        <w:numPr>
          <w:ilvl w:val="0"/>
          <w:numId w:val="2"/>
        </w:numPr>
        <w:spacing w:before="40" w:after="40"/>
      </w:pPr>
      <w:r>
        <w:rPr>
          <w:rFonts w:ascii="Arial" w:cs="Arial" w:eastAsia="Arial" w:hAnsi="Arial"/>
          <w:sz w:val="22"/>
          <w:szCs w:val="22"/>
        </w:rPr>
        <w:t xml:space="preserve">Track AAC-level transmittal envelope configuration, suspension status, and point-of-contact information.</w:t>
      </w:r>
    </w:p>
    <w:p>
      <w:pPr>
        <w:pStyle w:val="ListParagraph"/>
        <w:numPr>
          <w:ilvl w:val="0"/>
          <w:numId w:val="2"/>
        </w:numPr>
        <w:spacing w:before="40" w:after="40"/>
      </w:pPr>
      <w:r>
        <w:rPr>
          <w:rFonts w:ascii="Arial" w:cs="Arial" w:eastAsia="Arial" w:hAnsi="Arial"/>
          <w:sz w:val="22"/>
          <w:szCs w:val="22"/>
        </w:rPr>
        <w:t xml:space="preserve">Surface agreement-level transmission history and obligation authority for BAAR reconciliation.</w:t>
      </w:r>
    </w:p>
    <w:p>
      <w:pPr>
        <w:pStyle w:val="Heading2"/>
        <w:spacing w:before="260" w:after="80"/>
      </w:pPr>
      <w:r>
        <w:rPr>
          <w:rFonts w:ascii="Arial" w:cs="Arial" w:eastAsia="Arial" w:hAnsi="Arial"/>
          <w:b/>
          <w:bCs/>
          <w:color w:val="1E5FA8"/>
          <w:sz w:val="26"/>
          <w:szCs w:val="26"/>
        </w:rPr>
        <w:t xml:space="preserve">1.2  Pre-requisites</w:t>
      </w:r>
    </w:p>
    <w:p>
      <w:pPr>
        <w:pBdr>
          <w:left w:val="single" w:color="B03030" w:sz="12" w:space="4"/>
        </w:pBdr>
        <w:spacing w:before="80" w:after="80"/>
        <w:ind w:left="280"/>
      </w:pPr>
      <w:r>
        <w:rPr>
          <w:rFonts w:ascii="Arial" w:cs="Arial" w:eastAsia="Arial" w:hAnsi="Arial"/>
          <w:b/>
          <w:bCs/>
          <w:color w:val="B03030"/>
          <w:sz w:val="20"/>
          <w:szCs w:val="20"/>
        </w:rPr>
        <w:t xml:space="preserve">WARNING: </w:t>
      </w:r>
      <w:r>
        <w:rPr>
          <w:rFonts w:ascii="Arial" w:cs="Arial" w:eastAsia="Arial" w:hAnsi="Arial"/>
          <w:i/>
          <w:iCs/>
          <w:color w:val="333333"/>
          <w:sz w:val="20"/>
          <w:szCs w:val="20"/>
        </w:rPr>
        <w:t xml:space="preserve">DP1 must have completed (common.dim_date, dim_agency, dim_ia, dim_line_item populated) before DP5 prime executes. DP2, DP3, and DP4 are not required.</w:t>
      </w:r>
    </w:p>
    <w:p>
      <w:r>
        <w:br w:type="page"/>
      </w:r>
    </w:p>
    <w:p>
      <w:pPr>
        <w:pStyle w:val="Heading1"/>
        <w:spacing w:before="340" w:after="120"/>
      </w:pPr>
      <w:r>
        <w:rPr>
          <w:rFonts w:ascii="Arial" w:cs="Arial" w:eastAsia="Arial" w:hAnsi="Arial"/>
          <w:b/>
          <w:bCs/>
          <w:color w:val="1A2744"/>
          <w:sz w:val="32"/>
          <w:szCs w:val="32"/>
        </w:rPr>
        <w:t xml:space="preserve">2  Architecture</w:t>
      </w:r>
    </w:p>
    <w:p>
      <w:pPr>
        <w:pStyle w:val="Heading2"/>
        <w:spacing w:before="260" w:after="80"/>
      </w:pPr>
      <w:r>
        <w:rPr>
          <w:rFonts w:ascii="Arial" w:cs="Arial" w:eastAsia="Arial" w:hAnsi="Arial"/>
          <w:b/>
          <w:bCs/>
          <w:color w:val="1E5FA8"/>
          <w:sz w:val="26"/>
          <w:szCs w:val="26"/>
        </w:rPr>
        <w:t xml:space="preserve">2.1  Notebook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500"/>
        <w:gridCol w:w="600"/>
        <w:gridCol w:w="1600"/>
        <w:gridCol w:w="1560"/>
      </w:tblGrid>
      <w:tr>
        <w:tc>
          <w:tcPr>
            <w:tcW w:type="dxa" w:w="5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25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Table</w:t>
            </w:r>
          </w:p>
        </w:tc>
        <w:tc>
          <w:tcPr>
            <w:tcW w:type="dxa" w:w="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SCD</w:t>
            </w:r>
          </w:p>
        </w:tc>
        <w:tc>
          <w:tcPr>
            <w:tcW w:type="dxa" w:w="1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1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Dependencies</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1</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prime_dim_transmittal_type</w:t>
            </w:r>
          </w:p>
        </w:tc>
        <w:tc>
          <w:tcPr>
            <w:tcW w:type="dxa" w:w="2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tpp.dim_transmittal_type</w:t>
            </w:r>
          </w:p>
        </w:tc>
        <w:tc>
          <w:tcPr>
            <w:tcW w:type="dxa" w:w="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1</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TRUNCATE→INSERT</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None</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2</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prime_dim_aac_envelope</w:t>
            </w:r>
          </w:p>
        </w:tc>
        <w:tc>
          <w:tcPr>
            <w:tcW w:type="dxa" w:w="2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tpp.dim_aac_envelope</w:t>
            </w:r>
          </w:p>
        </w:tc>
        <w:tc>
          <w:tcPr>
            <w:tcW w:type="dxa" w:w="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1</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TRUNCATE→INSERT</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Step 1 (pre-flight guard in NB)</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3</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prime_dim_agreement</w:t>
            </w:r>
          </w:p>
        </w:tc>
        <w:tc>
          <w:tcPr>
            <w:tcW w:type="dxa" w:w="2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tpp.dim_agreement</w:t>
            </w:r>
          </w:p>
        </w:tc>
        <w:tc>
          <w:tcPr>
            <w:tcW w:type="dxa" w:w="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1</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TRUNCATE→INSERT</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None</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4</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prime_dim_receiving_report</w:t>
            </w:r>
          </w:p>
        </w:tc>
        <w:tc>
          <w:tcPr>
            <w:tcW w:type="dxa" w:w="2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tpp.dim_receiving_report</w:t>
            </w:r>
          </w:p>
        </w:tc>
        <w:tc>
          <w:tcPr>
            <w:tcW w:type="dxa" w:w="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1</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TRUNCATE→INSERT</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None</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5</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prime_fact_transmission_event</w:t>
            </w:r>
          </w:p>
        </w:tc>
        <w:tc>
          <w:tcPr>
            <w:tcW w:type="dxa" w:w="2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tpp.fact_transmission_event</w:t>
            </w:r>
          </w:p>
        </w:tc>
        <w:tc>
          <w:tcPr>
            <w:tcW w:type="dxa" w:w="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N/A</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INSERT-only guard</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Steps 1–4 + DP1</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6</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w:t>
            </w:r>
          </w:p>
        </w:tc>
        <w:tc>
          <w:tcPr>
            <w:tcW w:type="dxa" w:w="2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tpp.fact_payment_reconciliation</w:t>
            </w:r>
          </w:p>
        </w:tc>
        <w:tc>
          <w:tcPr>
            <w:tcW w:type="dxa" w:w="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N/A</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INSERT-only guard</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Steps 1–4 + DP1</w:t>
            </w:r>
          </w:p>
        </w:tc>
      </w:tr>
    </w:tbl>
    <w:p>
      <w:pPr>
        <w:spacing w:before="80" w:after="0"/>
      </w:pPr>
      <w:r>
        <w:t xml:space="preserve"/>
      </w:r>
    </w:p>
    <w:p>
      <w:pPr>
        <w:pStyle w:val="Heading2"/>
        <w:spacing w:before="260" w:after="80"/>
      </w:pPr>
      <w:r>
        <w:rPr>
          <w:rFonts w:ascii="Arial" w:cs="Arial" w:eastAsia="Arial" w:hAnsi="Arial"/>
          <w:b/>
          <w:bCs/>
          <w:color w:val="1E5FA8"/>
          <w:sz w:val="26"/>
          <w:szCs w:val="26"/>
        </w:rPr>
        <w:t xml:space="preserve">2.2  Gate Logic and Audit Trail</w:t>
      </w:r>
    </w:p>
    <w:p>
      <w:pPr>
        <w:spacing w:before="60" w:after="60"/>
      </w:pPr>
      <w:r>
        <w:rPr>
          <w:rFonts w:ascii="Arial" w:cs="Arial" w:eastAsia="Arial" w:hAnsi="Arial"/>
          <w:sz w:val="22"/>
          <w:szCs w:val="22"/>
        </w:rPr>
        <w:t xml:space="preserve">Steps 1–4 must all succeed before Steps 5–6 run. The driver implements three distinct audit outcomes consistent with DP2–DP4: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Driver Status</w:t>
            </w:r>
          </w:p>
        </w:tc>
        <w:tc>
          <w:tcPr>
            <w:tcW w:type="dxa" w:w="29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Audit Status</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All dims succeeded, facts succeeded</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DRIVER_COMPLETE</w:t>
            </w:r>
          </w:p>
        </w:tc>
        <w:tc>
          <w:tcPr>
            <w:tcW w:type="dxa" w:w="29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SUCCESS</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force_fact=true used, facts ran</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DRIVER_WARNING</w:t>
            </w:r>
          </w:p>
        </w:tc>
        <w:tc>
          <w:tcPr>
            <w:tcW w:type="dxa" w:w="29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WARNING  (inline audit row lists bypassed dims)</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Any notebook raised an exception</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DRIVER_FAILURE</w:t>
            </w:r>
          </w:p>
        </w:tc>
        <w:tc>
          <w:tcPr>
            <w:tcW w:type="dxa" w:w="29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FAILED</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Fact blocked — dims failed, no override</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DRIVER_FAILURE</w:t>
            </w:r>
          </w:p>
        </w:tc>
        <w:tc>
          <w:tcPr>
            <w:tcW w:type="dxa" w:w="29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FAILED</w:t>
            </w:r>
          </w:p>
        </w:tc>
      </w:tr>
    </w:tbl>
    <w:p>
      <w:pPr>
        <w:spacing w:before="80" w:after="0"/>
      </w:pPr>
      <w:r>
        <w:t xml:space="preserve"/>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I-DP5-2 — Three-outcome audit trail built in from first generation. DP2 and DP3 required a retrofit fix for this in v1.2.0; DP5 implements it correctly from the start.</w:t>
      </w:r>
    </w:p>
    <w:p>
      <w:pPr>
        <w:pStyle w:val="Heading2"/>
        <w:spacing w:before="260" w:after="80"/>
      </w:pPr>
      <w:r>
        <w:rPr>
          <w:rFonts w:ascii="Arial" w:cs="Arial" w:eastAsia="Arial" w:hAnsi="Arial"/>
          <w:b/>
          <w:bCs/>
          <w:color w:val="1E5FA8"/>
          <w:sz w:val="26"/>
          <w:szCs w:val="26"/>
        </w:rPr>
        <w:t xml:space="preserve">2.3  Pre-flight Checks</w:t>
      </w:r>
    </w:p>
    <w:p>
      <w:pPr>
        <w:spacing w:before="60" w:after="60"/>
      </w:pPr>
      <w:r>
        <w:rPr>
          <w:rFonts w:ascii="Arial" w:cs="Arial" w:eastAsia="Arial" w:hAnsi="Arial"/>
          <w:sz w:val="22"/>
          <w:szCs w:val="22"/>
        </w:rPr>
        <w:t xml:space="preserve">The driver verifies all four DP1 common dim tables are non-empty before launching any notebook. Exits with PREFLIGHT_FAILURE and writes an audit row if any are empty: common.dim_date, common.dim_agency, common.dim_ia, common.dim_line_item.</w:t>
      </w:r>
    </w:p>
    <w:p>
      <w:pPr>
        <w:spacing w:before="60" w:after="60"/>
      </w:pPr>
      <w:r>
        <w:rPr>
          <w:rFonts w:ascii="Arial" w:cs="Arial" w:eastAsia="Arial" w:hAnsi="Arial"/>
          <w:sz w:val="22"/>
          <w:szCs w:val="22"/>
        </w:rPr>
        <w:t xml:space="preserve">Additionally, prime_dim_aac_envelope contains its own internal pre-flight guard verifying tpp.dim_transmittal_type is populated before proceeding, because the suspension logic in that notebook keys on transmittal_type_cd.</w:t>
      </w:r>
    </w:p>
    <w:p>
      <w:r>
        <w:br w:type="page"/>
      </w:r>
    </w:p>
    <w:p>
      <w:pPr>
        <w:pStyle w:val="Heading1"/>
        <w:spacing w:before="340" w:after="120"/>
      </w:pPr>
      <w:r>
        <w:rPr>
          <w:rFonts w:ascii="Arial" w:cs="Arial" w:eastAsia="Arial" w:hAnsi="Arial"/>
          <w:b/>
          <w:bCs/>
          <w:color w:val="1A2744"/>
          <w:sz w:val="32"/>
          <w:szCs w:val="32"/>
        </w:rPr>
        <w:t xml:space="preserve">3  Source-to-Target Mapping</w:t>
      </w:r>
    </w:p>
    <w:p>
      <w:pPr>
        <w:pStyle w:val="Heading2"/>
        <w:spacing w:before="260" w:after="80"/>
      </w:pPr>
      <w:r>
        <w:rPr>
          <w:rFonts w:ascii="Arial" w:cs="Arial" w:eastAsia="Arial" w:hAnsi="Arial"/>
          <w:b/>
          <w:bCs/>
          <w:color w:val="1E5FA8"/>
          <w:sz w:val="26"/>
          <w:szCs w:val="26"/>
        </w:rPr>
        <w:t xml:space="preserve">3.1  dim_transmittal_type  (tpp.dim_transmittal_type)</w:t>
      </w:r>
    </w:p>
    <w:p>
      <w:pPr>
        <w:spacing w:before="60" w:after="60"/>
      </w:pPr>
      <w:r>
        <w:rPr>
          <w:rFonts w:ascii="Arial" w:cs="Arial" w:eastAsia="Arial" w:hAnsi="Arial"/>
          <w:sz w:val="22"/>
          <w:szCs w:val="22"/>
        </w:rPr>
        <w:t xml:space="preserve">Sources: silver_aasbs_transmit_lu_transmittal_type (base reference), silver_aasbs_transmit_transmittal_spec_version (latest spec version per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600"/>
        <w:gridCol w:w="1160"/>
      </w:tblGrid>
      <w:tr>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Silver Source</w:t>
            </w:r>
          </w:p>
        </w:tc>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c>
          <w:tcPr>
            <w:tcW w:type="dxa" w:w="1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transmittal_type_cd</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lu_transmittal_type.cd</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Natural key — PO, RR, INV, BAAR, BILLING</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transmittal_type_desc</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lu_transmittal_type.description</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 type name</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flat_file_code</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lu_transmittal_type.flatfile_cd</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Flat-file format code for Pegasys transmissions</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spec_version</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MAX(transmittal_spec_version.specification_version) per type</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Latest active spec via pre-aggregated v_spec_version_per_type</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IMPROVEMENT</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envelope_format</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CAST(NULL AS STRING)</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transmittal_envelope is per-AAC config, not per-type canonical format</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 GAP</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poc_name</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CAST(NULL AS STRING)</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transmittal_poc linked per-AAC via aac_envelope.transmittal_poc_id, not per type</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 GAP</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poc_email</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CAST(NULL AS STRING)</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Same limitation as poc_name</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 GAP</w:t>
            </w:r>
          </w:p>
        </w:tc>
      </w:tr>
    </w:tbl>
    <w:p>
      <w:pPr>
        <w:spacing w:before="80" w:after="0"/>
      </w:pPr>
      <w:r>
        <w:t xml:space="preserve"/>
      </w:r>
    </w:p>
    <w:p>
      <w:pPr>
        <w:pBdr>
          <w:left w:val="single" w:color="C9770A" w:sz="12" w:space="4"/>
        </w:pBdr>
        <w:spacing w:before="80" w:after="80"/>
        <w:ind w:left="280"/>
      </w:pPr>
      <w:r>
        <w:rPr>
          <w:rFonts w:ascii="Arial" w:cs="Arial" w:eastAsia="Arial" w:hAnsi="Arial"/>
          <w:b/>
          <w:bCs/>
          <w:color w:val="C9770A"/>
          <w:sz w:val="20"/>
          <w:szCs w:val="20"/>
        </w:rPr>
        <w:t xml:space="preserve">SILVER GAP: </w:t>
      </w:r>
      <w:r>
        <w:rPr>
          <w:rFonts w:ascii="Arial" w:cs="Arial" w:eastAsia="Arial" w:hAnsi="Arial"/>
          <w:i/>
          <w:iCs/>
          <w:color w:val="333333"/>
          <w:sz w:val="20"/>
          <w:szCs w:val="20"/>
        </w:rPr>
        <w:t xml:space="preserve">envelope_format and poc_name/poc_email have no per-type Silver source. Per-AAC POC is correctly captured in dim_aac_envelope. CDC or a supplemental reference load required for per-type values.</w:t>
      </w:r>
    </w:p>
    <w:p>
      <w:pPr>
        <w:spacing w:before="100" w:after="0"/>
      </w:pPr>
      <w:r>
        <w:t xml:space="preserve"/>
      </w:r>
    </w:p>
    <w:p>
      <w:pPr>
        <w:pStyle w:val="Heading2"/>
        <w:spacing w:before="260" w:after="80"/>
      </w:pPr>
      <w:r>
        <w:rPr>
          <w:rFonts w:ascii="Arial" w:cs="Arial" w:eastAsia="Arial" w:hAnsi="Arial"/>
          <w:b/>
          <w:bCs/>
          <w:color w:val="1E5FA8"/>
          <w:sz w:val="26"/>
          <w:szCs w:val="26"/>
        </w:rPr>
        <w:t xml:space="preserve">3.2  dim_aac_envelope  (tpp.dim_aac_envelope)</w:t>
      </w:r>
    </w:p>
    <w:p>
      <w:pPr>
        <w:spacing w:before="60" w:after="60"/>
      </w:pPr>
      <w:r>
        <w:rPr>
          <w:rFonts w:ascii="Arial" w:cs="Arial" w:eastAsia="Arial" w:hAnsi="Arial"/>
          <w:sz w:val="22"/>
          <w:szCs w:val="22"/>
        </w:rPr>
        <w:t xml:space="preserve">Sources: silver_aasbs_transmit_aac_envelope (grain, NK = activity_address_cd), silver_aasbs_transmit_transmittal_poc (POC), silver_aasbs_transmit_billing_summary (last transmission proxy), silver_aasbs_transmit_transmittal_suspension (suspension).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600"/>
        <w:gridCol w:w="1160"/>
      </w:tblGrid>
      <w:tr>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Silver Source</w:t>
            </w:r>
          </w:p>
        </w:tc>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c>
          <w:tcPr>
            <w:tcW w:type="dxa" w:w="1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aac</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aac_envelope.activity_address_cd</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Natural key</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envelope_status_cd</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aac_envelope.transmittal_status_cd</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Envelope-level transmission status</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poc_name</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transmittal_poc.poc_name via aac_envelope.transmittal_poc_id</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Per-AAC POC</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poc_email</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transmittal_poc.poc_email via same FK</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Per-AAC POC email</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last_transmission_dt</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MAX(billing_summary.generated_dt) per activity_address_cd</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Proxy for last transmit date — pre-aggregated v_last_tx_per_aac</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PROXY</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is_suspended_flag</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MAX(suspend_end_dt) IS NULL OR &gt;= NOW() per transmittal_type_cd</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Active suspension check via v_suspension_per_type</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suspension_start_dt</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MAX(transmittal_suspension.suspend_start_dt) per type</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Latest suspension start</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suspension_end_dt</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MAX(transmittal_suspension.suspend_end_dt) per type</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NULL = indefinite suspension</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bl>
    <w:p>
      <w:pPr>
        <w:spacing w:before="80" w:after="0"/>
      </w:pPr>
      <w:r>
        <w:t xml:space="preserve"/>
      </w:r>
    </w:p>
    <w:p>
      <w:pPr>
        <w:pBdr>
          <w:left w:val="single" w:color="0D7377" w:sz="12" w:space="4"/>
        </w:pBdr>
        <w:spacing w:before="80" w:after="80"/>
        <w:ind w:left="280"/>
      </w:pPr>
      <w:r>
        <w:rPr>
          <w:rFonts w:ascii="Arial" w:cs="Arial" w:eastAsia="Arial" w:hAnsi="Arial"/>
          <w:b/>
          <w:bCs/>
          <w:color w:val="0D7377"/>
          <w:sz w:val="20"/>
          <w:szCs w:val="20"/>
        </w:rPr>
        <w:t xml:space="preserve">NOTE: </w:t>
      </w:r>
      <w:r>
        <w:rPr>
          <w:rFonts w:ascii="Arial" w:cs="Arial" w:eastAsia="Arial" w:hAnsi="Arial"/>
          <w:i/>
          <w:iCs/>
          <w:color w:val="333333"/>
          <w:sz w:val="20"/>
          <w:szCs w:val="20"/>
        </w:rPr>
        <w:t xml:space="preserve">last_transmission_dt uses billing_summary.generated_dt as the best available proxy. The authoritative value (transmittal.sent_dt) is not directly joinable to aac_envelope at prime time. CDC will replace this proxy.</w:t>
      </w:r>
    </w:p>
    <w:p>
      <w:pPr>
        <w:pBdr>
          <w:left w:val="single" w:color="0D7377" w:sz="12" w:space="4"/>
        </w:pBdr>
        <w:spacing w:before="80" w:after="80"/>
        <w:ind w:left="280"/>
      </w:pPr>
      <w:r>
        <w:rPr>
          <w:rFonts w:ascii="Arial" w:cs="Arial" w:eastAsia="Arial" w:hAnsi="Arial"/>
          <w:b/>
          <w:bCs/>
          <w:color w:val="0D7377"/>
          <w:sz w:val="20"/>
          <w:szCs w:val="20"/>
        </w:rPr>
        <w:t xml:space="preserve">NOTE: </w:t>
      </w:r>
      <w:r>
        <w:rPr>
          <w:rFonts w:ascii="Arial" w:cs="Arial" w:eastAsia="Arial" w:hAnsi="Arial"/>
          <w:i/>
          <w:iCs/>
          <w:color w:val="333333"/>
          <w:sz w:val="20"/>
          <w:szCs w:val="20"/>
        </w:rPr>
        <w:t xml:space="preserve">Suspension is keyed by transmittal_type_cd in Silver, not by AAC. The join uses aac_envelope.transmittal_type_cd to bridge. Multiple suspension rows per type resolved by MAX(start/end date).</w:t>
      </w:r>
    </w:p>
    <w:p>
      <w:pPr>
        <w:spacing w:before="100" w:after="0"/>
      </w:pPr>
      <w:r>
        <w:t xml:space="preserve"/>
      </w:r>
    </w:p>
    <w:p>
      <w:pPr>
        <w:pStyle w:val="Heading2"/>
        <w:spacing w:before="260" w:after="80"/>
      </w:pPr>
      <w:r>
        <w:rPr>
          <w:rFonts w:ascii="Arial" w:cs="Arial" w:eastAsia="Arial" w:hAnsi="Arial"/>
          <w:b/>
          <w:bCs/>
          <w:color w:val="1E5FA8"/>
          <w:sz w:val="26"/>
          <w:szCs w:val="26"/>
        </w:rPr>
        <w:t xml:space="preserve">3.3  dim_agreement  (tpp.dim_agreement)</w:t>
      </w:r>
    </w:p>
    <w:p>
      <w:pPr>
        <w:spacing w:before="60" w:after="60"/>
      </w:pPr>
      <w:r>
        <w:rPr>
          <w:rFonts w:ascii="Arial" w:cs="Arial" w:eastAsia="Arial" w:hAnsi="Arial"/>
          <w:sz w:val="22"/>
          <w:szCs w:val="22"/>
        </w:rPr>
        <w:t xml:space="preserve">Sources: silver_agreement_agreement (base, NK = agreement_id), silver_agreement_agreement_line (line count), silver_agreement_agreement_log (last transmitted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600"/>
        <w:gridCol w:w="1160"/>
      </w:tblGrid>
      <w:tr>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Silver Source</w:t>
            </w:r>
          </w:p>
        </w:tc>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c>
          <w:tcPr>
            <w:tcW w:type="dxa" w:w="1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agreement_id</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agreement.agreement_id</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Natural key</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agreement_number</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agreement.agreement_num</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BAAR agreement number</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fund_status_cd</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agreement.funding_status</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Active / Closed / Cancelled</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obligations_available</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agreement.obligations_avail_amt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Available obligation authority remaining</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accounting_period</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agreement.acct_period</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BAAR accounting period string</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total_agreement_amt</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agreement.maximum_agreement_amt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Ceiling amount (not net available)</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line_count</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COUNT(agreement_line.agreement_line_id) per agreement_id</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Pre-aggregated v_line_count_per_agreement</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IMPROVEMENT</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last_transmitted_dt</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MAX(agreement_log.response_date) WHERE transmission_status LIKE '%ACCEPT%'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Pre-aggregated v_last_transmitted_per_agmt</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bl>
    <w:p>
      <w:pPr>
        <w:spacing w:before="100" w:after="0"/>
      </w:pPr>
      <w:r>
        <w:t xml:space="preserve"/>
      </w:r>
    </w:p>
    <w:p>
      <w:pPr>
        <w:pStyle w:val="Heading2"/>
        <w:spacing w:before="260" w:after="80"/>
      </w:pPr>
      <w:r>
        <w:rPr>
          <w:rFonts w:ascii="Arial" w:cs="Arial" w:eastAsia="Arial" w:hAnsi="Arial"/>
          <w:b/>
          <w:bCs/>
          <w:color w:val="1E5FA8"/>
          <w:sz w:val="26"/>
          <w:szCs w:val="26"/>
        </w:rPr>
        <w:t xml:space="preserve">3.4  dim_receiving_report  (tpp.dim_receiving_report)</w:t>
      </w:r>
    </w:p>
    <w:p>
      <w:pPr>
        <w:spacing w:before="60" w:after="60"/>
      </w:pPr>
      <w:r>
        <w:rPr>
          <w:rFonts w:ascii="Arial" w:cs="Arial" w:eastAsia="Arial" w:hAnsi="Arial"/>
          <w:sz w:val="22"/>
          <w:szCs w:val="22"/>
        </w:rPr>
        <w:t xml:space="preserve">Sources: silver_aasbs_transmit_rr_summary (base grain, NK = id), silver_aasbs_transmit_rr_detail (MDL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600"/>
        <w:gridCol w:w="1160"/>
      </w:tblGrid>
      <w:tr>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Silver Source</w:t>
            </w:r>
          </w:p>
        </w:tc>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c>
          <w:tcPr>
            <w:tcW w:type="dxa" w:w="1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rr_summary_id</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rr_summary.id</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Natural key</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pegasys_invoice_num</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rr_summary.pegasys_invoice_number</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Pegasys invoice number</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rr_acceptance_dt</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rr_summary.accepted_dt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Date RR accepted by receiving official</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total_rr_amt</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rr_summary.max_approved_amt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Total RR value per TFM §4700.10</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rr_line_count</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rr_summary.number_of_detail_lines</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Authoritative count from RR transmission header</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mdl_amt</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SUM(rr_detail.total_mdl_amount) per rr_summary_id</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MDL aggregate — pre-aggregated v_mdl_per_rr</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IMPROVEMENT</w:t>
            </w:r>
          </w:p>
        </w:tc>
      </w:tr>
    </w:tbl>
    <w:p>
      <w:pPr>
        <w:spacing w:before="100" w:after="0"/>
      </w:pPr>
      <w:r>
        <w:t xml:space="preserve"/>
      </w:r>
    </w:p>
    <w:p>
      <w:r>
        <w:br w:type="page"/>
      </w:r>
    </w:p>
    <w:p>
      <w:pPr>
        <w:pStyle w:val="Heading2"/>
        <w:spacing w:before="260" w:after="80"/>
      </w:pPr>
      <w:r>
        <w:rPr>
          <w:rFonts w:ascii="Arial" w:cs="Arial" w:eastAsia="Arial" w:hAnsi="Arial"/>
          <w:b/>
          <w:bCs/>
          <w:color w:val="1E5FA8"/>
          <w:sz w:val="26"/>
          <w:szCs w:val="26"/>
        </w:rPr>
        <w:t xml:space="preserve">3.5  fact_transmission_event  (tpp.fact_transmission_event)</w:t>
      </w:r>
    </w:p>
    <w:p>
      <w:pPr>
        <w:spacing w:before="60" w:after="60"/>
      </w:pPr>
      <w:r>
        <w:rPr>
          <w:rFonts w:ascii="Arial" w:cs="Arial" w:eastAsia="Arial" w:hAnsi="Arial"/>
          <w:sz w:val="22"/>
          <w:szCs w:val="22"/>
        </w:rPr>
        <w:t xml:space="preserve">Grain: one row per billing_summary.id (one record per transmittal envelope entry). Sources: silver_aasbs_transmit_billing_summary (grain anchor), silver_aasbs_transmit_transmittal, silver_agreement_agreement, silver_aasbs_loa + loa_ledger (ia_sk), silver_aasbs_transmit_transmit_error, silver_billing_billing_response_info.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000"/>
        <w:gridCol w:w="560"/>
      </w:tblGrid>
      <w:tr>
        <w:tc>
          <w:tcPr>
            <w:tcW w:type="dxa" w:w="2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4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Silver Source</w:t>
            </w:r>
          </w:p>
        </w:tc>
        <w:tc>
          <w:tcPr>
            <w:tcW w:type="dxa" w:w="2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c>
          <w:tcPr>
            <w:tcW w:type="dxa" w:w="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transmittal_type_sk</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tpp.dim_transmittal_type via billing_summary.transmittal_id → transmittal.transmittal_type_cd</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Pre-aggregated v_transmittal_type_per_bs</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aac_envelope_sk</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tpp.dim_aac_envelope via billing_summary.activity_address_cd</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Direct AAC join</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agreement_sk</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tpp.dim_agreement via billing_summary.agreement_num = agreement.agreement_num</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Resolvable on prime</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ia_sk</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common.dim_ia via agreement_num → loa.agreement_number → MIN(loa_ledger.ia_id)</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3-hop pre-aggregated v_ia_per_agreement_num</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agency_sk</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common.dim_agency via billing_summary.activity_address_cd</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Direct AAC join</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event_date_sk</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common.dim_date via DATE_FORMAT(billing_summary.generated_dt, 'yyyyMMdd')</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Document generation date</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transmittal_stage_cd</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billing_summary.transmittal_status_cd  (proxy)</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No direct stage lookup at prime; CDC will decode via lu_transmittal_stage</w:t>
            </w:r>
          </w:p>
        </w:tc>
        <w:tc>
          <w:tcPr>
            <w:tcW w:type="dxa" w:w="5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PROXY</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transmittal_status_cd</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billing_summary.transmittal_status_cd</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Direct status code</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transmitted_dt</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transmittal.sent_dt via billing_summary.transmittal_id</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Via v_transmittal_type_per_bs</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confirmed_dt</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CAST(NULL AS TIMESTAMP)</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No Pegasys/VITAP confirmation feed in Silver  Ref: TFM Vol.I Pt.2 §4700</w:t>
            </w:r>
          </w:p>
        </w:tc>
        <w:tc>
          <w:tcPr>
            <w:tcW w:type="dxa" w:w="5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SILVER-PENDING</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error_code</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transmit_error.transmittal_type_cd WHERE source_table LIKE '%BILLING%'</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Via v_error_per_bs — error type as code proxy</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error_description</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transmit_error.error_description via same view</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Free-text error message</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retry_count</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transmit_error.retry_cnt via v_error_per_bs</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Number of retry attempts</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batch_record_count</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transmittal.release_count via v_transmittal_type_per_bs</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Records per batch</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transmitted_amt</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billing_summary.billing_amount</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Full billing amount</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confirmed_amt</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billing_amount WHERE billing_response_info.accepted_status='Y', else NULL</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Proxy via v_confirmed_per_bs  Ref: I-DP5-5</w:t>
            </w:r>
          </w:p>
        </w:tc>
        <w:tc>
          <w:tcPr>
            <w:tcW w:type="dxa" w:w="5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PROXY</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variance_amt</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transmitted_amt − confirmed_amt  (NULL when confirmed NULL)</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Computable on prime</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bl>
    <w:p>
      <w:pPr>
        <w:spacing w:before="80" w:after="0"/>
      </w:pPr>
      <w:r>
        <w:t xml:space="preserve"/>
      </w:r>
    </w:p>
    <w:p>
      <w:pPr>
        <w:pBdr>
          <w:left w:val="single" w:color="C9770A" w:sz="12" w:space="4"/>
        </w:pBdr>
        <w:spacing w:before="80" w:after="80"/>
        <w:ind w:left="280"/>
      </w:pPr>
      <w:r>
        <w:rPr>
          <w:rFonts w:ascii="Arial" w:cs="Arial" w:eastAsia="Arial" w:hAnsi="Arial"/>
          <w:b/>
          <w:bCs/>
          <w:color w:val="C9770A"/>
          <w:sz w:val="20"/>
          <w:szCs w:val="20"/>
        </w:rPr>
        <w:t xml:space="preserve">SILVER-PENDING: </w:t>
      </w:r>
      <w:r>
        <w:rPr>
          <w:rFonts w:ascii="Arial" w:cs="Arial" w:eastAsia="Arial" w:hAnsi="Arial"/>
          <w:i/>
          <w:iCs/>
          <w:color w:val="333333"/>
          <w:sz w:val="20"/>
          <w:szCs w:val="20"/>
        </w:rPr>
        <w:t xml:space="preserve">confirmed_dt — Pegasys and VITAP do not feed a confirmation timestamp into Silver at this time. Required for TFM Volume I Part 2 §4700 compliance tracking. A post-load assertion verifies this column remains NULL on prime.</w:t>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I-DP5-5 — confirmed_amt: billing_response_info.accepted_status is a Y/N flag only; no numeric confirmed amount exists in Silver. When accepted, the full billing_summary.billing_amount is treated as confirmed. When not accepted or no response record, NULL. The authoritative source is the Pegasys confirmation feed (SILVER-PENDING).</w:t>
      </w:r>
    </w:p>
    <w:p>
      <w:pPr>
        <w:spacing w:before="100" w:after="0"/>
      </w:pPr>
      <w:r>
        <w:t xml:space="preserve"/>
      </w:r>
    </w:p>
    <w:p>
      <w:r>
        <w:br w:type="page"/>
      </w:r>
    </w:p>
    <w:p>
      <w:pPr>
        <w:pStyle w:val="Heading2"/>
        <w:spacing w:before="260" w:after="80"/>
      </w:pPr>
      <w:r>
        <w:rPr>
          <w:rFonts w:ascii="Arial" w:cs="Arial" w:eastAsia="Arial" w:hAnsi="Arial"/>
          <w:b/>
          <w:bCs/>
          <w:color w:val="1E5FA8"/>
          <w:sz w:val="26"/>
          <w:szCs w:val="26"/>
        </w:rPr>
        <w:t xml:space="preserve">3.6  fact_payment_reconciliation  (tpp.fact_payment_reconciliation)</w:t>
      </w:r>
    </w:p>
    <w:p>
      <w:pPr>
        <w:spacing w:before="60" w:after="60"/>
      </w:pPr>
      <w:r>
        <w:rPr>
          <w:rFonts w:ascii="Arial" w:cs="Arial" w:eastAsia="Arial" w:hAnsi="Arial"/>
          <w:sz w:val="22"/>
          <w:szCs w:val="22"/>
        </w:rPr>
        <w:t xml:space="preserve">Grain: one row per inv_summary.id (one per invoice transmission). Sources: silver_aasbs_transmit_inv_summary (grain anchor), silver_aasbs_invoice + invoice_item (CLIN resolution), silver_aasbs_transmit_rr_summary (RR amounts), silver_aasbs_transmit_po_summary + po_line (PO amounts), silver_aasbs_award_mod + award_ia (ia_sk), common.dim_agency (agency_sk).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000"/>
        <w:gridCol w:w="560"/>
      </w:tblGrid>
      <w:tr>
        <w:tc>
          <w:tcPr>
            <w:tcW w:type="dxa" w:w="2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4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Silver Source</w:t>
            </w:r>
          </w:p>
        </w:tc>
        <w:tc>
          <w:tcPr>
            <w:tcW w:type="dxa" w:w="2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c>
          <w:tcPr>
            <w:tcW w:type="dxa" w:w="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line_item_sk</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common.dim_line_item via inv_summary.invoice_id → aasbs_invoice → MIN(invoice_item.cost_line_item_accepted_id)</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Primary CLIN per invoice (I-DP5-4)  NOT NULL in DDL</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rr_sk</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tpp.dim_receiving_report via inv_summary.invoice_id = rr_summary.invoice_id</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Via v_rr_per_invoice</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agreement_sk</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CAST(-1 AS BIGINT)  —  sentinel on prime</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No confirmed path from inv_summary to agreement in Silver</w:t>
            </w:r>
          </w:p>
        </w:tc>
        <w:tc>
          <w:tcPr>
            <w:tcW w:type="dxa" w:w="5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 GAP</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ia_sk</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common.dim_ia via purchase_order_number → po_summary.award_mod_id → award_mod → award_ia.ia_id</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Via v_ia_per_po using award_ia bridge</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agency_sk</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common.dim_agency via inv_summary.activity_address_cd</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Via v_agency_per_inv</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invoice_date_sk</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common.dim_date via DATE_FORMAT(inv_summary.invoice_dt, 'yyyyMMdd')</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Invoice date</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payment_date_sk</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CAST(NULL AS INT)</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aasbs.payment / vitap_batch not ingested  Ref: 31 U.S.C. §3901</w:t>
            </w:r>
          </w:p>
        </w:tc>
        <w:tc>
          <w:tcPr>
            <w:tcW w:type="dxa" w:w="5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SILVER-PENDING</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invoice_amt</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inv_summary.total_invoice_amount</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Total invoice amount</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po_amt</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SUM(po_line.total_line_amt) per purchase_order_number</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Via v_po_per_inv_purchase_num</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IMPROVEMENT</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rr_amt</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rr_summary.max_approved_amt via invoice_id join</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Total RR accepted amount</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payment_amt</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CAST(NULL AS DECIMAL(15,2))</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aasbs.payment / ipac_transaction / vitap_batch not ingested  Ref: 31 U.S.C. §3901</w:t>
            </w:r>
          </w:p>
        </w:tc>
        <w:tc>
          <w:tcPr>
            <w:tcW w:type="dxa" w:w="5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SILVER-PENDING</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billing_amt</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CAST(NULL AS DECIMAL(15,2))</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No confirmed bridge from inv_summary to billing.billing in Silver</w:t>
            </w:r>
          </w:p>
        </w:tc>
        <w:tc>
          <w:tcPr>
            <w:tcW w:type="dxa" w:w="5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 GAP</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invoice_to_payment_days</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CAST(NULL AS INT)</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Requires payment_date  Ref: 31 U.S.C. §3901(a)(1)</w:t>
            </w:r>
          </w:p>
        </w:tc>
        <w:tc>
          <w:tcPr>
            <w:tcW w:type="dxa" w:w="5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SILVER-PENDING</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is_prompt_payment_compliant</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CAST(NULL AS BOOLEAN)</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TRUE when &lt;= 30 days  Ref: 31 U.S.C. §3901</w:t>
            </w:r>
          </w:p>
        </w:tc>
        <w:tc>
          <w:tcPr>
            <w:tcW w:type="dxa" w:w="5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SILVER-PENDING</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po_to_rr_variance_amt</w:t>
            </w:r>
          </w:p>
        </w:tc>
        <w:tc>
          <w:tcPr>
            <w:tcW w:type="dxa" w:w="4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ROUND(SUM(po_line.total_line_amt) − rr_summary.max_approved_amt, 2)</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Computable on prime</w:t>
            </w:r>
          </w:p>
        </w:tc>
        <w:tc>
          <w:tcPr>
            <w:tcW w:type="dxa" w:w="5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invoice_to_billing_variance_amt</w:t>
            </w:r>
          </w:p>
        </w:tc>
        <w:tc>
          <w:tcPr>
            <w:tcW w:type="dxa" w:w="4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CAST(NULL AS DECIMAL(15,2))</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billing_amt NULL on prime</w:t>
            </w:r>
          </w:p>
        </w:tc>
        <w:tc>
          <w:tcPr>
            <w:tcW w:type="dxa" w:w="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6B7A99"/>
                <w:sz w:val="19"/>
                <w:szCs w:val="19"/>
              </w:rPr>
              <w:t xml:space="preserve">NULL on prime</w:t>
            </w:r>
          </w:p>
        </w:tc>
      </w:tr>
    </w:tbl>
    <w:p>
      <w:pPr>
        <w:spacing w:before="80" w:after="0"/>
      </w:pPr>
      <w:r>
        <w:t xml:space="preserve"/>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I-DP5-4 — line_item_sk grain note: inv_summary is at invoice grain; one invoice can span multiple CLINs. line_item_sk = MIN(cost_line_item_accepted_id) per invoice = primary CLIN. The Gold DDL requires NOT NULL. Post-load check reports multi-CLIN invoice count so operators understand how many invoices have secondary CLINs not represented as separate rows.</w:t>
      </w:r>
    </w:p>
    <w:p>
      <w:pPr>
        <w:pBdr>
          <w:left w:val="single" w:color="C9770A" w:sz="12" w:space="4"/>
        </w:pBdr>
        <w:spacing w:before="80" w:after="80"/>
        <w:ind w:left="280"/>
      </w:pPr>
      <w:r>
        <w:rPr>
          <w:rFonts w:ascii="Arial" w:cs="Arial" w:eastAsia="Arial" w:hAnsi="Arial"/>
          <w:b/>
          <w:bCs/>
          <w:color w:val="C9770A"/>
          <w:sz w:val="20"/>
          <w:szCs w:val="20"/>
        </w:rPr>
        <w:t xml:space="preserve">SILVER GAP: </w:t>
      </w:r>
      <w:r>
        <w:rPr>
          <w:rFonts w:ascii="Arial" w:cs="Arial" w:eastAsia="Arial" w:hAnsi="Arial"/>
          <w:i/>
          <w:iCs/>
          <w:color w:val="333333"/>
          <w:sz w:val="20"/>
          <w:szCs w:val="20"/>
        </w:rPr>
        <w:t xml:space="preserve">agreement_sk — no confirmed direct Silver join path from inv_summary to agreement exists. The candidate path (inv_summary.invoice_id → aasbs_invoice.award_id → billing chain → agreement_num) requires source system documentation. Sentinel -1 on prime; documented as a known gap. Compare with fact_transmission_event where agreement_sk is resolvable via billing_summary.agreement_num.</w:t>
      </w:r>
    </w:p>
    <w:p>
      <w:pPr>
        <w:pBdr>
          <w:left w:val="single" w:color="C9770A" w:sz="12" w:space="4"/>
        </w:pBdr>
        <w:spacing w:before="80" w:after="80"/>
        <w:ind w:left="280"/>
      </w:pPr>
      <w:r>
        <w:rPr>
          <w:rFonts w:ascii="Arial" w:cs="Arial" w:eastAsia="Arial" w:hAnsi="Arial"/>
          <w:b/>
          <w:bCs/>
          <w:color w:val="C9770A"/>
          <w:sz w:val="20"/>
          <w:szCs w:val="20"/>
        </w:rPr>
        <w:t xml:space="preserve">SILVER GAP: </w:t>
      </w:r>
      <w:r>
        <w:rPr>
          <w:rFonts w:ascii="Arial" w:cs="Arial" w:eastAsia="Arial" w:hAnsi="Arial"/>
          <w:i/>
          <w:iCs/>
          <w:color w:val="333333"/>
          <w:sz w:val="20"/>
          <w:szCs w:val="20"/>
        </w:rPr>
        <w:t xml:space="preserve">billing_amt — billing.billing_summary_id references billing_summary (not inv_summary). No cross-reference between inv_summary and billing.billing was identified without source system documentation. NULL on prime.</w:t>
      </w:r>
    </w:p>
    <w:p>
      <w:pPr>
        <w:pBdr>
          <w:left w:val="single" w:color="C9770A" w:sz="12" w:space="4"/>
        </w:pBdr>
        <w:spacing w:before="80" w:after="80"/>
        <w:ind w:left="280"/>
      </w:pPr>
      <w:r>
        <w:rPr>
          <w:rFonts w:ascii="Arial" w:cs="Arial" w:eastAsia="Arial" w:hAnsi="Arial"/>
          <w:b/>
          <w:bCs/>
          <w:color w:val="C9770A"/>
          <w:sz w:val="20"/>
          <w:szCs w:val="20"/>
        </w:rPr>
        <w:t xml:space="preserve">SILVER-PENDING: </w:t>
      </w:r>
      <w:r>
        <w:rPr>
          <w:rFonts w:ascii="Arial" w:cs="Arial" w:eastAsia="Arial" w:hAnsi="Arial"/>
          <w:i/>
          <w:iCs/>
          <w:color w:val="333333"/>
          <w:sz w:val="20"/>
          <w:szCs w:val="20"/>
        </w:rPr>
        <w:t xml:space="preserve">payment_amt, payment_date_sk, invoice_to_payment_days, is_prompt_payment_compliant — source tables aasbs.payment, aasbs.ipac_transaction, and aasbs.vitap_batch are not ingested into Silver. All four are required for Prompt Payment Act compliance monitoring per 31 U.S.C. §3901.</w:t>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I-DP5-7 — Prompt Payment Act placeholder metric: post-load prints 'compliance=0 rows — payment_date_sk NULL on prime (SILVER-PENDING)' so the monitoring pattern is established from first prime. The metric activates automatically when payment data is ingested.</w:t>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I-DP5-8 — agreement_sk asymmetry documented explicitly in notebook header and code comments: sentinel -1 on this fact vs resolvable on fact_transmission_event. Candidate CDC enrichment path recorded for future implementation.</w:t>
      </w:r>
    </w:p>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4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00"/>
        <w:gridCol w:w="660"/>
      </w:tblGrid>
      <w:tr>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w:t>
            </w:r>
          </w:p>
        </w:tc>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Choice</w:t>
            </w:r>
          </w:p>
        </w:tc>
        <w:tc>
          <w:tcPr>
            <w:tcW w:type="dxa" w:w="29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Fact write pattern</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INSERT-only with existing-row guard on both facts</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Transmission and payment history must be preserved — TRUNCATE+INSERT loses history. Guard prevents accidental re-run. Consistent with DP1–DP4.</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line_item_sk at invoice grain</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MIN(cost_line_item_accepted_id) per invoice — primary CLIN</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Gold DDL requires NOT NULL. Grain is invoice, not CLIN. MIN() is deterministic. Post-load check reports multi-CLIN invoices (I-DP5-4).</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ia_sk on fact_transmission_event</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agreement_num → loa.agreement_number → MIN(loa_ledger.ia_id) → dim_ia</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Only confirmed 3-hop path from billing_summary to an IA. MIN(ia_id) per loa is deterministic. Pre-aggregated in v_ia_per_agreement_num.</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ia_sk on fact_payment_reconciliation</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purchase_order_number → po_summary.award_mod_id → award_mod → award_ia.ia_id</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po_summary.award_mod_id is confirmed in Silver. award_ia bridge table confirmed. Same bridge used in DP4 B-DP4-1 fix.</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agreement_sk on fact_payment_reconciliation</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Sentinel -1 on prime (SILVER GAP)</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No confirmed Silver path from inv_summary to agreement. Candidate CDC path documented. Explicitly contrasted with fact_transmission_event in annotations.</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confirmed_amt proxy</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billing_amount when accepted_status='Y', else NULL</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No numeric confirmed amount in Silver; billing_response_info is Y/N flag only. This is the best approximation available at prime time. Annotated as proxy (I-DP5-5).</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last_transmission_dt proxy</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MAX(billing_summary.generated_dt) per AAC</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billing_summary.generated_dt is the BAAR document generation timestamp — closest available approximation to transmission time. CDC will replace with transmittal.sent_dt.</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rr_line_count source</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rr_summary.number_of_detail_lines (header field)</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Preferred over COUNT(rr_detail) which could differ if soft-deleted detail rows exist or if ingestion is partial. Header value is authoritative at transmission time.</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total_agreement_amt source</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agreement.maximum_agreement_amt (ceiling)</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Maps to ceiling, not obligations_avail_amt (net remaining). Ceiling is the operationally significant value for agreement-level reporting.</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Suspension keying</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transmittal_suspension keyed by type; joined via aac_envelope.transmittal_type_cd</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transmittal_suspension has no AAC column; type-level suspension applies to all AACs of that type. Joining via the envelope's type_cd correctly propagates the suspension to each AAC.</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Dedup on aac_envelope</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ROW_NUMBER() ORDER BY created_dt DESC per activity_address_cd</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Multiple aac_envelope rows can exist per AAC for different transmittal types. Most recently created row selected as the representative envelope record.</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force_fact audit trail</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DRIVER_WARNING written before fact steps when override active</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Consistent with DP4 pattern. Override runs permanently visible in pipeline_audit. Two fact steps share the same gate logic via run_fact_step() helper (I-DP5-2).</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Per-type POC fields</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NULL on dim_transmittal_type; populated on dim_aac_envelope</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transmittal_poc is linked per-AAC, not per type. Putting POC on the type dim would be incorrect. Correct location is the AAC envelope dim.</w:t>
            </w:r>
          </w:p>
        </w:tc>
        <w:tc>
          <w:tcPr>
            <w:tcW w:type="dxa" w:w="6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5  Pre-aggregated Temp Views  (I-DP5-1)</w:t>
      </w:r>
    </w:p>
    <w:p>
      <w:pPr>
        <w:spacing w:before="60" w:after="60"/>
      </w:pPr>
      <w:r>
        <w:rPr>
          <w:rFonts w:ascii="Arial" w:cs="Arial" w:eastAsia="Arial" w:hAnsi="Arial"/>
          <w:sz w:val="22"/>
          <w:szCs w:val="22"/>
        </w:rPr>
        <w:t xml:space="preserve">All 15 pre-aggregated views are created before their respective main INSERT executes. Every multi-row aggregation that would cause fan-out is isolated in a named view. This is the core pattern from DP1–DP4 applied consistently from first generation.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800"/>
        <w:gridCol w:w="1360"/>
      </w:tblGrid>
      <w:tr>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View Name</w:t>
            </w:r>
          </w:p>
        </w:tc>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2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Aggregation Purpose</w:t>
            </w:r>
          </w:p>
        </w:tc>
        <w:tc>
          <w:tcPr>
            <w:tcW w:type="dxa" w:w="13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v_spec_version_per_type</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prime_dim_transmittal_type</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MAX(specification_version) per type</w:t>
            </w:r>
          </w:p>
        </w:tc>
        <w:tc>
          <w:tcPr>
            <w:tcW w:type="dxa" w:w="13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transmittal_type_cd</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v_last_tx_per_aac</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prime_dim_aac_envelope</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MAX(generated_dt) per activity_address_cd</w:t>
            </w:r>
          </w:p>
        </w:tc>
        <w:tc>
          <w:tcPr>
            <w:tcW w:type="dxa" w:w="13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activity_address_cd</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v_suspension_per_type</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prime_dim_aac_envelope</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Active suspension flag + dates per type</w:t>
            </w:r>
          </w:p>
        </w:tc>
        <w:tc>
          <w:tcPr>
            <w:tcW w:type="dxa" w:w="13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transmittal_type_cd</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v_aac_envelope_dedup</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prime_dim_aac_envelope</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One row per AAC — ROW_NUMBER() by created_dt DESC</w:t>
            </w:r>
          </w:p>
        </w:tc>
        <w:tc>
          <w:tcPr>
            <w:tcW w:type="dxa" w:w="13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activity_address_cd</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v_line_count_per_agreement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prime_dim_agreement</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COUNT(agreement_line_id) per agreement</w:t>
            </w:r>
          </w:p>
        </w:tc>
        <w:tc>
          <w:tcPr>
            <w:tcW w:type="dxa" w:w="13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agreement_id</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v_last_transmitted_per_agmt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prime_dim_agreement</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MAX accepted response_date per agreement</w:t>
            </w:r>
          </w:p>
        </w:tc>
        <w:tc>
          <w:tcPr>
            <w:tcW w:type="dxa" w:w="13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agreement_id</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v_mdl_per_rr</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prime_dim_receiving_report</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SUM(total_mdl_amount) per rr_summary_id</w:t>
            </w:r>
          </w:p>
        </w:tc>
        <w:tc>
          <w:tcPr>
            <w:tcW w:type="dxa" w:w="13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rr_summary_id</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v_transmittal_type_per_bs</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prime_fact_transmission_event</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Type cd + sent_dt + release_count per billing summary</w:t>
            </w:r>
          </w:p>
        </w:tc>
        <w:tc>
          <w:tcPr>
            <w:tcW w:type="dxa" w:w="13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billing_summary_id</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v_ia_per_agreement_num</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prime_fact_transmission_event</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3-hop ia_sk per agreement number</w:t>
            </w:r>
          </w:p>
        </w:tc>
        <w:tc>
          <w:tcPr>
            <w:tcW w:type="dxa" w:w="13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agreement_num</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v_error_per_bs</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prime_fact_transmission_event</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First error per billing record</w:t>
            </w:r>
          </w:p>
        </w:tc>
        <w:tc>
          <w:tcPr>
            <w:tcW w:type="dxa" w:w="13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billing_summary_id (as source_record_id)</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v_confirmed_per_bs</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prime_fact_transmission_event</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Confirmed amount proxy per billing summary</w:t>
            </w:r>
          </w:p>
        </w:tc>
        <w:tc>
          <w:tcPr>
            <w:tcW w:type="dxa" w:w="13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billing_summary_id</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v_first_clin_per_invoice</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Primary CLIN (MIN lia_id) per aasbs_invoice</w:t>
            </w:r>
          </w:p>
        </w:tc>
        <w:tc>
          <w:tcPr>
            <w:tcW w:type="dxa" w:w="13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aasbs_invoice_id</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v_rr_per_invoice</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RR summary + accepted amount per invoice</w:t>
            </w:r>
          </w:p>
        </w:tc>
        <w:tc>
          <w:tcPr>
            <w:tcW w:type="dxa" w:w="13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aasbs_invoice_id</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v_po_per_inv_purchase_num</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PO summary + SUM(po_line.total_line_amt) per purchase order number</w:t>
            </w:r>
          </w:p>
        </w:tc>
        <w:tc>
          <w:tcPr>
            <w:tcW w:type="dxa" w:w="13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purchase_order_number</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v_ia_per_po</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ia_sk via award_mod → award_ia bridge per purchase order number</w:t>
            </w:r>
          </w:p>
        </w:tc>
        <w:tc>
          <w:tcPr>
            <w:tcW w:type="dxa" w:w="13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purchase_order_number</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v_agency_per_inv</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agency_sk per activity_address_cd (from dim_agency)</w:t>
            </w:r>
          </w:p>
        </w:tc>
        <w:tc>
          <w:tcPr>
            <w:tcW w:type="dxa" w:w="13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activity_address_cd</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6  Error Handling &amp; Idempotency</w:t>
      </w:r>
    </w:p>
    <w:p>
      <w:pPr>
        <w:pStyle w:val="Heading2"/>
        <w:spacing w:before="260" w:after="80"/>
      </w:pPr>
      <w:r>
        <w:rPr>
          <w:rFonts w:ascii="Arial" w:cs="Arial" w:eastAsia="Arial" w:hAnsi="Arial"/>
          <w:b/>
          <w:bCs/>
          <w:color w:val="1E5FA8"/>
          <w:sz w:val="26"/>
          <w:szCs w:val="26"/>
        </w:rPr>
        <w:t xml:space="preserve">6.1  Idempotency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2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Pattern</w:t>
            </w:r>
          </w:p>
        </w:tc>
        <w:tc>
          <w:tcPr>
            <w:tcW w:type="dxa" w:w="1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Re-run Safe?</w:t>
            </w:r>
          </w:p>
        </w:tc>
        <w:tc>
          <w:tcPr>
            <w:tcW w:type="dxa" w:w="27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prime_dim_transmittal_type</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TRUNCATE→INSERT</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YES — fully idempotent</w:t>
            </w:r>
          </w:p>
        </w:tc>
        <w:tc>
          <w:tcPr>
            <w:tcW w:type="dxa" w:w="27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prime_dim_aac_envelope</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TRUNCATE→INSERT</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YES — fully idempotent</w:t>
            </w:r>
          </w:p>
        </w:tc>
        <w:tc>
          <w:tcPr>
            <w:tcW w:type="dxa" w:w="27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Internal pre-flight guard on dim_transmittal_type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prime_dim_agreement</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TRUNCATE→INSERT</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YES — fully idempotent</w:t>
            </w:r>
          </w:p>
        </w:tc>
        <w:tc>
          <w:tcPr>
            <w:tcW w:type="dxa" w:w="27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prime_dim_receiving_report</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TRUNCATE→INSERT</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YES — fully idempotent</w:t>
            </w:r>
          </w:p>
        </w:tc>
        <w:tc>
          <w:tcPr>
            <w:tcW w:type="dxa" w:w="27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prime_fact_transmission_event</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INSERT-only guard</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NO — manual TRUNCATE required</w:t>
            </w:r>
          </w:p>
        </w:tc>
        <w:tc>
          <w:tcPr>
            <w:tcW w:type="dxa" w:w="27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Aborts cleanly if rows exist</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INSERT-only guard</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NO — manual TRUNCATE required</w:t>
            </w:r>
          </w:p>
        </w:tc>
        <w:tc>
          <w:tcPr>
            <w:tcW w:type="dxa" w:w="27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Aborts cleanly if rows exist</w:t>
            </w:r>
          </w:p>
        </w:tc>
      </w:tr>
    </w:tbl>
    <w:p>
      <w:pPr>
        <w:spacing w:before="80" w:after="0"/>
      </w:pPr>
      <w:r>
        <w:t xml:space="preserve"/>
      </w:r>
    </w:p>
    <w:p>
      <w:pPr>
        <w:pBdr>
          <w:left w:val="single" w:color="B03030" w:sz="12" w:space="4"/>
        </w:pBdr>
        <w:spacing w:before="80" w:after="80"/>
        <w:ind w:left="280"/>
      </w:pPr>
      <w:r>
        <w:rPr>
          <w:rFonts w:ascii="Arial" w:cs="Arial" w:eastAsia="Arial" w:hAnsi="Arial"/>
          <w:b/>
          <w:bCs/>
          <w:color w:val="B03030"/>
          <w:sz w:val="20"/>
          <w:szCs w:val="20"/>
        </w:rPr>
        <w:t xml:space="preserve">WARNING: </w:t>
      </w:r>
      <w:r>
        <w:rPr>
          <w:rFonts w:ascii="Arial" w:cs="Arial" w:eastAsia="Arial" w:hAnsi="Arial"/>
          <w:i/>
          <w:iCs/>
          <w:color w:val="333333"/>
          <w:sz w:val="20"/>
          <w:szCs w:val="20"/>
        </w:rPr>
        <w:t xml:space="preserve">Both fact tables are INSERT-only. To re-prime: manually run TRUNCATE TABLE assist_catalog.tpp.fact_transmission_event and TRUNCATE TABLE assist_catalog.tpp.fact_payment_reconciliation in Databricks SQL cells, then re-run the driver. Dim tables self-correct on re-run.</w:t>
      </w:r>
    </w:p>
    <w:p>
      <w:pPr>
        <w:pStyle w:val="Heading2"/>
        <w:spacing w:before="260" w:after="80"/>
      </w:pPr>
      <w:r>
        <w:rPr>
          <w:rFonts w:ascii="Arial" w:cs="Arial" w:eastAsia="Arial" w:hAnsi="Arial"/>
          <w:b/>
          <w:bCs/>
          <w:color w:val="1E5FA8"/>
          <w:sz w:val="26"/>
          <w:szCs w:val="26"/>
        </w:rPr>
        <w:t xml:space="preserve">6.2  Sentinel FK Values</w:t>
      </w:r>
    </w:p>
    <w:p>
      <w:pPr>
        <w:spacing w:before="60" w:after="60"/>
      </w:pPr>
      <w:r>
        <w:rPr>
          <w:rFonts w:ascii="Arial" w:cs="Arial" w:eastAsia="Arial" w:hAnsi="Arial"/>
          <w:sz w:val="22"/>
          <w:szCs w:val="22"/>
        </w:rPr>
        <w:t xml:space="preserve">All unresolvable surrogate key lookups write -1 as the sentinel value via COALESCE(dim.sk, -1). The exception is line_item_sk on fact_payment_reconciliation which is declared NOT NULL in the Gold DDL; COALESCE(dli.line_item_sk, -1) guarantees -1 rather than NULL when the CLIN cannot be resolved.</w:t>
      </w:r>
    </w:p>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7  Post-load Quality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4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Checks</w:t>
            </w:r>
          </w:p>
        </w:tc>
        <w:tc>
          <w:tcPr>
            <w:tcW w:type="dxa" w:w="2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On Failure</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prime_dim_transmittal_type</w:t>
            </w:r>
          </w:p>
        </w:tc>
        <w:tc>
          <w:tcPr>
            <w:tcW w:type="dxa" w:w="4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Distinct types loaded (distribution print); envelope_format=0 assertion; poc=0 assertion; spec_version coverage</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ASSERT on non-NULL Silver gap fields</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prime_dim_aac_envelope</w:t>
            </w:r>
          </w:p>
        </w:tc>
        <w:tc>
          <w:tcPr>
            <w:tcW w:type="dxa" w:w="4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Row count parity vs distinct AAC count; POC name coverage; last_tx_dt coverage; suspended count</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WARNING on row count mismatch</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prime_dim_agreement</w:t>
            </w:r>
          </w:p>
        </w:tc>
        <w:tc>
          <w:tcPr>
            <w:tcW w:type="dxa" w:w="4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Grand total agreement amt; last_transmitted_dt coverage; line_count coverage</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Informational — WARNING threshold not set</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prime_dim_receiving_report</w:t>
            </w:r>
          </w:p>
        </w:tc>
        <w:tc>
          <w:tcPr>
            <w:tcW w:type="dxa" w:w="4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Financial totals (total_rr, total_mdl); acceptance date coverage</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Informational</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prime_fact_transmission_event</w:t>
            </w:r>
          </w:p>
        </w:tc>
        <w:tc>
          <w:tcPr>
            <w:tcW w:type="dxa" w:w="4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Row count parity (fan-out guard); sentinel FK report per dimension; financial totals (transmitted, confirmed, variance); confirmed_dt=0 assertion; error row count</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ASSERT on confirmed_dt non-NULL</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w:t>
            </w:r>
          </w:p>
        </w:tc>
        <w:tc>
          <w:tcPr>
            <w:tcW w:type="dxa" w:w="4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Row count parity; sentinel FK report; financial totals (invoice, po, rr, po_rr_var); multi-CLIN invoice count (I-DP5-4); Prompt Payment Act placeholder (I-DP5-7); payment_amt=0 assertion</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ASSERT on payment_amt non-NULL</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8  Deployment &amp; Operations</w:t>
      </w:r>
    </w:p>
    <w:p>
      <w:pPr>
        <w:pStyle w:val="Heading2"/>
        <w:spacing w:before="260" w:after="80"/>
      </w:pPr>
      <w:r>
        <w:rPr>
          <w:rFonts w:ascii="Arial" w:cs="Arial" w:eastAsia="Arial" w:hAnsi="Arial"/>
          <w:b/>
          <w:bCs/>
          <w:color w:val="1E5FA8"/>
          <w:sz w:val="26"/>
          <w:szCs w:val="26"/>
        </w:rPr>
        <w:t xml:space="preserve">8.1  Driver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Widget</w:t>
            </w:r>
          </w:p>
        </w:tc>
        <w:tc>
          <w:tcPr>
            <w:tcW w:type="dxa" w:w="1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Default</w:t>
            </w:r>
          </w:p>
        </w:tc>
        <w:tc>
          <w:tcPr>
            <w:tcW w:type="dxa" w:w="53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run_id</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(auto)</w:t>
            </w:r>
          </w:p>
        </w:tc>
        <w:tc>
          <w:tcPr>
            <w:tcW w:type="dxa" w:w="53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Auto-generates dp5_prime_{uuid12} if blank</w:t>
            </w:r>
          </w:p>
        </w:tc>
      </w:tr>
      <w:tr>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env</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prod</w:t>
            </w:r>
          </w:p>
        </w:tc>
        <w:tc>
          <w:tcPr>
            <w:tcW w:type="dxa" w:w="53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Environment tag written to pipeline_audit. Informational.</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force_fact</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false</w:t>
            </w:r>
          </w:p>
        </w:tc>
        <w:tc>
          <w:tcPr>
            <w:tcW w:type="dxa" w:w="53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Bypasses dim gate. Writes DRIVER_WARNING before facts run (I-DP5-2).</w:t>
            </w:r>
          </w:p>
        </w:tc>
      </w:tr>
      <w:tr>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timeout_sec</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3600</w:t>
            </w:r>
          </w:p>
        </w:tc>
        <w:tc>
          <w:tcPr>
            <w:tcW w:type="dxa" w:w="53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Per-notebook timeout in seconds.</w:t>
            </w:r>
          </w:p>
        </w:tc>
      </w:tr>
    </w:tbl>
    <w:p>
      <w:pPr>
        <w:spacing w:before="80" w:after="0"/>
      </w:pPr>
      <w:r>
        <w:t xml:space="preserve"/>
      </w:r>
    </w:p>
    <w:p>
      <w:pPr>
        <w:pStyle w:val="Heading2"/>
        <w:spacing w:before="260" w:after="80"/>
      </w:pPr>
      <w:r>
        <w:rPr>
          <w:rFonts w:ascii="Arial" w:cs="Arial" w:eastAsia="Arial" w:hAnsi="Arial"/>
          <w:b/>
          <w:bCs/>
          <w:color w:val="1E5FA8"/>
          <w:sz w:val="26"/>
          <w:szCs w:val="26"/>
        </w:rPr>
        <w:t xml:space="preserve">8.2  First-Time Prime Procedure</w:t>
      </w:r>
    </w:p>
    <w:p>
      <w:pPr>
        <w:pStyle w:val="ListParagraph"/>
        <w:numPr>
          <w:ilvl w:val="0"/>
          <w:numId w:val="2"/>
        </w:numPr>
        <w:spacing w:before="40" w:after="40"/>
      </w:pPr>
      <w:r>
        <w:rPr>
          <w:rFonts w:ascii="Arial" w:cs="Arial" w:eastAsia="Arial" w:hAnsi="Arial"/>
          <w:sz w:val="22"/>
          <w:szCs w:val="22"/>
        </w:rPr>
        <w:t xml:space="preserve">Verify DP1 prime has completed: common.dim_date, dim_agency, dim_ia, dim_line_item all non-empty.</w:t>
      </w:r>
    </w:p>
    <w:p>
      <w:pPr>
        <w:pStyle w:val="ListParagraph"/>
        <w:numPr>
          <w:ilvl w:val="0"/>
          <w:numId w:val="2"/>
        </w:numPr>
        <w:spacing w:before="40" w:after="40"/>
      </w:pPr>
      <w:r>
        <w:rPr>
          <w:rFonts w:ascii="Arial" w:cs="Arial" w:eastAsia="Arial" w:hAnsi="Arial"/>
          <w:sz w:val="22"/>
          <w:szCs w:val="22"/>
        </w:rPr>
        <w:t xml:space="preserve">Run prime_dp5_driver with a fresh run_id. All six pipeline notebooks execute in order. Dims auto-truncate; facts insert from empty.</w:t>
      </w:r>
    </w:p>
    <w:p>
      <w:pPr>
        <w:pStyle w:val="ListParagraph"/>
        <w:numPr>
          <w:ilvl w:val="0"/>
          <w:numId w:val="2"/>
        </w:numPr>
        <w:spacing w:before="40" w:after="40"/>
      </w:pPr>
      <w:r>
        <w:rPr>
          <w:rFonts w:ascii="Arial" w:cs="Arial" w:eastAsia="Arial" w:hAnsi="Arial"/>
          <w:sz w:val="22"/>
          <w:szCs w:val="22"/>
        </w:rPr>
        <w:t xml:space="preserve">Review post-load output: check sentinel FK counts, financial totals, and any ASSERT failures.</w:t>
      </w:r>
    </w:p>
    <w:p>
      <w:pPr>
        <w:pStyle w:val="Heading2"/>
        <w:spacing w:before="260" w:after="80"/>
      </w:pPr>
      <w:r>
        <w:rPr>
          <w:rFonts w:ascii="Arial" w:cs="Arial" w:eastAsia="Arial" w:hAnsi="Arial"/>
          <w:b/>
          <w:bCs/>
          <w:color w:val="1E5FA8"/>
          <w:sz w:val="26"/>
          <w:szCs w:val="26"/>
        </w:rPr>
        <w:t xml:space="preserve">8.3  Re-prime Procedure</w:t>
      </w:r>
    </w:p>
    <w:p>
      <w:pPr>
        <w:pStyle w:val="ListParagraph"/>
        <w:numPr>
          <w:ilvl w:val="0"/>
          <w:numId w:val="2"/>
        </w:numPr>
        <w:spacing w:before="40" w:after="40"/>
      </w:pPr>
      <w:r>
        <w:rPr>
          <w:rFonts w:ascii="Arial" w:cs="Arial" w:eastAsia="Arial" w:hAnsi="Arial"/>
          <w:sz w:val="22"/>
          <w:szCs w:val="22"/>
        </w:rPr>
        <w:t xml:space="preserve">TRUNCATE TABLE assist_catalog.tpp.fact_transmission_event  (Databricks SQL cell)</w:t>
      </w:r>
    </w:p>
    <w:p>
      <w:pPr>
        <w:pStyle w:val="ListParagraph"/>
        <w:numPr>
          <w:ilvl w:val="0"/>
          <w:numId w:val="2"/>
        </w:numPr>
        <w:spacing w:before="40" w:after="40"/>
      </w:pPr>
      <w:r>
        <w:rPr>
          <w:rFonts w:ascii="Arial" w:cs="Arial" w:eastAsia="Arial" w:hAnsi="Arial"/>
          <w:sz w:val="22"/>
          <w:szCs w:val="22"/>
        </w:rPr>
        <w:t xml:space="preserve">TRUNCATE TABLE assist_catalog.tpp.fact_payment_reconciliation  (Databricks SQL cell)</w:t>
      </w:r>
    </w:p>
    <w:p>
      <w:pPr>
        <w:pStyle w:val="ListParagraph"/>
        <w:numPr>
          <w:ilvl w:val="0"/>
          <w:numId w:val="2"/>
        </w:numPr>
        <w:spacing w:before="40" w:after="40"/>
      </w:pPr>
      <w:r>
        <w:rPr>
          <w:rFonts w:ascii="Arial" w:cs="Arial" w:eastAsia="Arial" w:hAnsi="Arial"/>
          <w:sz w:val="22"/>
          <w:szCs w:val="22"/>
        </w:rPr>
        <w:t xml:space="preserve">Re-run prime_dp5_driver. Dim tables self-correct on re-run.</w:t>
      </w:r>
    </w:p>
    <w:p>
      <w:pPr>
        <w:pStyle w:val="Heading2"/>
        <w:spacing w:before="260" w:after="80"/>
      </w:pPr>
      <w:r>
        <w:rPr>
          <w:rFonts w:ascii="Arial" w:cs="Arial" w:eastAsia="Arial" w:hAnsi="Arial"/>
          <w:b/>
          <w:bCs/>
          <w:color w:val="1E5FA8"/>
          <w:sz w:val="26"/>
          <w:szCs w:val="26"/>
        </w:rPr>
        <w:t xml:space="preserve">8.4  Known NULL Fields on Prime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200"/>
        <w:gridCol w:w="1160"/>
      </w:tblGrid>
      <w:tr>
        <w:tc>
          <w:tcPr>
            <w:tcW w:type="dxa" w:w="2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Column(s)</w:t>
            </w:r>
          </w:p>
        </w:tc>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Populated By</w:t>
            </w:r>
          </w:p>
        </w:tc>
        <w:tc>
          <w:tcPr>
            <w:tcW w:type="dxa" w:w="1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Regulatory Ref</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tpp.dim_transmittal_type</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envelope_format, poc_name, poc_email</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Supplemental reference load or CDC enrichment with per-type POC data</w:t>
            </w:r>
          </w:p>
        </w:tc>
        <w:tc>
          <w:tcPr>
            <w:tcW w:type="dxa" w:w="1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w:t>
            </w:r>
          </w:p>
        </w:tc>
      </w:tr>
      <w:tr>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tpp.dim_aac_envelope</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last_transmission_dt (proxy currently)</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CDC with transmittal.sent_dt once AAC-to-transmittal join is enriched</w:t>
            </w:r>
          </w:p>
        </w:tc>
        <w:tc>
          <w:tcPr>
            <w:tcW w:type="dxa" w:w="1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tpp.fact_transmission_event</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confirmed_dt</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CDC from Pegasys/VITAP confirmation timestamp feed</w:t>
            </w:r>
          </w:p>
        </w:tc>
        <w:tc>
          <w:tcPr>
            <w:tcW w:type="dxa" w:w="1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TFM Vol.I Pt.2 §4700</w:t>
            </w:r>
          </w:p>
        </w:tc>
      </w:tr>
      <w:tr>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tpp.fact_payment_reconciliation</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agreement_sk</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CDC once bridge from inv_summary to agreement is confirmed</w:t>
            </w:r>
          </w:p>
        </w:tc>
        <w:tc>
          <w:tcPr>
            <w:tcW w:type="dxa" w:w="1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tpp.fact_payment_reconciliation</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billing_amt, invoice_to_billing_variance_amt</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CDC once billing.billing bridge to inv_summary is confirmed</w:t>
            </w:r>
          </w:p>
        </w:tc>
        <w:tc>
          <w:tcPr>
            <w:tcW w:type="dxa" w:w="1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w:t>
            </w:r>
          </w:p>
        </w:tc>
      </w:tr>
      <w:tr>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tpp.fact_payment_reconciliation</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payment_amt, payment_date_sk, invoice_to_payment_days, is_prompt_payment_compliant</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 ingestion of aasbs.payment / aasbs.ipac_transaction / aasbs.vitap_batch</w:t>
            </w:r>
          </w:p>
        </w:tc>
        <w:tc>
          <w:tcPr>
            <w:tcW w:type="dxa" w:w="1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31 U.S.C. §3901</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9  Regulatory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Regulation</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4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DP5 Implementation</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Prompt Payment Act  31 U.S.C. §3901</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Payment within 30 days of invoice receipt; track invoice-to-payment days</w:t>
            </w:r>
          </w:p>
        </w:tc>
        <w:tc>
          <w:tcPr>
            <w:tcW w:type="dxa" w:w="4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is_prompt_payment_compliant and invoice_to_payment_days SILVER-PENDING on prime. Metric placeholder established at post-load (I-DP5-7). Activates on Silver ingestion of aasbs.payment.</w:t>
            </w:r>
          </w:p>
        </w:tc>
      </w:tr>
      <w:tr>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TFM Volume I Part 2 §4700</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Confirmation timestamp for every Treasury transmission; BAAR reconciliation</w:t>
            </w:r>
          </w:p>
        </w:tc>
        <w:tc>
          <w:tcPr>
            <w:tcW w:type="dxa" w:w="4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confirmed_dt SILVER-PENDING. transmitted_dt populated from transmittal.sent_dt. baar_amt fields populated from billing_summary.billing_amount and response info.</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OMB Circular A-136</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CFO financial statement reporting — payments and receivables</w:t>
            </w:r>
          </w:p>
        </w:tc>
        <w:tc>
          <w:tcPr>
            <w:tcW w:type="dxa" w:w="4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fact_payment_reconciliation provides the PO-to-RR-to-payment chain for receivables. fact_transmission_event provides BAAR transmission audit trail.</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10  Outstanding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000"/>
        <w:gridCol w:w="1560"/>
      </w:tblGrid>
      <w:tr>
        <w:tc>
          <w:tcPr>
            <w:tcW w:type="dxa" w:w="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Ref</w:t>
            </w:r>
          </w:p>
        </w:tc>
        <w:tc>
          <w:tcPr>
            <w:tcW w:type="dxa" w:w="5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2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OI-DP5-1</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Ingest aasbs.payment / aasbs.vitap_batch / aasbs.ipac_transaction into Silver. Required for Prompt Payment Act compliance monitoring (payment_amt, payment_date_sk, invoice_to_payment_days, is_prompt_payment_compliant — all NULL on prime).</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 ingest team</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HIGH — regulatory requirement</w:t>
            </w:r>
          </w:p>
        </w:tc>
      </w:tr>
      <w:tr>
        <w:tc>
          <w:tcPr>
            <w:tcW w:type="dxa" w:w="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OI-DP5-2</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Ingest Pegasys/VITAP transmission confirmation timestamp feed into Silver to populate confirmed_dt on fact_transmission_event. Required for TFM Vol.I Pt.2 §4700 tracking.</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 ingest team</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HIGH</w:t>
            </w:r>
          </w:p>
        </w:tc>
      </w:tr>
      <w:tr>
        <w:tc>
          <w:tcPr>
            <w:tcW w:type="dxa" w:w="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OI-DP5-3</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Resolve agreement_sk on fact_payment_reconciliation. Candidate path: inv_summary.invoice_id → aasbs_invoice.award_id → billing chain → agreement.agreement_num. Requires source system documentation.</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CDC data engineer</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MEDIUM</w:t>
            </w:r>
          </w:p>
        </w:tc>
      </w:tr>
      <w:tr>
        <w:tc>
          <w:tcPr>
            <w:tcW w:type="dxa" w:w="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OI-DP5-4</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Resolve billing_amt on fact_payment_reconciliation. billing.billing_summary_id references billing_summary, not inv_summary. Source system documentation needed for the correct bridge column.</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CDC data engineer</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MEDIUM</w:t>
            </w:r>
          </w:p>
        </w:tc>
      </w:tr>
      <w:tr>
        <w:tc>
          <w:tcPr>
            <w:tcW w:type="dxa" w:w="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OI-DP5-5</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Replace transmittal_stage_cd proxy on fact_transmission_event (currently billing_summary.transmittal_status_cd) with proper lu_transmittal_stage decode once stage values are confirmed against production data.</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CDC data engineer</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LOW</w:t>
            </w:r>
          </w:p>
        </w:tc>
      </w:tr>
      <w:tr>
        <w:tc>
          <w:tcPr>
            <w:tcW w:type="dxa" w:w="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OI-DP5-6</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Replace last_transmission_dt proxy on dim_aac_envelope (MAX billing_summary.generated_dt) with transmittal.sent_dt once the transmittal-to-AAC enrichment join is confirmed in CDC.</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CDC data engineer</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LOW</w:t>
            </w:r>
          </w:p>
        </w:tc>
      </w:tr>
      <w:tr>
        <w:tc>
          <w:tcPr>
            <w:tcW w:type="dxa" w:w="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OI-DP5-7</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Confirm whether per-type envelope_format and poc_name/poc_email assignments exist in any upstream source system not yet ingested. If confirmed, add Silver ingestion and extend dim_transmittal_type.</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 ingest team</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LOW</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11  Appendix — Silver Source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600"/>
        <w:gridCol w:w="1160"/>
      </w:tblGrid>
      <w:tr>
        <w:tc>
          <w:tcPr>
            <w:tcW w:type="dxa" w:w="3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Silver Table</w:t>
            </w:r>
          </w:p>
        </w:tc>
        <w:tc>
          <w:tcPr>
            <w:tcW w:type="dxa" w:w="2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Schema</w:t>
            </w:r>
          </w:p>
        </w:tc>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Used By</w:t>
            </w:r>
          </w:p>
        </w:tc>
        <w:tc>
          <w:tcPr>
            <w:tcW w:type="dxa" w:w="1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silver_aasbs_transmit_lu_transmittal_type</w:t>
            </w:r>
          </w:p>
        </w:tc>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prime_dim_transmittal_type</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silver_aasbs_transmit_transmittal_spec_version</w:t>
            </w:r>
          </w:p>
        </w:tc>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prime_dim_transmittal_type (spec_version)</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silver_aasbs_transmit_aac_envelope</w:t>
            </w:r>
          </w:p>
        </w:tc>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prime_dim_aac_envelope (grain)</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silver_aasbs_transmit_transmittal_poc</w:t>
            </w:r>
          </w:p>
        </w:tc>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prime_dim_aac_envelope (POC)</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silver_aasbs_transmit_billing_summary</w:t>
            </w:r>
          </w:p>
        </w:tc>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prime_dim_aac_envelope (last_tx proxy) + prime_fact_transmission_event (grain)</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silver_aasbs_transmit_transmittal_suspension</w:t>
            </w:r>
          </w:p>
        </w:tc>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prime_dim_aac_envelope (suspension)</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silver_agreement_agreement</w:t>
            </w:r>
          </w:p>
        </w:tc>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prime_dim_agreement (base)</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silver_agreement_agreement_line</w:t>
            </w:r>
          </w:p>
        </w:tc>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prime_dim_agreement (line count)</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silver_agreement_agreement_log</w:t>
            </w:r>
          </w:p>
        </w:tc>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agreement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prime_dim_agreement (last transmitted)</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silver_aasbs_transmit_rr_summary</w:t>
            </w:r>
          </w:p>
        </w:tc>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prime_dim_receiving_report (base)</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silver_aasbs_transmit_rr_detail</w:t>
            </w:r>
          </w:p>
        </w:tc>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prime_dim_receiving_report (MDL)</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silver_aasbs_transmit_transmittal</w:t>
            </w:r>
          </w:p>
        </w:tc>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prime_fact_transmission_event (type, sent_dt)</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silver_aasbs_transmit_transmit_error</w:t>
            </w:r>
          </w:p>
        </w:tc>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prime_fact_transmission_event (errors)</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silver_billing_billing_response_info</w:t>
            </w:r>
          </w:p>
        </w:tc>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billing</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prime_fact_transmission_event (confirmed_amt proxy)</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silver_aasbs_loa</w:t>
            </w:r>
          </w:p>
        </w:tc>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prime_fact_transmission_event (ia_sk chain)</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silver_aasbs_loa_ledger</w:t>
            </w:r>
          </w:p>
        </w:tc>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prime_fact_transmission_event (ia_id)</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silver_aasbs_transmit_inv_summary</w:t>
            </w:r>
          </w:p>
        </w:tc>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 (grain)</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silver_aasbs_invoice</w:t>
            </w:r>
          </w:p>
        </w:tc>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 (CLIN bridge)</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silver_aasbs_invoice_item</w:t>
            </w:r>
          </w:p>
        </w:tc>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 (CLIN id)</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silver_aasbs_transmit_po_summary</w:t>
            </w:r>
          </w:p>
        </w:tc>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 (PO + ia path)</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silver_aasbs_transmit_po_line</w:t>
            </w:r>
          </w:p>
        </w:tc>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aasbs_transmit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 (po_amt)</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silver_aasbs_award_mod</w:t>
            </w:r>
          </w:p>
        </w:tc>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 (award_id for ia path)</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silver_aasbs_award_ia</w:t>
            </w:r>
          </w:p>
        </w:tc>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prime_fact_payment_reconciliation (ia bridge)</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aasbs.payment / ipac_transaction / vitap_batch</w:t>
            </w:r>
          </w:p>
        </w:tc>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aasbs</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i w:val="false"/>
                <w:iCs w:val="false"/>
                <w:color w:val="222222"/>
                <w:sz w:val="20"/>
                <w:szCs w:val="20"/>
              </w:rPr>
              <w:t xml:space="preserve">payment_amt, payment_date_sk, etc.</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SILVER-PENDING</w:t>
            </w:r>
          </w:p>
        </w:tc>
      </w:tr>
    </w:tbl>
    <w:sectPr>
      <w:headerReference w:type="default" r:id="rId6"/>
      <w:footerReference w:type="default" r:id="rId7"/>
      <w:pgSz w:w="12240" w:h="15840" w:orient="portrait"/>
      <w:pgMar w:top="1080" w:right="960" w:bottom="108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F" w:sz="4" w:space="2"/>
      </w:pBdr>
      <w:jc w:val="right"/>
    </w:pPr>
    <w:r>
      <w:rPr>
        <w:rFonts w:ascii="Arial" w:cs="Arial" w:eastAsia="Arial" w:hAnsi="Arial"/>
        <w:color w:val="6B7A99"/>
        <w:sz w:val="18"/>
        <w:szCs w:val="18"/>
      </w:rPr>
      <w:t xml:space="preserve">ASSIST OCFO  ·  Confidential  ·  26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2"/>
      </w:pBdr>
    </w:pPr>
    <w:r>
      <w:rPr>
        <w:rFonts w:ascii="Arial" w:cs="Arial" w:eastAsia="Arial" w:hAnsi="Arial"/>
        <w:color w:val="6B7A99"/>
        <w:sz w:val="18"/>
        <w:szCs w:val="18"/>
      </w:rPr>
      <w:t xml:space="preserve">ASSIST OCFO  ·  DP5 Treasury Transmission &amp; Payment Pipeline  ·  Prime Design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Arial" w:cs="Arial" w:eastAsia="Arial" w:hAnsi="Arial"/>
      <w:b/>
      <w:bCs/>
      <w:color w:val="1A2744"/>
      <w:sz w:val="32"/>
      <w:szCs w:val="32"/>
    </w:rPr>
  </w:style>
  <w:style w:type="paragraph" w:styleId="Heading2">
    <w:name w:val="Heading 2"/>
    <w:basedOn w:val="Normal"/>
    <w:next w:val="Normal"/>
    <w:qFormat/>
    <w:pPr>
      <w:spacing w:before="260" w:after="80"/>
      <w:outlineLvl w:val="1"/>
    </w:pPr>
    <w:rPr>
      <w:rFonts w:ascii="Arial" w:cs="Arial" w:eastAsia="Arial" w:hAnsi="Arial"/>
      <w:b/>
      <w:bCs/>
      <w:color w:val="1E5FA8"/>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A27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2026-03-27T18:41:04.522Z</dcterms:created>
  <dcterms:modified xsi:type="dcterms:W3CDTF">2026-03-27T18:41:04.522Z</dcterms:modified>
</cp:coreProperties>
</file>

<file path=docProps/custom.xml><?xml version="1.0" encoding="utf-8"?>
<Properties xmlns="http://schemas.openxmlformats.org/officeDocument/2006/custom-properties" xmlns:vt="http://schemas.openxmlformats.org/officeDocument/2006/docPropsVTypes"/>
</file>