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28"/>
          <w:szCs w:val="28"/>
          <w:rtl w:val="0"/>
        </w:rPr>
        <w:t xml:space="preserve">ASSIST OCFO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744"/>
          <w:sz w:val="40"/>
          <w:szCs w:val="40"/>
          <w:rtl w:val="0"/>
        </w:rPr>
        <w:t xml:space="preserve">DP11 — Conformed Reference Data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Full Product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Version 1.0  ·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DP11 — Conformed Reference Data Catalog (REF)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Gold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assist_catalog.ref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ASSIST OCFO / Data Architecture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Databricks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14.x LTS — Unity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Product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Approved — Production (84/85 tables; lu_multi_year_contract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Gold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85 reference tables (84 populated; 1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Parameterised bulk load: 3 domain-grouped notebooks × shared load_ref_table() helper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Upstream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None — no FK dependencies on any other data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DP11 — Conformed Reference Data Catalog (REF) publishes all 85 ASSIST OCFO lookup and decode tables as versioned Delta Lake reference data in assist_catalog.ref. It is the enabling product that allows all downstream consumers — DP1 through DP10, reporting dashboards, and ad-hoc analytics — to self-service code descriptions without joining back to operational Silver sources at query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DP11 is unique in the DP portfolio in three ways: it has no FK dependencies on any other data product; all 85 Gold tables share an identical schema enabling a single parameterised load pattern; and the driver uses force_continue semantics (not force_fact) since there are no fact tables — the three domain groups are independent of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84 of 85 tables load successfully on prime. lu_multi_year_contract is blocked because aasbs.lu_multi_year_contract has no Silver source (it should not be confused with lu_contract_type which covers a different domain).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 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85 ASSIST OCFO lu_* lookup and reference tables in a single unified schema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(code_value, code_desc, sort_order, is_active_flag, source_table) pattern across all 85 tables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Lineage traceability via source_table literal per row (e.g. 'aasbs.lu_acquisition_status')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re-prime capability by domain group (acquisition, financial, collaboration)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 Target Consumers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All DP1–DP10 reporting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Decode status codes, action codes, instrument types, fund types at query time without Silver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CFO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ref.lu_acquisition_status, ref.lu_ia_status, ref.lu_award_mod_status for status labels on KPI 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Treasury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ref.lu_transmittal_status, ref.lu_transmittal_type, ref.lu_fund_type for Treasury reconciliation 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OIG audit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ref.lu_review_type, ref.lu_review_finding, ref.lu_event_type for IG Act compliance labelling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 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lu_multi_year_contract — BLOCKED: no Silver source exists (not a pipeline error)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effective_dt and expiry_dt — SILVER GAP across all 85 tables; no lu_* table carries lifecycle dates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Non-lookup tables (transactional tables, fact-like tables) — DP11 covers reference data only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  Gold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 Universal Gold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All 85 ref tables share an identical 9-column schema. The parameterised load helper builds the INSERT SQL dynamically based on whether the source table carries sort_order and short_description.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2100"/>
        <w:gridCol w:w="2460"/>
        <w:gridCol w:w="1800"/>
        <w:tblGridChange w:id="0">
          <w:tblGrid>
            <w:gridCol w:w="2000"/>
            <w:gridCol w:w="1000"/>
            <w:gridCol w:w="2100"/>
            <w:gridCol w:w="24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Design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code_sk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BIGINT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Auto-generated. Not in INSERT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string (natural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lu.cd. The code value used in all transactional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code_desc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decoded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lu.description.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short_desc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lu.short_description. Only lu_instrument_type and lu_proc_phase carry this column; CAST(NULL) for 83 others.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UI display sort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lu.sort_order where present (36/85 tables); CAST(NULL AS INT) for 49 tables without this column.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is_active_flag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Active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UPPER(TRIM(lu.active_yn)) = 'Y'. UPPER+TRIM guards against case/whitespace 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effective_dt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SILVER GAP: no Silver lu_* table carries effective_dt.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expiry_dt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NULL — SILVER GAP: no Silver lu_* table carries expiry_dt.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source_table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 schema.table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Hardcoded literal per table. e.g. 'aasbs.lu_acquisition_status'. 4 transmit tables use 'aasbs_transmit.*' prefix.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 Architecture — Parameterised Bulk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DP11 uses a parameterised bulk load pattern (I-DP11-1). Three domain-grouped notebooks each iterate over a REF_TABLES config list of tuples and call a shared load_ref_table() helper that builds the INSERT SQL dynamically. This avoids 85 individual notebooks which would produce ~12,000 lines of structural boilerplate.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1200"/>
        <w:gridCol w:w="3360"/>
        <w:gridCol w:w="800"/>
        <w:tblGridChange w:id="0">
          <w:tblGrid>
            <w:gridCol w:w="1200"/>
            <w:gridCol w:w="2800"/>
            <w:gridCol w:w="1200"/>
            <w:gridCol w:w="336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prime_ref_acquisition_contract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FAR/procurement + FPDS + solicitation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BLOCKED: lu_multi_year_contract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prime_ref_financial_operational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Fund, LOA, IA, line item, org, geographic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32 Silver sources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prime_ref_collab_transmittal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Collaboration, review, workflow, transmittal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from aasbs_transmit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  Domain Group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Group 1 — Acquisition &amp; Contract (33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Source schema: aasbs. Covers: acquisition status/type/mod status, competition type, contract type, instrument type, IDV types, solicitation status, severability, bundled/consolidated, expedited, commercial, performance, COR delegation, small business, national emergency, DPAS. Blocked: lu_multi_year_contract.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Group 2 — Financial &amp; Operational (32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Source schema: aasbs. Covers: fund/fund type/status/category/usage, LOA status/change reason/transaction type, billing type, fund amendment status, IA status/amend action, agreement type, line item type, proc phase (with sort+short), cost rate type, unit of measure, responsible role, activity address code, agency, bureau, region, program, state, country, office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Group 3 — Collaboration &amp; Transmittal (20 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Sources: aasbs (16 tables) + aasbs_transmit (4 tables). Covers: collab type/status, event type, review type/finding, reviewer type, checklist items/types/values, closeout prohibition, table name, email status, group contact type, cor delegation, subsystem. Transmit tables: lu_transmittal_record_type, lu_transmittal_stage, lu_transmittal_status, lu_transmittal_type.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  Key Architectural Design Decisions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3160"/>
        <w:gridCol w:w="2000"/>
        <w:tblGridChange w:id="0">
          <w:tblGrid>
            <w:gridCol w:w="2200"/>
            <w:gridCol w:w="2000"/>
            <w:gridCol w:w="3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ADR-DP11-01: Parameterised bulk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domain-grouped notebooks + shared helper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85 structurally identical tables. Any structural change = single-point edit in the helper. 85 individual notebooks = 12K lines of boilerplate.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Domain-grouped parameterised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ADR-DP11-02: force_continue (not force_fact)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Three independent domain groups; no fact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85 are TRUNCATE→INSERT dims. Domain groups are independent — a failure in group 1 should not block group 2/3.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force_continue driver semantics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ADR-DP11-03: lu_multi_year_contract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Empty load; BLOCKED audit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Silver source. Loading from lu_contract_type (different meaning) would be semantically wrong.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BLOCKED; not a pipeline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ADR-DP11-04: effective_dt / expiry_dt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CAST(NULL AS DATE); assertions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Silver lu_* table carries lifecycle dates. NULL + assertion is 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Silver gap;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ADR-DP11-05: source_table literal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Hardcoded per table; aasbs_transmit.* prefix for 4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Lineage field. Not derivable from Silver; must be explicitly correct per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Hardcoded literal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ADR-DP11-06: is_active_flag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UPPER(TRIM(active_yn)) = 'Y'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Guards against case and whitespace variants in source data ('y', ' Y', 'Yes').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UPPER+TRIM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ADR-DP11-07: No pre-flight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DP1/DP8 checks in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DP11 has zero FK dependencies on any other Gold product. Pre-flight would add no protection.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Self-contained; no dependencies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  DP11 Product Boundary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DP11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Silver lu_* tables from aasbs (81 tables) and aasbs_transmit (4 tables)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DP11 is read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DP1–DP10 reporting layer; dashboards; ad-hoc analytics. All code decode joins come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DP11 reads 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FK dependencies on any other Gold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Re-prime 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85 tables are TRUNCATE→INSERT; any table can be re-primed without affecting others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  Post-load Quality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Each notebook group produces a consolidated post-load summary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name, rows inserted, count is_active_flag=TRUE, count is_active_flag=FALSE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 flag for any table loading 0 rows (possible Silver gap or empty source)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 table listing (Group 1: lu_multi_year_contract)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ASSERT: effective_dt = NULL for all rows across all tables in group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ASSERT: expiry_dt = NULL for all rows across all tables in group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3 additional ASSERT: all 4 transmit tables carry 'aasbs_transmit.*' source_table prefix</w:t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  Known Limitations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60"/>
        <w:gridCol w:w="3000"/>
        <w:gridCol w:w="2000"/>
        <w:tblGridChange w:id="0">
          <w:tblGrid>
            <w:gridCol w:w="2400"/>
            <w:gridCol w:w="1960"/>
            <w:gridCol w:w="3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 /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lu_multi_year_contract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Multi-year contract code lookups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Ingest aasbs.lu_multi_year_contract into Silver. Schema and pipeline entry are ready.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effective_dt / expiry_dt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lifecycle dates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Design CDC enrichment once source system captures code lifecycle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 history on re-prime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TRUNCATE→INSERT replaces all rows; any CDC-managed history 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Re-prime only when full reference data refresh is explicitly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pBdr>
          <w:bottom w:color="c9a227" w:space="1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  Regulatory Alignment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40"/>
        <w:gridCol w:w="4320"/>
        <w:tblGridChange w:id="0">
          <w:tblGrid>
            <w:gridCol w:w="2400"/>
            <w:gridCol w:w="26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DP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FAR Part 4, 6,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Acquisition &amp; procurement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lu_competition_type, lu_reason_for_direct, lu_small_business_admin, lu_contract_type, lu_instrument_type provide FAR-aligned decode values for all procurement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TFM Volume I, OMB 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Financial &amp; LOA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lu_fund, lu_fund_type, lu_loa_status, lu_loa_change_reason, lu_transaction_type support Treasury and budget object classification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31 U.S.C. §1535, FAR Part 17.5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IA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lu_ia_status, lu_ia_amend_action, lu_agreement_type provide IA lifecycle decode values for Economy Act compliance 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 U.S.C. App. 3, OMB A-123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 &amp; audit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lu_review_type, lu_review_finding, lu_reviewer_type, lu_event_type decode audit trail and review determination data for OIG and OMB reporting.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color="c9a227" w:space="1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ASSIST OCFO  ·  Confidential  ·  April 2026Page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Bdr>
        <w:bottom w:color="c9a227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ASSIST OCFO  |  DP11 Product Design Document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74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