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00" w:after="100"/>
        <w:jc w:val="center"/>
      </w:pPr>
      <w:r>
        <w:rPr>
          <w:rFonts w:ascii="Arial" w:cs="Arial" w:eastAsia="Arial" w:hAnsi="Arial"/>
          <w:b/>
          <w:bCs/>
          <w:color w:val="C9A227"/>
          <w:sz w:val="28"/>
          <w:szCs w:val="28"/>
        </w:rPr>
        <w:t xml:space="preserve">ASSIST OCFO</w:t>
      </w:r>
    </w:p>
    <w:p>
      <w:pPr>
        <w:spacing w:before="0" w:after="120"/>
        <w:jc w:val="center"/>
      </w:pPr>
      <w:r>
        <w:rPr>
          <w:rFonts w:ascii="Arial" w:cs="Arial" w:eastAsia="Arial" w:hAnsi="Arial"/>
          <w:b/>
          <w:bCs/>
          <w:color w:val="1A2744"/>
          <w:sz w:val="56"/>
          <w:szCs w:val="56"/>
        </w:rPr>
        <w:t xml:space="preserve">Gold Layer Data Architecture</w:t>
      </w:r>
    </w:p>
    <w:p>
      <w:pPr>
        <w:spacing w:before="0" w:after="400"/>
        <w:jc w:val="center"/>
      </w:pPr>
      <w:r>
        <w:rPr>
          <w:rFonts w:ascii="Arial" w:cs="Arial" w:eastAsia="Arial" w:hAnsi="Arial"/>
          <w:b w:val="false"/>
          <w:bCs w:val="false"/>
          <w:color w:val="4A5A80"/>
          <w:sz w:val="36"/>
          <w:szCs w:val="36"/>
        </w:rPr>
        <w:t xml:space="preserve">Design Document</w:t>
      </w:r>
    </w:p>
    <w:p>
      <w:pPr>
        <w:pBdr>
          <w:bottom w:val="single" w:color="C9A227" w:sz="8" w:space="1"/>
        </w:pBdr>
        <w:spacing w:before="0" w:after="40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Catalog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Layer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Gold — Conformed Star Schemas</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Data Products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11 (DP1–DP11) + shared common schema</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136 (14 facts, 38 dims, 83 lu_ refs, 1 audit) + 26 views</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Runtime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Databricks Runtime 14.x LTS — Delta Lake</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Source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PostgreSQL (ASSIST OCFO operational database)</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Source Tables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211 across 8 schemas (100% coverage)</w:t>
            </w:r>
          </w:p>
        </w:tc>
      </w:tr>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March 2026</w:t>
            </w:r>
          </w:p>
        </w:tc>
      </w:tr>
    </w:tbl>
    <w:p>
      <w:r>
        <w:br w:type="page"/>
      </w:r>
    </w:p>
    <w:p>
      <w:pPr>
        <w:pStyle w:val="Heading1"/>
        <w:shd w:fill="1A2744" w:val="clear"/>
        <w:spacing w:before="360" w:after="200"/>
        <w:ind w:left="200"/>
      </w:pPr>
      <w:r>
        <w:rPr>
          <w:rFonts w:ascii="Arial" w:cs="Arial" w:eastAsia="Arial" w:hAnsi="Arial"/>
          <w:b/>
          <w:bCs/>
          <w:color w:val="FFFFFF"/>
          <w:sz w:val="36"/>
          <w:szCs w:val="36"/>
        </w:rPr>
        <w:t xml:space="preserve">1. Executive Summary</w:t>
      </w:r>
    </w:p>
    <w:p>
      <w:pPr>
        <w:spacing w:before="60" w:after="80"/>
      </w:pPr>
      <w:r>
        <w:rPr>
          <w:rFonts w:ascii="Arial" w:cs="Arial" w:eastAsia="Arial" w:hAnsi="Arial"/>
          <w:b w:val="false"/>
          <w:bCs w:val="false"/>
          <w:i w:val="false"/>
          <w:iCs w:val="false"/>
          <w:color w:val="333333"/>
          <w:sz w:val="22"/>
          <w:szCs w:val="22"/>
        </w:rPr>
        <w:t xml:space="preserve">This document describes the Gold layer data architecture for the ASSIST OCFO federal acquisition system. The Gold layer is the business-ready, consumer-facing tier of a three-layer Medallion architecture implemented in Databricks Unity Catalog on Delta Lake. It provides conformed star schemas organised into 11 domain-driven data products covering the complete federal acquisition lifecycle from pre-award planning through post-award closeout.</w:t>
      </w:r>
    </w:p>
    <w:p>
      <w:pPr>
        <w:spacing w:before="60" w:after="80"/>
      </w:pPr>
      <w:r>
        <w:rPr>
          <w:rFonts w:ascii="Arial" w:cs="Arial" w:eastAsia="Arial" w:hAnsi="Arial"/>
          <w:b w:val="false"/>
          <w:bCs w:val="false"/>
          <w:i w:val="false"/>
          <w:iCs w:val="false"/>
          <w:color w:val="333333"/>
          <w:sz w:val="22"/>
          <w:szCs w:val="22"/>
        </w:rPr>
        <w:t xml:space="preserve">All 211 source tables from the ASSIST PostgreSQL operational database are assigned to exactly one data product. Shared dimensional data is published once in the assist_catalog.common schema and referenced by foreign key surrogate across all products, eliminating duplication and enforcing a single source of truth for agencies, interagency agreements, awards, CLINs, LOAs, and funding packages.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Count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Count</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Data Products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11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Gold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136</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14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Gold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26</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Dimension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38 + 83 ref</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SCD2 Dimensions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14</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Source Tables Covered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211 / 211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Source Schemas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8</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 Shared Dims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7</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DDL 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333333"/>
                <w:sz w:val="20"/>
                <w:szCs w:val="20"/>
              </w:rPr>
              <w:t xml:space="preserve">~6,045</w:t>
            </w:r>
          </w:p>
        </w:tc>
      </w:tr>
    </w:tbl>
    <w:p>
      <w:r>
        <w:br w:type="page"/>
      </w:r>
    </w:p>
    <w:p>
      <w:pPr>
        <w:pStyle w:val="Heading1"/>
        <w:shd w:fill="1A2744" w:val="clear"/>
        <w:spacing w:before="360" w:after="200"/>
        <w:ind w:left="200"/>
      </w:pPr>
      <w:r>
        <w:rPr>
          <w:rFonts w:ascii="Arial" w:cs="Arial" w:eastAsia="Arial" w:hAnsi="Arial"/>
          <w:b/>
          <w:bCs/>
          <w:color w:val="FFFFFF"/>
          <w:sz w:val="36"/>
          <w:szCs w:val="36"/>
        </w:rPr>
        <w:t xml:space="preserve">2. Architecture Overview</w:t>
      </w:r>
    </w:p>
    <w:p>
      <w:pPr>
        <w:pStyle w:val="Heading2"/>
        <w:pBdr>
          <w:bottom w:val="single" w:color="C9A227" w:sz="6" w:space="1"/>
        </w:pBdr>
        <w:spacing w:before="320" w:after="160"/>
      </w:pPr>
      <w:r>
        <w:rPr>
          <w:rFonts w:ascii="Arial" w:cs="Arial" w:eastAsia="Arial" w:hAnsi="Arial"/>
          <w:b/>
          <w:bCs/>
          <w:color w:val="1A2744"/>
          <w:sz w:val="28"/>
          <w:szCs w:val="28"/>
        </w:rPr>
        <w:t xml:space="preserve">2.1 Medallion Layers</w:t>
      </w:r>
    </w:p>
    <w:p>
      <w:pPr>
        <w:spacing w:before="60" w:after="80"/>
      </w:pPr>
      <w:r>
        <w:rPr>
          <w:rFonts w:ascii="Arial" w:cs="Arial" w:eastAsia="Arial" w:hAnsi="Arial"/>
          <w:b w:val="false"/>
          <w:bCs w:val="false"/>
          <w:i w:val="false"/>
          <w:iCs w:val="false"/>
          <w:color w:val="333333"/>
          <w:sz w:val="22"/>
          <w:szCs w:val="22"/>
        </w:rPr>
        <w:t xml:space="preserve">The ASSIST OCFO data platform implements a three-tier Medallion architecture:</w:t>
      </w:r>
    </w:p>
    <w:p>
      <w:pPr>
        <w:pStyle w:val="ListParagraph"/>
        <w:numPr>
          <w:ilvl w:val="0"/>
          <w:numId w:val="2"/>
        </w:numPr>
        <w:spacing w:before="40" w:after="60"/>
      </w:pPr>
      <w:r>
        <w:rPr>
          <w:rFonts w:ascii="Arial" w:cs="Arial" w:eastAsia="Arial" w:hAnsi="Arial"/>
          <w:color w:val="333333"/>
          <w:sz w:val="22"/>
          <w:szCs w:val="22"/>
        </w:rPr>
        <w:t xml:space="preserve">Bronze — Raw landing zone. One table per source Postgres table. No transforms, schema-enforced strings, full row history retained. Named: assist_catalog.bronze_&lt;schema&gt;_&lt;table&gt;.</w:t>
      </w:r>
    </w:p>
    <w:p>
      <w:pPr>
        <w:pStyle w:val="ListParagraph"/>
        <w:numPr>
          <w:ilvl w:val="0"/>
          <w:numId w:val="2"/>
        </w:numPr>
        <w:spacing w:before="40" w:after="60"/>
      </w:pPr>
      <w:r>
        <w:rPr>
          <w:rFonts w:ascii="Arial" w:cs="Arial" w:eastAsia="Arial" w:hAnsi="Arial"/>
          <w:color w:val="333333"/>
          <w:sz w:val="22"/>
          <w:szCs w:val="22"/>
        </w:rPr>
        <w:t xml:space="preserve">Silver — Cleansed, typed, audit-enriched. All 211 source tables mapped, Postgres types converted to Delta-native types, 6 audit columns added per table (is_deleted, deleted_at, _ingested_at, _source_system, _batch_id, _checksum). Named: assist_catalog.assist_finance.silver_&lt;schema&gt;_&lt;table&gt;.</w:t>
      </w:r>
    </w:p>
    <w:p>
      <w:pPr>
        <w:pStyle w:val="ListParagraph"/>
        <w:numPr>
          <w:ilvl w:val="0"/>
          <w:numId w:val="2"/>
        </w:numPr>
        <w:spacing w:before="40" w:after="60"/>
      </w:pPr>
      <w:r>
        <w:rPr>
          <w:rFonts w:ascii="Arial" w:cs="Arial" w:eastAsia="Arial" w:hAnsi="Arial"/>
          <w:color w:val="333333"/>
          <w:sz w:val="22"/>
          <w:szCs w:val="22"/>
        </w:rPr>
        <w:t xml:space="preserve">Gold — Conformed star schemas. Business-ready, consumer-facing. Dimensional model with surrogate keys, SCD Type 2 history, regulatory annotations, and pre-built analytical views. One schema per data product.</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2.2 Catalog Schema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 Count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SCD2 Dims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assist_catalog.common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Shared conformed dimensions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7 dims + pipeline_audit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SCD2 on dim_ia, dim_award, dim_loa, dim_line_item, dim_funding, dim_agency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assist_catalog.oet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 Obligation &amp; Expenditure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 fact, 3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assist_catalog.alt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DP2 Award Lifecycle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1 fact, 3 views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SCD2 on dim_contractor, dim_acquisition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assist_catalog.fre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DP3 FPDS Reporting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1 fact, 2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SCD2 on dim_fpds_contractor</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assist_catalog.air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DP4 Accrual Income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 dims, 1 fact, 3 views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assist_catalog.tpp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DP5 Treasury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2 facts, 4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assist_catalog.psc</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DP6 CLIN Pricing</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3 dims, 2 facts, 4 views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assist_catalog.smi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DP7 Market Intelligence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 dims, 1 fact, 2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assist_catalog.wpr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DP8 Workforce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6 dims, 1 fact, 2 views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SCD2 on dim_user, dim_client, dim_industry_partner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assist_catalog.iat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DP9 IA Lifecycle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 dims, 2 facts, 4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assist_catalog.cat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DP10 Audit Trail</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2 facts, 2 views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assist_catalog.ref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DP11 Reference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83 lu_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SCD1 (full refresh)</w:t>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2.3 Shared Common Dimensions</w:t>
      </w:r>
    </w:p>
    <w:p>
      <w:pPr>
        <w:spacing w:before="60" w:after="80"/>
      </w:pPr>
      <w:r>
        <w:rPr>
          <w:rFonts w:ascii="Arial" w:cs="Arial" w:eastAsia="Arial" w:hAnsi="Arial"/>
          <w:b w:val="false"/>
          <w:bCs w:val="false"/>
          <w:i w:val="false"/>
          <w:iCs w:val="false"/>
          <w:color w:val="333333"/>
          <w:sz w:val="22"/>
          <w:szCs w:val="22"/>
        </w:rPr>
        <w:t xml:space="preserve">Six conformed dimensions reside in assist_catalog.common and are shared by join across all 11 data products. This eliminates redundant copies of agency, IA, award, LOA, funding, and line-item data. All six implement SCD Type 2 with eff_start_dt / eff_end_dt / is_current_flag, enabling point-in-time queries by joining on is_current_flag = TRUE for current state or on eff_start_dt / eff_end_dt for historical analysis.</w:t>
      </w:r>
    </w:p>
    <w:p>
      <w:pPr>
        <w:pStyle w:val="ListParagraph"/>
        <w:numPr>
          <w:ilvl w:val="0"/>
          <w:numId w:val="2"/>
        </w:numPr>
        <w:spacing w:before="40" w:after="60"/>
      </w:pPr>
      <w:r>
        <w:rPr>
          <w:rFonts w:ascii="Arial" w:cs="Arial" w:eastAsia="Arial" w:hAnsi="Arial"/>
          <w:color w:val="333333"/>
          <w:sz w:val="22"/>
          <w:szCs w:val="22"/>
        </w:rPr>
        <w:t xml:space="preserve">dim_date — Date spine covering FY2000–FY2035 with federal fiscal calendar fields.</w:t>
      </w:r>
    </w:p>
    <w:p>
      <w:pPr>
        <w:pStyle w:val="ListParagraph"/>
        <w:numPr>
          <w:ilvl w:val="0"/>
          <w:numId w:val="2"/>
        </w:numPr>
        <w:spacing w:before="40" w:after="60"/>
      </w:pPr>
      <w:r>
        <w:rPr>
          <w:rFonts w:ascii="Arial" w:cs="Arial" w:eastAsia="Arial" w:hAnsi="Arial"/>
          <w:color w:val="333333"/>
          <w:sz w:val="22"/>
          <w:szCs w:val="22"/>
        </w:rPr>
        <w:t xml:space="preserve">dim_agency — Federal agency, bureau, and AAC hierarchy. Sourced from lu_agency, lu_bureau, lu_activity_address_code, and table_master.lu_federal_agency.</w:t>
      </w:r>
    </w:p>
    <w:p>
      <w:pPr>
        <w:pStyle w:val="ListParagraph"/>
        <w:numPr>
          <w:ilvl w:val="0"/>
          <w:numId w:val="2"/>
        </w:numPr>
        <w:spacing w:before="40" w:after="60"/>
      </w:pPr>
      <w:r>
        <w:rPr>
          <w:rFonts w:ascii="Arial" w:cs="Arial" w:eastAsia="Arial" w:hAnsi="Arial"/>
          <w:color w:val="333333"/>
          <w:sz w:val="22"/>
          <w:szCs w:val="22"/>
        </w:rPr>
        <w:t xml:space="preserve">dim_ia — Interagency Agreement (GT&amp;C and Orders). SCD2 tracks status, ceiling, and period changes.</w:t>
      </w:r>
    </w:p>
    <w:p>
      <w:pPr>
        <w:pStyle w:val="ListParagraph"/>
        <w:numPr>
          <w:ilvl w:val="0"/>
          <w:numId w:val="2"/>
        </w:numPr>
        <w:spacing w:before="40" w:after="60"/>
      </w:pPr>
      <w:r>
        <w:rPr>
          <w:rFonts w:ascii="Arial" w:cs="Arial" w:eastAsia="Arial" w:hAnsi="Arial"/>
          <w:color w:val="333333"/>
          <w:sz w:val="22"/>
          <w:szCs w:val="22"/>
        </w:rPr>
        <w:t xml:space="preserve">dim_award — Contract/award master. SCD2 reflects each modification. Includes FIN code and vehicle type.</w:t>
      </w:r>
    </w:p>
    <w:p>
      <w:pPr>
        <w:pStyle w:val="ListParagraph"/>
        <w:numPr>
          <w:ilvl w:val="0"/>
          <w:numId w:val="2"/>
        </w:numPr>
        <w:spacing w:before="40" w:after="60"/>
      </w:pPr>
      <w:r>
        <w:rPr>
          <w:rFonts w:ascii="Arial" w:cs="Arial" w:eastAsia="Arial" w:hAnsi="Arial"/>
          <w:color w:val="333333"/>
          <w:sz w:val="22"/>
          <w:szCs w:val="22"/>
        </w:rPr>
        <w:t xml:space="preserve">dim_line_item — CLIN/SLIN. SCD2 tracks exercised options, PoP extensions, and type changes.</w:t>
      </w:r>
    </w:p>
    <w:p>
      <w:pPr>
        <w:pStyle w:val="ListParagraph"/>
        <w:numPr>
          <w:ilvl w:val="0"/>
          <w:numId w:val="2"/>
        </w:numPr>
        <w:spacing w:before="40" w:after="60"/>
      </w:pPr>
      <w:r>
        <w:rPr>
          <w:rFonts w:ascii="Arial" w:cs="Arial" w:eastAsia="Arial" w:hAnsi="Arial"/>
          <w:color w:val="333333"/>
          <w:sz w:val="22"/>
          <w:szCs w:val="22"/>
        </w:rPr>
        <w:t xml:space="preserve">dim_loa — Line of Accounting. SCD2 tracks fund status and agreement changes. Contains full TAS decomposition.</w:t>
      </w:r>
    </w:p>
    <w:p>
      <w:pPr>
        <w:pStyle w:val="ListParagraph"/>
        <w:numPr>
          <w:ilvl w:val="0"/>
          <w:numId w:val="2"/>
        </w:numPr>
        <w:spacing w:before="40" w:after="60"/>
      </w:pPr>
      <w:r>
        <w:rPr>
          <w:rFonts w:ascii="Arial" w:cs="Arial" w:eastAsia="Arial" w:hAnsi="Arial"/>
          <w:color w:val="333333"/>
          <w:sz w:val="22"/>
          <w:szCs w:val="22"/>
        </w:rPr>
        <w:t xml:space="preserve">dim_funding — Funding package. SCD2 tracks amendment changes, billing type, fund category.</w:t>
      </w:r>
    </w:p>
    <w:p>
      <w:r>
        <w:br w:type="page"/>
      </w:r>
    </w:p>
    <w:p>
      <w:pPr>
        <w:pStyle w:val="Heading1"/>
        <w:shd w:fill="1A2744" w:val="clear"/>
        <w:spacing w:before="360" w:after="200"/>
        <w:ind w:left="200"/>
      </w:pPr>
      <w:r>
        <w:rPr>
          <w:rFonts w:ascii="Arial" w:cs="Arial" w:eastAsia="Arial" w:hAnsi="Arial"/>
          <w:b/>
          <w:bCs/>
          <w:color w:val="FFFFFF"/>
          <w:sz w:val="36"/>
          <w:szCs w:val="36"/>
        </w:rPr>
        <w:t xml:space="preserve">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Principle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Application in Gold DDL</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Medallion Architecture</w:t>
            </w:r>
          </w:p>
        </w:tc>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Bronze (raw Postgres), Silver (typed + audit enriched), Gold (star schema, business-ready). Each layer has a clear contract and can be rebuilt independently.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Surrogate Keys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Every Gold table uses BIGINT GENERATED ALWAYS AS IDENTITY as surrogate key. Natural keys retained as separate columns for Silver join tracing.</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SCD Type 2 on Changing Dims</w:t>
            </w:r>
          </w:p>
        </w:tc>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14 slowly changing dimensions implement eff_start_dt / eff_end_dt / is_current_flag. Consumers filter on is_current_flag = TRUE for point-in-time analysis.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SCD Type 1 on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Lookup/reference tables use full overwrite — historical code changes are not tracked at Gold (source history preserved in Silver).</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Shared Common Dimensions</w:t>
            </w:r>
          </w:p>
        </w:tc>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6 core dimensions in assist_catalog.common are reused across all data products. No duplication of agency, IA, award, LOA, funding, or line_item definitions.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Delta CDF Enabled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delta.enableChangeDataFeed = true on all tables. Gold MERGE reads only changed Silver rows via CDF scan, not full table scans.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Liquid Clustering</w:t>
            </w:r>
          </w:p>
        </w:tc>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CLUSTER BY replaces PARTITION BY per DBR 14 LTS best practice. Cluster columns chosen as PK + watermark column (updated_dt) for efficient delta refresh scans.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No FK Enforcement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FK relationships documented in COMMENT clauses but not enforced at Gold. Referential integrity is enforced at the query/reporting layer (e.g. Unity Catalog row filters).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Monetary Precision</w:t>
            </w:r>
          </w:p>
        </w:tc>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All financial amounts use DECIMAL(15,2) — 13 integer digits, 2 decimal places. Consistent with USG FMIS standard and FASAB cost accounting requirements.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Soft Deletes at Silver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is_deleted + deleted_at columns propagate to Gold fact rows via MERGE. Silver rows are never physically removed, preserving full audit history.</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Pipeline Audit Table</w:t>
            </w:r>
          </w:p>
        </w:tc>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common.pipeline_audit records every task execution with watermarks, row counts, and error details. Delta refresh jobs use this as their watermark registry.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Annotations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Every fact table TBLPROPERTIES and view COMMENT cites the applicable regulatory authority (FAR, FASAB, OMB, U.S.C.) enabling compliance traceability.</w:t>
            </w:r>
          </w:p>
        </w:tc>
      </w:tr>
    </w:tbl>
    <w:p>
      <w:r>
        <w:br w:type="page"/>
      </w:r>
    </w:p>
    <w:p>
      <w:pPr>
        <w:pStyle w:val="Heading1"/>
        <w:shd w:fill="1A2744" w:val="clear"/>
        <w:spacing w:before="360" w:after="200"/>
        <w:ind w:left="200"/>
      </w:pPr>
      <w:r>
        <w:rPr>
          <w:rFonts w:ascii="Arial" w:cs="Arial" w:eastAsia="Arial" w:hAnsi="Arial"/>
          <w:b/>
          <w:bCs/>
          <w:color w:val="FFFFFF"/>
          <w:sz w:val="36"/>
          <w:szCs w:val="36"/>
        </w:rPr>
        <w:t xml:space="preserve">4. Data Product Catalogue</w:t>
      </w:r>
    </w:p>
    <w:p>
      <w:pPr>
        <w:pStyle w:val="Heading2"/>
        <w:pBdr>
          <w:bottom w:val="single" w:color="C9A227" w:sz="6" w:space="1"/>
        </w:pBdr>
        <w:spacing w:before="320" w:after="160"/>
      </w:pPr>
      <w:r>
        <w:rPr>
          <w:rFonts w:ascii="Arial" w:cs="Arial" w:eastAsia="Arial" w:hAnsi="Arial"/>
          <w:b/>
          <w:bCs/>
          <w:color w:val="1A2744"/>
          <w:sz w:val="28"/>
          <w:szCs w:val="28"/>
        </w:rPr>
        <w:t xml:space="preserve">DP1 — Obligation &amp; Expenditure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assist_catalog.oet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Finance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CLIN × LOA × fiscal period</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6 dims, 3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CFO, OMB MAX, FSD Analysts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FASAB SFFAS 5, OMB SF-133/132, USG Scorecard UDO Metric</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Central financial product — all obligation, expenditure, invoice, acceptance, billing, and accrual amounts at CLIN×LOA grain. Primary source for CFO financial statements and OMB reporting.</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DP2 — Award Lifecycle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assist_catalog.alt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Acquisition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CLIN/SLIN per award</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3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Program Managers, CO Supervisors, Closeout Officers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4.804 (Closeout), Section 809 Panel, FAR 1.602-2(d)</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Full pre-award through closeout lifecycle state per CLIN. Cycle time analytics, closeout checklist tracking, and contractor identity history.</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DP3 — FPDS Reporting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assist_catalog.fre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Compliance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Award modification (CAR)</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2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FPDS-NG, USASpending.gov, OIG, Congressional Oversight</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4.604, 48 CFR 4.6, FFATA, DATA Act (31 U.S.C. §6101)</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One row per contract action report (modification). Feeds FPDS-NG submission queue, USASpending.gov, and OMB MAX A-11 agency reporting.</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DP4 — Accrual Income &amp; GSA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assist_catalog.air</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Finance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CLIN × LOA × accrual month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 dims, 3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16</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CFO Revenue Accountants, BAAR System, OMB A-136</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FASAB SFFAS 7 (Revenue), OMB A-136, USSGL 5100-5900</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Monthly GSA income accrual per CLIN×LOA. Feeds BAAR transmission pipeline, CFO P&amp;L matching against expense accruals, and FSD holdback override audit.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DP5 — Treasury Transmission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assist_catalog.tpp</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Finance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Transmittal batch event</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4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Treasury/Pegasys Ops, IPAC Team, OIG Payment Auditors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Prompt Payment Act (31 U.S.C. §3901), OMB A-123 App C, TFM Vol I</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End-to-end invoice→transmission→payment pipeline. Prompt Payment Act SLA tracking, PO/RR/Pegasys reconciliation, transmission error log.</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DP6 — CLIN Pricing &amp; Service Charge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assist_catalog.psc</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A2744"/>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Finance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Service charge schedule period</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3 dims, 4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Cost/Price Analysts, Billing Ops, Program Managers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15.404 (Price Analysis), FAR 16.4 (Incentive), FAR 31 (Cost Principles)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CLIN subtype pricing — labor rates, fixed fee schedules, travel vouchers, award fee structures. Planned vs actual cost variance for recompete should-cost modeling.</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DP7 — Solicitation &amp; Market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assist_catalog.smi</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A2744"/>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Acquisition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Contractor response per solicitation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 dims, 2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Contracting Officers, Cost/Price Analysts, Small Business Program Office</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15.404, FAR Part 19 (Small Business), CICA</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Competitive landscape data — all bids (winning and losing), price distribution, small business participation, competition type analytics.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DP8 — Workforce &amp; Personnel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assist_catalog.wpr</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A2744"/>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People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User role assignment per entity</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6 dims, 2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HR/Workforce Planning, Regional Directors, COR Program Office</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1.602-2(d) (COR Designation), OFPP COR Competency Model, GSA HCA 2815.4</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CO/COR/FMA/PM assignments across all awards, IAs, funding, and solicitations. COR delegation compliance gap detection, workload by region.</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DP9 — IA Lifecycle &amp; Amendment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assist_catalog.iat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A2744"/>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Acquisition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IA amendment</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 dims, 4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IA Program Managers, CFO Financial Analysts, OIG</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Part 17.5, Economy Act (31 U.S.C. §1535), OMB A-123, FISC</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Full IA amendment history — scope changes, cost adjustments, period extensions, annual review cadence, FIN code history, servicing AAC trail.</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DP10 — Collaboration, Review &amp;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assist_catalog.cat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A2744"/>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Compliance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Lifecycle chronology event</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 dims, 2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OIG Audit Response, Compliance/Ethics, Legal Counsel, Pre-Award Review Officers</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IG Act (5 U.S.C. App. 3), FAR 1.602-1, Federal Records Act (44 U.S.C. §3101)</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System-of-record for all workflow decisions, pre-award review determinations, collaboration workflows, and lifecycle event chronology.</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DP11 — Conformed Reference Data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assist_catalog.ref</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5E3C8F"/>
                <w:sz w:val="20"/>
                <w:szCs w:val="20"/>
              </w:rPr>
              <w:t xml:space="preserve">FOUNDATION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Grain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Lookup code per domain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Dims + 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83 dims, 0 views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Source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61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Consumers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All data products (consumed as shared reference)</w:t>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Regulatory Basis</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N/A — foundational infrastructure</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r>
        <w:tc>
          <w:tcPr>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Description</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All 83 lu_* lookup tables published as versioned Delta Lake reference. Eliminates lookup join dependencies across all data products. Single source of truth for all code values.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
            </w:r>
          </w:p>
        </w:tc>
      </w:tr>
    </w:tbl>
    <w:p>
      <w:pPr>
        <w:spacing w:before="80" w:after="80"/>
      </w:pPr>
      <w:r>
        <w:t xml:space="preserve"/>
      </w:r>
    </w:p>
    <w:p>
      <w:r>
        <w:br w:type="page"/>
      </w:r>
    </w:p>
    <w:p>
      <w:pPr>
        <w:pStyle w:val="Heading1"/>
        <w:shd w:fill="1A2744" w:val="clear"/>
        <w:spacing w:before="360" w:after="200"/>
        <w:ind w:left="200"/>
      </w:pPr>
      <w:r>
        <w:rPr>
          <w:rFonts w:ascii="Arial" w:cs="Arial" w:eastAsia="Arial" w:hAnsi="Arial"/>
          <w:b/>
          <w:bCs/>
          <w:color w:val="FFFFFF"/>
          <w:sz w:val="36"/>
          <w:szCs w:val="36"/>
        </w:rPr>
        <w:t xml:space="preserve">5. SCD Type 2 Implementation</w:t>
      </w:r>
    </w:p>
    <w:p>
      <w:pPr>
        <w:spacing w:before="60" w:after="80"/>
      </w:pPr>
      <w:r>
        <w:rPr>
          <w:rFonts w:ascii="Arial" w:cs="Arial" w:eastAsia="Arial" w:hAnsi="Arial"/>
          <w:b w:val="false"/>
          <w:bCs w:val="false"/>
          <w:i w:val="false"/>
          <w:iCs w:val="false"/>
          <w:color w:val="333333"/>
          <w:sz w:val="22"/>
          <w:szCs w:val="22"/>
        </w:rPr>
        <w:t xml:space="preserve">Fourteen dimension tables implement SCD Type 2 to preserve historical versions of slowly changing data. This is critical for federal audit requirements — auditors must be able to reconstruct the exact state of an award, contractor, or agency at any point in time.</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5.1 Standard SCD2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eff_start_dt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TIMESTAMP 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Effective start — when this version became active. Set to CURRENT_TIMESTAMP() on INSERT.</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eff_end_dt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TIMESTAMP</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Effective end — NULL for current version. Set when a newer version supersedes.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is_current_flag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BOOLEAN 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TRUE for exactly one row per natural key — the current active version. Use WHERE is_current_flag = TRUE for current-state queries.</w:t>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5.2 MERGE Pattern for SCD2 Update</w:t>
      </w:r>
    </w:p>
    <w:p>
      <w:pPr>
        <w:spacing w:before="60" w:after="80"/>
      </w:pPr>
      <w:r>
        <w:rPr>
          <w:rFonts w:ascii="Arial" w:cs="Arial" w:eastAsia="Arial" w:hAnsi="Arial"/>
          <w:b w:val="false"/>
          <w:bCs w:val="false"/>
          <w:i w:val="false"/>
          <w:iCs w:val="false"/>
          <w:color w:val="333333"/>
          <w:sz w:val="22"/>
          <w:szCs w:val="22"/>
        </w:rPr>
        <w:t xml:space="preserve">The delta refresh pipeline applies this pattern for SCD2 dimensions:</w:t>
      </w:r>
    </w:p>
    <w:p>
      <w:pPr>
        <w:shd w:fill="F0F3F9" w:val="clear"/>
        <w:spacing w:before="40" w:after="40"/>
        <w:ind w:left="360"/>
      </w:pPr>
      <w:r>
        <w:rPr>
          <w:rFonts w:ascii="Courier New" w:cs="Courier New" w:eastAsia="Courier New" w:hAnsi="Courier New"/>
          <w:color w:val="1A2744"/>
          <w:sz w:val="20"/>
          <w:szCs w:val="20"/>
        </w:rPr>
        <w:t xml:space="preserve">-- Step 1: Expire changed rows</w:t>
      </w:r>
    </w:p>
    <w:p>
      <w:pPr>
        <w:shd w:fill="F0F3F9" w:val="clear"/>
        <w:spacing w:before="40" w:after="40"/>
        <w:ind w:left="360"/>
      </w:pPr>
      <w:r>
        <w:rPr>
          <w:rFonts w:ascii="Courier New" w:cs="Courier New" w:eastAsia="Courier New" w:hAnsi="Courier New"/>
          <w:color w:val="1A2744"/>
          <w:sz w:val="20"/>
          <w:szCs w:val="20"/>
        </w:rPr>
        <w:t xml:space="preserve">UPDATE gold.dim_award SET eff_end_dt = CURRENT_TIMESTAMP(), is_current_flag = FALSE</w:t>
      </w:r>
    </w:p>
    <w:p>
      <w:pPr>
        <w:shd w:fill="F0F3F9" w:val="clear"/>
        <w:spacing w:before="40" w:after="40"/>
        <w:ind w:left="360"/>
      </w:pPr>
      <w:r>
        <w:rPr>
          <w:rFonts w:ascii="Courier New" w:cs="Courier New" w:eastAsia="Courier New" w:hAnsi="Courier New"/>
          <w:color w:val="1A2744"/>
          <w:sz w:val="20"/>
          <w:szCs w:val="20"/>
        </w:rPr>
        <w:t xml:space="preserve">WHERE award_id IN (&lt;changed_natural_keys&gt;) AND is_current_flag = TRUE;</w:t>
      </w:r>
    </w:p>
    <w:p>
      <w:pPr>
        <w:shd w:fill="F0F3F9" w:val="clear"/>
        <w:spacing w:before="40" w:after="40"/>
        <w:ind w:left="360"/>
      </w:pPr>
      <w:r>
        <w:rPr>
          <w:rFonts w:ascii="Courier New" w:cs="Courier New" w:eastAsia="Courier New" w:hAnsi="Courier New"/>
          <w:color w:val="1A2744"/>
          <w:sz w:val="20"/>
          <w:szCs w:val="20"/>
        </w:rPr>
        <w:t xml:space="preserve"/>
      </w:r>
    </w:p>
    <w:p>
      <w:pPr>
        <w:shd w:fill="F0F3F9" w:val="clear"/>
        <w:spacing w:before="40" w:after="40"/>
        <w:ind w:left="360"/>
      </w:pPr>
      <w:r>
        <w:rPr>
          <w:rFonts w:ascii="Courier New" w:cs="Courier New" w:eastAsia="Courier New" w:hAnsi="Courier New"/>
          <w:color w:val="1A2744"/>
          <w:sz w:val="20"/>
          <w:szCs w:val="20"/>
        </w:rPr>
        <w:t xml:space="preserve">-- Step 2: Insert new version</w:t>
      </w:r>
    </w:p>
    <w:p>
      <w:pPr>
        <w:shd w:fill="F0F3F9" w:val="clear"/>
        <w:spacing w:before="40" w:after="40"/>
        <w:ind w:left="360"/>
      </w:pPr>
      <w:r>
        <w:rPr>
          <w:rFonts w:ascii="Courier New" w:cs="Courier New" w:eastAsia="Courier New" w:hAnsi="Courier New"/>
          <w:color w:val="1A2744"/>
          <w:sz w:val="20"/>
          <w:szCs w:val="20"/>
        </w:rPr>
        <w:t xml:space="preserve">INSERT INTO gold.dim_award (award_id, ..., eff_start_dt, eff_end_dt, is_current_flag)</w:t>
      </w:r>
    </w:p>
    <w:p>
      <w:pPr>
        <w:shd w:fill="F0F3F9" w:val="clear"/>
        <w:spacing w:before="40" w:after="40"/>
        <w:ind w:left="360"/>
      </w:pPr>
      <w:r>
        <w:rPr>
          <w:rFonts w:ascii="Courier New" w:cs="Courier New" w:eastAsia="Courier New" w:hAnsi="Courier New"/>
          <w:color w:val="1A2744"/>
          <w:sz w:val="20"/>
          <w:szCs w:val="20"/>
        </w:rPr>
        <w:t xml:space="preserve">SELECT ..., CURRENT_TIMESTAMP(), NULL, TRUE FROM silver.changed_rows;</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5.3 SCD2 Dimensions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Product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What Changes Are Tracked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dim_agency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Agency name, bureau assignments, AAC descriptions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dim_ia</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IA status, period of performance, cost ceiling changes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dim_award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Mod number, contract type, award status, end date per modification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dim_line_item</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Exercised options, PoP extensions, type changes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dim_loa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LOA status, agreement end date, fund code changes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common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dim_funding</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Fund status, billing type, amendment changes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dim_contractor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UEI, company name, SBA certification status, business type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alt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dim_acquisition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Acquisition status, competition type, IGCE amount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dim_fpds_contractor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UEI, company name, SBA program certifications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wpr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dim_user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Org assignment, region, active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wpr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Client name, contact information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wpr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dim_industry_partner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Company name, contract status, address</w:t>
            </w:r>
          </w:p>
        </w:tc>
      </w:tr>
    </w:tbl>
    <w:p>
      <w:r>
        <w:br w:type="page"/>
      </w:r>
    </w:p>
    <w:p>
      <w:pPr>
        <w:pStyle w:val="Heading1"/>
        <w:shd w:fill="1A2744" w:val="clear"/>
        <w:spacing w:before="360" w:after="200"/>
        <w:ind w:left="200"/>
      </w:pPr>
      <w:r>
        <w:rPr>
          <w:rFonts w:ascii="Arial" w:cs="Arial" w:eastAsia="Arial" w:hAnsi="Arial"/>
          <w:b/>
          <w:bCs/>
          <w:color w:val="FFFFFF"/>
          <w:sz w:val="36"/>
          <w:szCs w:val="36"/>
        </w:rPr>
        <w:t xml:space="preserve">6. Delta Lake Table Properties</w:t>
      </w:r>
    </w:p>
    <w:p>
      <w:pPr>
        <w:spacing w:before="60" w:after="80"/>
      </w:pPr>
      <w:r>
        <w:rPr>
          <w:rFonts w:ascii="Arial" w:cs="Arial" w:eastAsia="Arial" w:hAnsi="Arial"/>
          <w:b w:val="false"/>
          <w:bCs w:val="false"/>
          <w:i w:val="false"/>
          <w:iCs w:val="false"/>
          <w:color w:val="333333"/>
          <w:sz w:val="22"/>
          <w:szCs w:val="22"/>
        </w:rPr>
        <w:t xml:space="preserve">Every Gold table carries a standardised set of TBLPROPERTIES enabling pipeline automation, Unity Catalog governance, and observability: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delta.enableChangeDataFeed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Enables CDF — Gold MERGE reads only changed Silver rows. Eliminates full Silver table scans.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delta.autoOptimize.optimizeWrite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true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Coalesces small files at write time. Reduces file fragmentation on streaming inserts.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delta.autoOptimize.autoCompact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Background compaction of small files. Maintains query performance without manual OPTIMIZE runs.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delta.minReaderVersion</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Minimum Delta protocol reader version for cross-cluster compatibility.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delta.minWriterVersion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Writer version 4 required for CDF support.</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pipeline.layer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gold</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Layer tag — enables Unity Catalog lineage filtering by layer.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pipeline.data_product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DP1–DP11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Data product code — used by pipeline scheduler to identify which job owns this table.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scd.type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1 or 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SCD type indicator — pipeline reads this to apply correct merge strategy.</w:t>
            </w:r>
          </w:p>
        </w:tc>
      </w:tr>
    </w:tbl>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6.1 Liquid Clustering Strategy</w:t>
      </w:r>
    </w:p>
    <w:p>
      <w:pPr>
        <w:spacing w:before="60" w:after="80"/>
      </w:pPr>
      <w:r>
        <w:rPr>
          <w:rFonts w:ascii="Arial" w:cs="Arial" w:eastAsia="Arial" w:hAnsi="Arial"/>
          <w:b w:val="false"/>
          <w:bCs w:val="false"/>
          <w:i w:val="false"/>
          <w:iCs w:val="false"/>
          <w:color w:val="333333"/>
          <w:sz w:val="22"/>
          <w:szCs w:val="22"/>
        </w:rPr>
        <w:t xml:space="preserve">All Gold tables use CLUSTER BY instead of PARTITION BY per Databricks Runtime 14 best practice. Liquid Clustering rewrites files incrementally at write time, avoiding the brittleness of fixed partition schemes. Cluster columns are chosen as:</w:t>
      </w:r>
    </w:p>
    <w:p>
      <w:pPr>
        <w:pStyle w:val="ListParagraph"/>
        <w:numPr>
          <w:ilvl w:val="0"/>
          <w:numId w:val="2"/>
        </w:numPr>
        <w:spacing w:before="40" w:after="60"/>
      </w:pPr>
      <w:r>
        <w:rPr>
          <w:rFonts w:ascii="Arial" w:cs="Arial" w:eastAsia="Arial" w:hAnsi="Arial"/>
          <w:color w:val="333333"/>
          <w:sz w:val="22"/>
          <w:szCs w:val="22"/>
        </w:rPr>
        <w:t xml:space="preserve">Primary key surrogate (e.g. line_item_sk) — for point lookup and join pushdown.</w:t>
      </w:r>
    </w:p>
    <w:p>
      <w:pPr>
        <w:pStyle w:val="ListParagraph"/>
        <w:numPr>
          <w:ilvl w:val="0"/>
          <w:numId w:val="2"/>
        </w:numPr>
        <w:spacing w:before="40" w:after="60"/>
      </w:pPr>
      <w:r>
        <w:rPr>
          <w:rFonts w:ascii="Arial" w:cs="Arial" w:eastAsia="Arial" w:hAnsi="Arial"/>
          <w:color w:val="333333"/>
          <w:sz w:val="22"/>
          <w:szCs w:val="22"/>
        </w:rPr>
        <w:t xml:space="preserve">Watermark column (updated_dt) where available — for efficient delta refresh predicate pushdown.</w:t>
      </w:r>
    </w:p>
    <w:p>
      <w:pPr>
        <w:pStyle w:val="ListParagraph"/>
        <w:numPr>
          <w:ilvl w:val="0"/>
          <w:numId w:val="2"/>
        </w:numPr>
        <w:spacing w:before="40" w:after="60"/>
      </w:pPr>
      <w:r>
        <w:rPr>
          <w:rFonts w:ascii="Arial" w:cs="Arial" w:eastAsia="Arial" w:hAnsi="Arial"/>
          <w:color w:val="333333"/>
          <w:sz w:val="22"/>
          <w:szCs w:val="22"/>
        </w:rPr>
        <w:t xml:space="preserve">Fiscal year (fiscal_year) on large fact tables — for time-range scan pruning in CFO reporting queries.</w:t>
      </w:r>
    </w:p>
    <w:p>
      <w:r>
        <w:br w:type="page"/>
      </w:r>
    </w:p>
    <w:p>
      <w:pPr>
        <w:pStyle w:val="Heading1"/>
        <w:shd w:fill="1A2744" w:val="clear"/>
        <w:spacing w:before="360" w:after="200"/>
        <w:ind w:left="200"/>
      </w:pPr>
      <w:r>
        <w:rPr>
          <w:rFonts w:ascii="Arial" w:cs="Arial" w:eastAsia="Arial" w:hAnsi="Arial"/>
          <w:b/>
          <w:bCs/>
          <w:color w:val="FFFFFF"/>
          <w:sz w:val="36"/>
          <w:szCs w:val="36"/>
        </w:rPr>
        <w:t xml:space="preserve">7. Regulatory Compliance Mapping</w:t>
      </w:r>
    </w:p>
    <w:p>
      <w:pPr>
        <w:spacing w:before="60" w:after="80"/>
      </w:pPr>
      <w:r>
        <w:rPr>
          <w:rFonts w:ascii="Arial" w:cs="Arial" w:eastAsia="Arial" w:hAnsi="Arial"/>
          <w:b w:val="false"/>
          <w:bCs w:val="false"/>
          <w:i w:val="false"/>
          <w:iCs w:val="false"/>
          <w:color w:val="333333"/>
          <w:sz w:val="22"/>
          <w:szCs w:val="22"/>
        </w:rPr>
        <w:t xml:space="preserve">Gold table designs directly address the following federal regulatory requirements. Each fact table and analytical view is annotated with the applicable regulatory authority in its COMMENT clause and TBLPROPERTIES.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Regulation / Authority</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Product(s)</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Gold Objects Supporting Compliance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FASAB SFFAS 5 (Liabilities)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fact_obligation_expenditure — obligated_amt, udo_amt. v_cfo_obligation_summary.</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FASAB SFFAS 7 (Revenue)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fact_accrual_income — net_accrued_amt. v_revenue_vs_expense.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OMB SF-133 / SF-132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v_cfo_obligation_summary — obligated, committed, certified amounts by appropriation.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OMB A-136 (Financial Report)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v_baar_transmission_status — BAAR accepted amounts by period.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OMB A-123 App C (Payments)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fact_payment_reconciliation — is_prompt_payment_compliant, invoice_to_payment_days. v_prompt_payment_sla.</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Prompt Payment Act
31 U.S.C. §3901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v_prompt_payment_sla — compliance_pct, avg_payment_days by agency and quarter.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4.604 (FPDS Reporting)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fact_fpds_transaction — one row per CAR. v_fpds_submission_queue — transmission status.</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DATA Act / FFATA
31 U.S.C. §6101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v_fpds_obligation_by_agency — USASpending.gov obligation roll-up.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1.602-2(d) COR Delegation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fact_role_assignment — has_delegation_flag. v_cor_delegation_compliance — delegation_gap_flag.</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Economy Act
31 U.S.C. §1535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DP9</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fact_ia_amendment — full amendment history. v_ia_annual_review_status — OMB A-123 review cadence.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USG Scorecard UDO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v_udo_aging — udo_aging_bucket by days past PoP. Directly feeds agency UDO reduction scorecard.</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15.404 Price Analysis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DP6, DP7</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v_labor_planned_vs_actual, v_bid_price_distribution — should-cost benchmarking support.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IG Act 5 U.S.C. App.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fact_lifecycle_event + v_event_timeline — complete audit trail for OIG document production.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Federal Records Act
44 U.S.C. §3101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fact_lifecycle_event — is_deleted=true on soft delete. Gold rows never physically removed. Full Silver history retained.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CICA (Competition in
Contracting 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v_competition_analytics — competition_type, sb_response_pct, response rates per solicitation.</w:t>
            </w:r>
          </w:p>
        </w:tc>
      </w:tr>
    </w:tbl>
    <w:p>
      <w:r>
        <w:br w:type="page"/>
      </w:r>
    </w:p>
    <w:p>
      <w:pPr>
        <w:pStyle w:val="Heading1"/>
        <w:shd w:fill="1A2744" w:val="clear"/>
        <w:spacing w:before="360" w:after="200"/>
        <w:ind w:left="200"/>
      </w:pPr>
      <w:r>
        <w:rPr>
          <w:rFonts w:ascii="Arial" w:cs="Arial" w:eastAsia="Arial" w:hAnsi="Arial"/>
          <w:b/>
          <w:bCs/>
          <w:color w:val="FFFFFF"/>
          <w:sz w:val="36"/>
          <w:szCs w:val="36"/>
        </w:rPr>
        <w:t xml:space="preserve">8. Pipeline Architecture</w:t>
      </w:r>
    </w:p>
    <w:p>
      <w:pPr>
        <w:pStyle w:val="Heading2"/>
        <w:pBdr>
          <w:bottom w:val="single" w:color="C9A227" w:sz="6" w:space="1"/>
        </w:pBdr>
        <w:spacing w:before="320" w:after="160"/>
      </w:pPr>
      <w:r>
        <w:rPr>
          <w:rFonts w:ascii="Arial" w:cs="Arial" w:eastAsia="Arial" w:hAnsi="Arial"/>
          <w:b/>
          <w:bCs/>
          <w:color w:val="1A2744"/>
          <w:sz w:val="28"/>
          <w:szCs w:val="28"/>
        </w:rPr>
        <w:t xml:space="preserve">8.1 Set 1 — Full Priming Jobs</w:t>
      </w:r>
    </w:p>
    <w:p>
      <w:pPr>
        <w:spacing w:before="60" w:after="80"/>
      </w:pPr>
      <w:r>
        <w:rPr>
          <w:rFonts w:ascii="Arial" w:cs="Arial" w:eastAsia="Arial" w:hAnsi="Arial"/>
          <w:b w:val="false"/>
          <w:bCs w:val="false"/>
          <w:i w:val="false"/>
          <w:iCs w:val="false"/>
          <w:color w:val="333333"/>
          <w:sz w:val="22"/>
          <w:szCs w:val="22"/>
        </w:rPr>
        <w:t xml:space="preserve">One job per data product (11 total). Each job executes three ordered tasks:</w:t>
      </w:r>
    </w:p>
    <w:p>
      <w:pPr>
        <w:pStyle w:val="ListParagraph"/>
        <w:numPr>
          <w:ilvl w:val="0"/>
          <w:numId w:val="2"/>
        </w:numPr>
        <w:spacing w:before="40" w:after="60"/>
      </w:pPr>
      <w:r>
        <w:rPr>
          <w:rFonts w:ascii="Arial" w:cs="Arial" w:eastAsia="Arial" w:hAnsi="Arial"/>
          <w:color w:val="333333"/>
          <w:sz w:val="22"/>
          <w:szCs w:val="22"/>
        </w:rPr>
        <w:t xml:space="preserve">Task 1 — Bronze Ingest: Full JDBC extract from Postgres, write to bronze_&lt;schema&gt;_&lt;table&gt; with schema enforcement. Parallelised by table with configurable batch size.</w:t>
      </w:r>
    </w:p>
    <w:p>
      <w:pPr>
        <w:pStyle w:val="ListParagraph"/>
        <w:numPr>
          <w:ilvl w:val="0"/>
          <w:numId w:val="2"/>
        </w:numPr>
        <w:spacing w:before="40" w:after="60"/>
      </w:pPr>
      <w:r>
        <w:rPr>
          <w:rFonts w:ascii="Arial" w:cs="Arial" w:eastAsia="Arial" w:hAnsi="Arial"/>
          <w:color w:val="333333"/>
          <w:sz w:val="22"/>
          <w:szCs w:val="22"/>
        </w:rPr>
        <w:t xml:space="preserve">Task 2 — Silver Transform: Type casting, null handling, deduplication, audit column population. Reads Bronze via CDF. Writes to assist_finance.silver_&lt;schema&gt;_&lt;table&gt; using MERGE on PK.</w:t>
      </w:r>
    </w:p>
    <w:p>
      <w:pPr>
        <w:pStyle w:val="ListParagraph"/>
        <w:numPr>
          <w:ilvl w:val="0"/>
          <w:numId w:val="2"/>
        </w:numPr>
        <w:spacing w:before="40" w:after="60"/>
      </w:pPr>
      <w:r>
        <w:rPr>
          <w:rFonts w:ascii="Arial" w:cs="Arial" w:eastAsia="Arial" w:hAnsi="Arial"/>
          <w:color w:val="333333"/>
          <w:sz w:val="22"/>
          <w:szCs w:val="22"/>
        </w:rPr>
        <w:t xml:space="preserve">Task 3 — Gold Build: Applies star schema transformations, surrogate key lookups, SCD2 logic, and business rule calculations. Writes to product-specific Gold schema.</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8.2 Set 2 — Delta Refresh Jobs</w:t>
      </w:r>
    </w:p>
    <w:p>
      <w:pPr>
        <w:spacing w:before="60" w:after="80"/>
      </w:pPr>
      <w:r>
        <w:rPr>
          <w:rFonts w:ascii="Arial" w:cs="Arial" w:eastAsia="Arial" w:hAnsi="Arial"/>
          <w:b w:val="false"/>
          <w:bCs w:val="false"/>
          <w:i w:val="false"/>
          <w:iCs w:val="false"/>
          <w:color w:val="333333"/>
          <w:sz w:val="22"/>
          <w:szCs w:val="22"/>
        </w:rPr>
        <w:t xml:space="preserve">Scheduled incremental jobs reading the watermark from common.pipeline_audit:</w:t>
      </w:r>
    </w:p>
    <w:p>
      <w:pPr>
        <w:pStyle w:val="ListParagraph"/>
        <w:numPr>
          <w:ilvl w:val="0"/>
          <w:numId w:val="2"/>
        </w:numPr>
        <w:spacing w:before="40" w:after="60"/>
      </w:pPr>
      <w:r>
        <w:rPr>
          <w:rFonts w:ascii="Arial" w:cs="Arial" w:eastAsia="Arial" w:hAnsi="Arial"/>
          <w:color w:val="333333"/>
          <w:sz w:val="22"/>
          <w:szCs w:val="22"/>
        </w:rPr>
        <w:t xml:space="preserve">Reads last successful watermark_to timestamp for the target table from pipeline_audit.</w:t>
      </w:r>
    </w:p>
    <w:p>
      <w:pPr>
        <w:pStyle w:val="ListParagraph"/>
        <w:numPr>
          <w:ilvl w:val="0"/>
          <w:numId w:val="2"/>
        </w:numPr>
        <w:spacing w:before="40" w:after="60"/>
      </w:pPr>
      <w:r>
        <w:rPr>
          <w:rFonts w:ascii="Arial" w:cs="Arial" w:eastAsia="Arial" w:hAnsi="Arial"/>
          <w:color w:val="333333"/>
          <w:sz w:val="22"/>
          <w:szCs w:val="22"/>
        </w:rPr>
        <w:t xml:space="preserve">Extracts only rows WHERE updated_dt &gt;= watermark_from AND updated_dt &lt; CURRENT_TIMESTAMP() from Postgres.</w:t>
      </w:r>
    </w:p>
    <w:p>
      <w:pPr>
        <w:pStyle w:val="ListParagraph"/>
        <w:numPr>
          <w:ilvl w:val="0"/>
          <w:numId w:val="2"/>
        </w:numPr>
        <w:spacing w:before="40" w:after="60"/>
      </w:pPr>
      <w:r>
        <w:rPr>
          <w:rFonts w:ascii="Arial" w:cs="Arial" w:eastAsia="Arial" w:hAnsi="Arial"/>
          <w:color w:val="333333"/>
          <w:sz w:val="22"/>
          <w:szCs w:val="22"/>
        </w:rPr>
        <w:t xml:space="preserve">Applies MERGE INTO Silver using PK as match key. Updates audit columns, sets is_deleted for missing rows.</w:t>
      </w:r>
    </w:p>
    <w:p>
      <w:pPr>
        <w:pStyle w:val="ListParagraph"/>
        <w:numPr>
          <w:ilvl w:val="0"/>
          <w:numId w:val="2"/>
        </w:numPr>
        <w:spacing w:before="40" w:after="60"/>
      </w:pPr>
      <w:r>
        <w:rPr>
          <w:rFonts w:ascii="Arial" w:cs="Arial" w:eastAsia="Arial" w:hAnsi="Arial"/>
          <w:color w:val="333333"/>
          <w:sz w:val="22"/>
          <w:szCs w:val="22"/>
        </w:rPr>
        <w:t xml:space="preserve">Propagates Silver CDF changes to Gold via MERGE or SCD2 update pattern.</w:t>
      </w:r>
    </w:p>
    <w:p>
      <w:pPr>
        <w:pStyle w:val="ListParagraph"/>
        <w:numPr>
          <w:ilvl w:val="0"/>
          <w:numId w:val="2"/>
        </w:numPr>
        <w:spacing w:before="40" w:after="60"/>
      </w:pPr>
      <w:r>
        <w:rPr>
          <w:rFonts w:ascii="Arial" w:cs="Arial" w:eastAsia="Arial" w:hAnsi="Arial"/>
          <w:color w:val="333333"/>
          <w:sz w:val="22"/>
          <w:szCs w:val="22"/>
        </w:rPr>
        <w:t xml:space="preserve">Writes new pipeline_audit row with watermark_to = CURRENT_TIMESTAMP() on success, run_status = FAILED on error.</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8.3 Watermark Column Coverage</w:t>
      </w:r>
    </w:p>
    <w:p>
      <w:pPr>
        <w:spacing w:before="60" w:after="80"/>
      </w:pPr>
      <w:r>
        <w:rPr>
          <w:rFonts w:ascii="Arial" w:cs="Arial" w:eastAsia="Arial" w:hAnsi="Arial"/>
          <w:b w:val="false"/>
          <w:bCs w:val="false"/>
          <w:i w:val="false"/>
          <w:iCs w:val="false"/>
          <w:color w:val="333333"/>
          <w:sz w:val="22"/>
          <w:szCs w:val="22"/>
        </w:rPr>
        <w:t xml:space="preserve">All 211 source tables carry updated_dt and created_dt columns, confirmed from DDL analysis. The delta refresh watermark is: WHERE updated_dt &gt;= :last_watermark. Tables without meaningful updates (lu_* reference tables) use weekly scheduled full refresh.</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8.4 Secret Management</w:t>
      </w:r>
    </w:p>
    <w:p>
      <w:pPr>
        <w:spacing w:before="60" w:after="80"/>
      </w:pPr>
      <w:r>
        <w:rPr>
          <w:rFonts w:ascii="Arial" w:cs="Arial" w:eastAsia="Arial" w:hAnsi="Arial"/>
          <w:b w:val="false"/>
          <w:bCs w:val="false"/>
          <w:i w:val="false"/>
          <w:iCs w:val="false"/>
          <w:color w:val="333333"/>
          <w:sz w:val="22"/>
          <w:szCs w:val="22"/>
        </w:rPr>
        <w:t xml:space="preserve">Postgres connection credentials are stored in a Databricks Secret Scope (assist-ocfo-secrets) and accessed at runtime via dbutils.secrets.get(scope, key). Connection string construction:</w:t>
      </w:r>
    </w:p>
    <w:p>
      <w:pPr>
        <w:shd w:fill="F0F3F9" w:val="clear"/>
        <w:spacing w:before="40" w:after="40"/>
        <w:ind w:left="360"/>
      </w:pPr>
      <w:r>
        <w:rPr>
          <w:rFonts w:ascii="Courier New" w:cs="Courier New" w:eastAsia="Courier New" w:hAnsi="Courier New"/>
          <w:color w:val="1A2744"/>
          <w:sz w:val="20"/>
          <w:szCs w:val="20"/>
        </w:rPr>
        <w:t xml:space="preserve">jdbc:postgresql://${dbutils.secrets.get("assist-ocfo-secrets","postgres_host")}</w:t>
      </w:r>
    </w:p>
    <w:p>
      <w:pPr>
        <w:shd w:fill="F0F3F9" w:val="clear"/>
        <w:spacing w:before="40" w:after="40"/>
        <w:ind w:left="360"/>
      </w:pPr>
      <w:r>
        <w:rPr>
          <w:rFonts w:ascii="Courier New" w:cs="Courier New" w:eastAsia="Courier New" w:hAnsi="Courier New"/>
          <w:color w:val="1A2744"/>
          <w:sz w:val="20"/>
          <w:szCs w:val="20"/>
        </w:rPr>
        <w:t xml:space="preserve">    :${dbutils.secrets.get("assist-ocfo-secrets","postgres_port")}</w:t>
      </w:r>
    </w:p>
    <w:p>
      <w:pPr>
        <w:shd w:fill="F0F3F9" w:val="clear"/>
        <w:spacing w:before="40" w:after="40"/>
        <w:ind w:left="360"/>
      </w:pPr>
      <w:r>
        <w:rPr>
          <w:rFonts w:ascii="Courier New" w:cs="Courier New" w:eastAsia="Courier New" w:hAnsi="Courier New"/>
          <w:color w:val="1A2744"/>
          <w:sz w:val="20"/>
          <w:szCs w:val="20"/>
        </w:rPr>
        <w:t xml:space="preserve">    /${dbutils.secrets.get("assist-ocfo-secrets","postgres_db")}</w:t>
      </w:r>
    </w:p>
    <w:p>
      <w:r>
        <w:br w:type="page"/>
      </w:r>
    </w:p>
    <w:p>
      <w:pPr>
        <w:pStyle w:val="Heading1"/>
        <w:shd w:fill="1A2744" w:val="clear"/>
        <w:spacing w:before="360" w:after="200"/>
        <w:ind w:left="200"/>
      </w:pPr>
      <w:r>
        <w:rPr>
          <w:rFonts w:ascii="Arial" w:cs="Arial" w:eastAsia="Arial" w:hAnsi="Arial"/>
          <w:b/>
          <w:bCs/>
          <w:color w:val="FFFFFF"/>
          <w:sz w:val="36"/>
          <w:szCs w:val="36"/>
        </w:rPr>
        <w:t xml:space="preserve">9. Consumer Query Patterns</w:t>
      </w:r>
    </w:p>
    <w:p>
      <w:pPr>
        <w:pStyle w:val="Heading2"/>
        <w:pBdr>
          <w:bottom w:val="single" w:color="C9A227" w:sz="6" w:space="1"/>
        </w:pBdr>
        <w:spacing w:before="320" w:after="160"/>
      </w:pPr>
      <w:r>
        <w:rPr>
          <w:rFonts w:ascii="Arial" w:cs="Arial" w:eastAsia="Arial" w:hAnsi="Arial"/>
          <w:b/>
          <w:bCs/>
          <w:color w:val="1A2744"/>
          <w:sz w:val="28"/>
          <w:szCs w:val="28"/>
        </w:rPr>
        <w:t xml:space="preserve">9.1 Current-State Queries (SCD2 dimensions)</w:t>
      </w:r>
    </w:p>
    <w:p>
      <w:pPr>
        <w:spacing w:before="60" w:after="80"/>
      </w:pPr>
      <w:r>
        <w:rPr>
          <w:rFonts w:ascii="Arial" w:cs="Arial" w:eastAsia="Arial" w:hAnsi="Arial"/>
          <w:b w:val="false"/>
          <w:bCs w:val="false"/>
          <w:i w:val="false"/>
          <w:iCs w:val="false"/>
          <w:color w:val="333333"/>
          <w:sz w:val="22"/>
          <w:szCs w:val="22"/>
        </w:rPr>
        <w:t xml:space="preserve">Always add is_current_flag = TRUE on SCD2 dimension joins for current-state reports:</w:t>
      </w:r>
    </w:p>
    <w:p>
      <w:pPr>
        <w:shd w:fill="F0F3F9" w:val="clear"/>
        <w:spacing w:before="40" w:after="40"/>
        <w:ind w:left="360"/>
      </w:pPr>
      <w:r>
        <w:rPr>
          <w:rFonts w:ascii="Courier New" w:cs="Courier New" w:eastAsia="Courier New" w:hAnsi="Courier New"/>
          <w:color w:val="1A2744"/>
          <w:sz w:val="20"/>
          <w:szCs w:val="20"/>
        </w:rPr>
        <w:t xml:space="preserve">SELECT fa.award_piid, li.clin_num, SUM(f.obligated_amt)</w:t>
      </w:r>
    </w:p>
    <w:p>
      <w:pPr>
        <w:shd w:fill="F0F3F9" w:val="clear"/>
        <w:spacing w:before="40" w:after="40"/>
        <w:ind w:left="360"/>
      </w:pPr>
      <w:r>
        <w:rPr>
          <w:rFonts w:ascii="Courier New" w:cs="Courier New" w:eastAsia="Courier New" w:hAnsi="Courier New"/>
          <w:color w:val="1A2744"/>
          <w:sz w:val="20"/>
          <w:szCs w:val="20"/>
        </w:rPr>
        <w:t xml:space="preserve">FROM assist_catalog.oet.fact_obligation_expenditure f</w:t>
      </w:r>
    </w:p>
    <w:p>
      <w:pPr>
        <w:shd w:fill="F0F3F9" w:val="clear"/>
        <w:spacing w:before="40" w:after="40"/>
        <w:ind w:left="360"/>
      </w:pPr>
      <w:r>
        <w:rPr>
          <w:rFonts w:ascii="Courier New" w:cs="Courier New" w:eastAsia="Courier New" w:hAnsi="Courier New"/>
          <w:color w:val="1A2744"/>
          <w:sz w:val="20"/>
          <w:szCs w:val="20"/>
        </w:rPr>
        <w:t xml:space="preserve">JOIN assist_catalog.common.dim_award     aw ON f.award_sk     = aw.award_sk     AND aw.is_current_flag</w:t>
      </w:r>
    </w:p>
    <w:p>
      <w:pPr>
        <w:shd w:fill="F0F3F9" w:val="clear"/>
        <w:spacing w:before="40" w:after="40"/>
        <w:ind w:left="360"/>
      </w:pPr>
      <w:r>
        <w:rPr>
          <w:rFonts w:ascii="Courier New" w:cs="Courier New" w:eastAsia="Courier New" w:hAnsi="Courier New"/>
          <w:color w:val="1A2744"/>
          <w:sz w:val="20"/>
          <w:szCs w:val="20"/>
        </w:rPr>
        <w:t xml:space="preserve">JOIN assist_catalog.common.dim_line_item li ON f.line_item_sk = li.line_item_sk AND li.is_current_flag</w:t>
      </w:r>
    </w:p>
    <w:p>
      <w:pPr>
        <w:shd w:fill="F0F3F9" w:val="clear"/>
        <w:spacing w:before="40" w:after="40"/>
        <w:ind w:left="360"/>
      </w:pPr>
      <w:r>
        <w:rPr>
          <w:rFonts w:ascii="Courier New" w:cs="Courier New" w:eastAsia="Courier New" w:hAnsi="Courier New"/>
          <w:color w:val="1A2744"/>
          <w:sz w:val="20"/>
          <w:szCs w:val="20"/>
        </w:rPr>
        <w:t xml:space="preserve">GROUP BY ALL;</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9.2 Point-in-Time Queries (historical)</w:t>
      </w:r>
    </w:p>
    <w:p>
      <w:pPr>
        <w:spacing w:before="60" w:after="80"/>
      </w:pPr>
      <w:r>
        <w:rPr>
          <w:rFonts w:ascii="Arial" w:cs="Arial" w:eastAsia="Arial" w:hAnsi="Arial"/>
          <w:b w:val="false"/>
          <w:bCs w:val="false"/>
          <w:i w:val="false"/>
          <w:iCs w:val="false"/>
          <w:color w:val="333333"/>
          <w:sz w:val="22"/>
          <w:szCs w:val="22"/>
        </w:rPr>
        <w:t xml:space="preserve">Use eff_start_dt / eff_end_dt to reconstruct historical state at a given date:</w:t>
      </w:r>
    </w:p>
    <w:p>
      <w:pPr>
        <w:shd w:fill="F0F3F9" w:val="clear"/>
        <w:spacing w:before="40" w:after="40"/>
        <w:ind w:left="360"/>
      </w:pPr>
      <w:r>
        <w:rPr>
          <w:rFonts w:ascii="Courier New" w:cs="Courier New" w:eastAsia="Courier New" w:hAnsi="Courier New"/>
          <w:color w:val="1A2744"/>
          <w:sz w:val="20"/>
          <w:szCs w:val="20"/>
        </w:rPr>
        <w:t xml:space="preserve">-- State of dim_award as of 2024-09-30 (FY2024 year-end)</w:t>
      </w:r>
    </w:p>
    <w:p>
      <w:pPr>
        <w:shd w:fill="F0F3F9" w:val="clear"/>
        <w:spacing w:before="40" w:after="40"/>
        <w:ind w:left="360"/>
      </w:pPr>
      <w:r>
        <w:rPr>
          <w:rFonts w:ascii="Courier New" w:cs="Courier New" w:eastAsia="Courier New" w:hAnsi="Courier New"/>
          <w:color w:val="1A2744"/>
          <w:sz w:val="20"/>
          <w:szCs w:val="20"/>
        </w:rPr>
        <w:t xml:space="preserve">JOIN assist_catalog.common.dim_award aw</w:t>
      </w:r>
    </w:p>
    <w:p>
      <w:pPr>
        <w:shd w:fill="F0F3F9" w:val="clear"/>
        <w:spacing w:before="40" w:after="40"/>
        <w:ind w:left="360"/>
      </w:pPr>
      <w:r>
        <w:rPr>
          <w:rFonts w:ascii="Courier New" w:cs="Courier New" w:eastAsia="Courier New" w:hAnsi="Courier New"/>
          <w:color w:val="1A2744"/>
          <w:sz w:val="20"/>
          <w:szCs w:val="20"/>
        </w:rPr>
        <w:t xml:space="preserve">  ON f.award_sk = aw.award_sk</w:t>
      </w:r>
    </w:p>
    <w:p>
      <w:pPr>
        <w:shd w:fill="F0F3F9" w:val="clear"/>
        <w:spacing w:before="40" w:after="40"/>
        <w:ind w:left="360"/>
      </w:pPr>
      <w:r>
        <w:rPr>
          <w:rFonts w:ascii="Courier New" w:cs="Courier New" w:eastAsia="Courier New" w:hAnsi="Courier New"/>
          <w:color w:val="1A2744"/>
          <w:sz w:val="20"/>
          <w:szCs w:val="20"/>
        </w:rPr>
        <w:t xml:space="preserve">  AND '2024-09-30' BETWEEN CAST(aw.eff_start_dt AS DATE)</w:t>
      </w:r>
    </w:p>
    <w:p>
      <w:pPr>
        <w:shd w:fill="F0F3F9" w:val="clear"/>
        <w:spacing w:before="40" w:after="40"/>
        <w:ind w:left="360"/>
      </w:pPr>
      <w:r>
        <w:rPr>
          <w:rFonts w:ascii="Courier New" w:cs="Courier New" w:eastAsia="Courier New" w:hAnsi="Courier New"/>
          <w:color w:val="1A2744"/>
          <w:sz w:val="20"/>
          <w:szCs w:val="20"/>
        </w:rPr>
        <w:t xml:space="preserve">  AND COALESCE(CAST(aw.eff_end_dt AS DATE), '9999-12-31')</w:t>
      </w:r>
    </w:p>
    <w:p>
      <w:pPr>
        <w:spacing w:before="80" w:after="80"/>
      </w:pPr>
      <w:r>
        <w:t xml:space="preserve"/>
      </w:r>
    </w:p>
    <w:p>
      <w:pPr>
        <w:pStyle w:val="Heading2"/>
        <w:pBdr>
          <w:bottom w:val="single" w:color="C9A227" w:sz="6" w:space="1"/>
        </w:pBdr>
        <w:spacing w:before="320" w:after="160"/>
      </w:pPr>
      <w:r>
        <w:rPr>
          <w:rFonts w:ascii="Arial" w:cs="Arial" w:eastAsia="Arial" w:hAnsi="Arial"/>
          <w:b/>
          <w:bCs/>
          <w:color w:val="1A2744"/>
          <w:sz w:val="28"/>
          <w:szCs w:val="28"/>
        </w:rPr>
        <w:t xml:space="preserve">9.3 Recommended Views for Common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View</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Product</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Use Case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oet.v_cfo_obligation_summary</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CFO P&amp;L, OMB SF-133, agency financial statements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oet.v_udo_aging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USG Scorecard UDO reduction metric</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alt.v_acquisition_cycle_time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Section 809 pre-award cycle time reporting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alt.v_closeout_status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 closeout dashboard, FAR 4.804 compliance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fre.v_fpds_submission_queue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FPDS-NG operations daily triage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air.v_revenue_vs_expense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CFO revolving fund P&amp;L matching</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air.v_baar_transmission_status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BAAR transmission operations dashboard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tpp.v_prompt_payment_sla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OMB A-123 Prompt Payment Act compliance</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tpp.v_transmit_error_log</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Treasury transmission error triage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psc.v_billing_schedule_health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Billing schedule monitoring</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smi.v_competition_analytics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DP7</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CICA competition reporting, FAR Part 19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smi.v_bid_price_distribution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Should-cost benchmarking (FAR 15.404)</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wpr.v_cor_delegation_compliance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DP8</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OFPP COR program annual reporting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wpr.v_workload_by_region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Regional workforce planning</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iat.v_ia_annual_review_status</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DP9</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OMB A-123 IA governance compliance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cat.v_event_timeline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OIG audit trail document production</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cat.v_pre_award_review_compliance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DP10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FAR 1.602-1 review process compliance</w:t>
            </w:r>
          </w:p>
        </w:tc>
      </w:tr>
    </w:tbl>
    <w:p>
      <w:r>
        <w:br w:type="page"/>
      </w:r>
    </w:p>
    <w:p>
      <w:pPr>
        <w:pStyle w:val="Heading1"/>
        <w:shd w:fill="1A2744" w:val="clear"/>
        <w:spacing w:before="360" w:after="200"/>
        <w:ind w:left="200"/>
      </w:pPr>
      <w:r>
        <w:rPr>
          <w:rFonts w:ascii="Arial" w:cs="Arial" w:eastAsia="Arial" w:hAnsi="Arial"/>
          <w:b/>
          <w:bCs/>
          <w:color w:val="FFFFFF"/>
          <w:sz w:val="36"/>
          <w:szCs w:val="36"/>
        </w:rPr>
        <w:t xml:space="preserve">10. Appendix — Source-to-Gold Table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1200"/>
        <w:gridCol w:w="1200"/>
        <w:gridCol w:w="900"/>
        <w:gridCol w:w="1660"/>
      </w:tblGrid>
      <w:tr>
        <w:trPr>
          <w:tblHeader/>
        </w:trPr>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Code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Schema</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Source Tbls</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Gold Tbls</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Views</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oet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Obligation &amp; Expenditure Tracker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7</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Award Lifecycle Tracker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fre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FPDS Reporting Extract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Accrual Income &amp; GSA Revenue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DP5</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tpp</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Treasury Transmission Pipeline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23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6</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B03030"/>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psc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CLIN Pricing &amp; Service Charge Catalog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DP7</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smi</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Solicitation &amp; Market Intelligence</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wpr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Workforce &amp; Personnel Registry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DP9</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iat</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IA Lifecycle &amp; Amendment Tracker</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cat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Collaboration, Review &amp; Audit Trail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MEDIUM</w:t>
            </w:r>
          </w:p>
        </w:tc>
      </w:tr>
      <w:tr>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333333"/>
                <w:sz w:val="20"/>
                <w:szCs w:val="20"/>
              </w:rPr>
              <w:t xml:space="preserve">DP11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333333"/>
                <w:sz w:val="20"/>
                <w:szCs w:val="20"/>
              </w:rPr>
              <w:t xml:space="preserve">ref</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333333"/>
                <w:sz w:val="20"/>
                <w:szCs w:val="20"/>
              </w:rPr>
              <w:t xml:space="preserve">Conformed Reference Data Catalog</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61</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83</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33333"/>
                <w:sz w:val="20"/>
                <w:szCs w:val="20"/>
              </w:rPr>
              <w:t xml:space="preserve">0</w:t>
            </w:r>
          </w:p>
        </w:tc>
        <w:tc>
          <w:tcPr>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vAlign w:val="center"/>
          </w:tcPr>
          <w:p>
            <w:pPr>
              <w:spacing w:before="0" w:after="0"/>
              <w:jc w:val="left"/>
            </w:pPr>
            <w:r>
              <w:rPr>
                <w:rFonts w:ascii="Arial" w:cs="Arial" w:eastAsia="Arial" w:hAnsi="Arial"/>
                <w:b/>
                <w:bCs/>
                <w:color w:val="5E3C8F"/>
                <w:sz w:val="20"/>
                <w:szCs w:val="20"/>
              </w:rPr>
              <w:t xml:space="preserve">FOUNDATION</w:t>
            </w:r>
          </w:p>
        </w:tc>
      </w:tr>
      <w:tr>
        <w:tc>
          <w:tcPr>
            <w:gridSpan w:val="3"/>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TOTAL</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FFFFFF"/>
                <w:sz w:val="20"/>
                <w:szCs w:val="20"/>
              </w:rPr>
              <w:t xml:space="preserve"/>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FFFFFF"/>
                <w:sz w:val="20"/>
                <w:szCs w:val="20"/>
              </w:rPr>
              <w:t xml:space="preserve"/>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211</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162</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26</w:t>
            </w:r>
          </w:p>
        </w:tc>
        <w:tc>
          <w:tcPr>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FFFFFF"/>
                <w:sz w:val="20"/>
                <w:szCs w:val="20"/>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EC" w:sz="4" w:space="1"/>
      </w:pBdr>
    </w:pPr>
    <w:r>
      <w:rPr>
        <w:rFonts w:ascii="Arial" w:cs="Arial" w:eastAsia="Arial" w:hAnsi="Arial"/>
        <w:color w:val="AAAAAA"/>
        <w:sz w:val="16"/>
        <w:szCs w:val="16"/>
      </w:rPr>
      <w:t xml:space="preserve">CONTROLLED — For Internal Use Only | ASSIST OCFO Data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1"/>
      </w:pBdr>
      <w:tabs>
        <w:tab w:val="right" w:pos="9026"/>
      </w:tabs>
      <w:jc w:val="left"/>
    </w:pPr>
    <w:r>
      <w:rPr>
        <w:rFonts w:ascii="Arial" w:cs="Arial" w:eastAsia="Arial" w:hAnsi="Arial"/>
        <w:color w:val="999999"/>
        <w:sz w:val="18"/>
        <w:szCs w:val="18"/>
      </w:rPr>
      <w:t xml:space="preserve">ASSIST OCFO — Gold Layer Data Architecture Design Document</w:t>
    </w:r>
    <w:r>
      <w:rPr>
        <w:rFonts w:ascii="Arial" w:cs="Arial" w:eastAsia="Arial" w:hAnsi="Arial"/>
        <w:color w:val="99999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2744" w:val="clea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274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2026-03-05T22:57:46.526Z</dcterms:created>
  <dcterms:modified xsi:type="dcterms:W3CDTF">2026-03-05T22:57:46.527Z</dcterms:modified>
</cp:coreProperties>
</file>

<file path=docProps/custom.xml><?xml version="1.0" encoding="utf-8"?>
<Properties xmlns="http://schemas.openxmlformats.org/officeDocument/2006/custom-properties" xmlns:vt="http://schemas.openxmlformats.org/officeDocument/2006/docPropsVTypes"/>
</file>