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freezes how much practice is enough, how coverage is measured, and when a topic is considered sufficiently practised</w:t>
      </w:r>
      <w:r>
        <w:t xml:space="preserve"> </w:t>
      </w:r>
      <w:r>
        <w:t xml:space="preserve">— without introducing pressure, fatigue, or exam anxiety.</w:t>
      </w:r>
    </w:p>
    <w:p>
      <w:pPr>
        <w:pStyle w:val="BodyText"/>
      </w:pPr>
      <w:r>
        <w:t xml:space="preserve">This governs</w:t>
      </w:r>
      <w:r>
        <w:t xml:space="preserve"> </w:t>
      </w:r>
      <w:r>
        <w:rPr>
          <w:i/>
          <w:iCs/>
        </w:rPr>
        <w:t xml:space="preserve">volume</w:t>
      </w:r>
      <w:r>
        <w:t xml:space="preserve">, not difficulty.</w:t>
      </w:r>
    </w:p>
    <w:p>
      <w:r>
        <w:pict>
          <v:rect style="width:0;height:1.5pt" o:hralign="center" o:hrstd="t" o:hr="t"/>
        </w:pict>
      </w:r>
    </w:p>
    <w:bookmarkEnd w:id="20"/>
    <w:bookmarkStart w:id="21" w:name="core-philosophy-nonnegotiable"/>
    <w:p>
      <w:pPr>
        <w:pStyle w:val="Heading1"/>
      </w:pPr>
      <w:r>
        <w:t xml:space="preserve">1. Core Philosophy (Non‑Negotiable)</w:t>
      </w:r>
    </w:p>
    <w:p>
      <w:pPr>
        <w:pStyle w:val="BlockText"/>
      </w:pPr>
      <w:r>
        <w:rPr>
          <w:b/>
          <w:bCs/>
        </w:rPr>
        <w:t xml:space="preserve">Practice should feel reassuring, not exhaustive.</w:t>
      </w:r>
    </w:p>
    <w:p>
      <w:pPr>
        <w:pStyle w:val="FirstParagraph"/>
      </w:pPr>
      <w:r>
        <w:t xml:space="preserve">More questions ≠ better learning.</w:t>
      </w:r>
    </w:p>
    <w:p>
      <w:pPr>
        <w:pStyle w:val="BodyText"/>
      </w:pPr>
      <w:r>
        <w:t xml:space="preserve">Coverage is defined by</w:t>
      </w:r>
      <w:r>
        <w:t xml:space="preserve"> </w:t>
      </w:r>
      <w:r>
        <w:rPr>
          <w:b/>
          <w:bCs/>
        </w:rPr>
        <w:t xml:space="preserve">conceptual exposure + correct recall over time</w:t>
      </w:r>
      <w:r>
        <w:t xml:space="preserve">, not by completion or scores.</w:t>
      </w:r>
    </w:p>
    <w:p>
      <w:r>
        <w:pict>
          <v:rect style="width:0;height:1.5pt" o:hralign="center" o:hrstd="t" o:hr="t"/>
        </w:pict>
      </w:r>
    </w:p>
    <w:bookmarkEnd w:id="21"/>
    <w:bookmarkStart w:id="22" w:name="atomic-unit-of-coverage"/>
    <w:p>
      <w:pPr>
        <w:pStyle w:val="Heading1"/>
      </w:pPr>
      <w:r>
        <w:t xml:space="preserve">2. Atomic Unit of Coverage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Topic</w:t>
      </w:r>
      <w:r>
        <w:t xml:space="preserve"> </w:t>
      </w:r>
      <w:r>
        <w:t xml:space="preserve">(as defined in CAM) is the smallest unit of coverage.</w:t>
      </w:r>
    </w:p>
    <w:p>
      <w:pPr>
        <w:pStyle w:val="Compact"/>
        <w:numPr>
          <w:ilvl w:val="0"/>
          <w:numId w:val="1001"/>
        </w:numPr>
      </w:pPr>
      <w:r>
        <w:t xml:space="preserve">Chapters are containers</w:t>
      </w:r>
    </w:p>
    <w:p>
      <w:pPr>
        <w:pStyle w:val="Compact"/>
        <w:numPr>
          <w:ilvl w:val="0"/>
          <w:numId w:val="1001"/>
        </w:numPr>
      </w:pPr>
      <w:r>
        <w:t xml:space="preserve">Quizzes are temporary</w:t>
      </w:r>
    </w:p>
    <w:p>
      <w:pPr>
        <w:pStyle w:val="Compact"/>
        <w:numPr>
          <w:ilvl w:val="0"/>
          <w:numId w:val="1001"/>
        </w:numPr>
      </w:pPr>
      <w:r>
        <w:t xml:space="preserve">Topics are permanent</w:t>
      </w:r>
    </w:p>
    <w:p>
      <w:pPr>
        <w:pStyle w:val="FirstParagraph"/>
      </w:pPr>
      <w:r>
        <w:t xml:space="preserve">All density rules operate at the</w:t>
      </w:r>
      <w:r>
        <w:t xml:space="preserve"> </w:t>
      </w:r>
      <w:r>
        <w:rPr>
          <w:b/>
          <w:bCs/>
        </w:rPr>
        <w:t xml:space="preserve">Topic level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question-density-rules-frozen"/>
    <w:p>
      <w:pPr>
        <w:pStyle w:val="Heading1"/>
      </w:pPr>
      <w:r>
        <w:t xml:space="preserve">3. Question Density Rules (Frozen)</w:t>
      </w:r>
    </w:p>
    <w:bookmarkStart w:id="23" w:name="minimum-question-bank-per-topic"/>
    <w:p>
      <w:pPr>
        <w:pStyle w:val="Heading2"/>
      </w:pPr>
      <w:r>
        <w:t xml:space="preserve">3.1 Minimum Question Bank per Topic</w:t>
      </w:r>
    </w:p>
    <w:p>
      <w:pPr>
        <w:pStyle w:val="FirstParagraph"/>
      </w:pPr>
      <w:r>
        <w:t xml:space="preserve">For each Topic: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total questions:</w:t>
      </w:r>
      <w:r>
        <w:t xml:space="preserve"> </w:t>
      </w:r>
      <w:r>
        <w:t xml:space="preserve">12–15</w:t>
      </w:r>
    </w:p>
    <w:p>
      <w:pPr>
        <w:pStyle w:val="Compact"/>
        <w:numPr>
          <w:ilvl w:val="0"/>
          <w:numId w:val="1002"/>
        </w:numPr>
      </w:pPr>
      <w:r>
        <w:t xml:space="preserve">Distribution:</w:t>
      </w:r>
    </w:p>
    <w:p>
      <w:pPr>
        <w:pStyle w:val="Compact"/>
        <w:numPr>
          <w:ilvl w:val="1"/>
          <w:numId w:val="1003"/>
        </w:numPr>
      </w:pPr>
      <w:r>
        <w:t xml:space="preserve">6–8 Familiarity</w:t>
      </w:r>
    </w:p>
    <w:p>
      <w:pPr>
        <w:pStyle w:val="Compact"/>
        <w:numPr>
          <w:ilvl w:val="1"/>
          <w:numId w:val="1003"/>
        </w:numPr>
      </w:pPr>
      <w:r>
        <w:t xml:space="preserve">4–5 Application</w:t>
      </w:r>
    </w:p>
    <w:p>
      <w:pPr>
        <w:pStyle w:val="Compact"/>
        <w:numPr>
          <w:ilvl w:val="1"/>
          <w:numId w:val="1003"/>
        </w:numPr>
      </w:pPr>
      <w:r>
        <w:t xml:space="preserve">1–2 Stretch (optional, higher classes only)</w:t>
      </w:r>
    </w:p>
    <w:p>
      <w:pPr>
        <w:pStyle w:val="FirstParagraph"/>
      </w:pPr>
      <w:r>
        <w:t xml:space="preserve">This ensures:</w:t>
      </w:r>
      <w:r>
        <w:t xml:space="preserve"> </w:t>
      </w:r>
      <w:r>
        <w:t xml:space="preserve">- Adequate variation</w:t>
      </w:r>
      <w:r>
        <w:t xml:space="preserve"> </w:t>
      </w:r>
      <w:r>
        <w:t xml:space="preserve">- No memorisation by repetition</w:t>
      </w:r>
      <w:r>
        <w:t xml:space="preserve"> </w:t>
      </w:r>
      <w:r>
        <w:t xml:space="preserve">- Enough depth without overload</w:t>
      </w:r>
    </w:p>
    <w:p>
      <w:r>
        <w:pict>
          <v:rect style="width:0;height:1.5pt" o:hralign="center" o:hrstd="t" o:hr="t"/>
        </w:pict>
      </w:r>
    </w:p>
    <w:bookmarkEnd w:id="23"/>
    <w:bookmarkStart w:id="24" w:name="perquiz-exposure-limits"/>
    <w:p>
      <w:pPr>
        <w:pStyle w:val="Heading2"/>
      </w:pPr>
      <w:r>
        <w:t xml:space="preserve">3.2 Per‑Quiz Exposure Limits</w:t>
      </w:r>
    </w:p>
    <w:p>
      <w:pPr>
        <w:pStyle w:val="FirstParagraph"/>
      </w:pPr>
      <w:r>
        <w:t xml:space="preserve">In any single quiz session:</w:t>
      </w:r>
    </w:p>
    <w:p>
      <w:pPr>
        <w:pStyle w:val="Compact"/>
        <w:numPr>
          <w:ilvl w:val="0"/>
          <w:numId w:val="1004"/>
        </w:numPr>
      </w:pPr>
      <w:r>
        <w:t xml:space="preserve">A Topic may appear</w:t>
      </w:r>
      <w:r>
        <w:t xml:space="preserve"> </w:t>
      </w:r>
      <w:r>
        <w:rPr>
          <w:b/>
          <w:bCs/>
        </w:rPr>
        <w:t xml:space="preserve">max 2 times</w:t>
      </w:r>
    </w:p>
    <w:p>
      <w:pPr>
        <w:pStyle w:val="Compact"/>
        <w:numPr>
          <w:ilvl w:val="0"/>
          <w:numId w:val="1004"/>
        </w:numPr>
      </w:pPr>
      <w:r>
        <w:t xml:space="preserve">The same Question may appear</w:t>
      </w:r>
      <w:r>
        <w:t xml:space="preserve"> </w:t>
      </w:r>
      <w:r>
        <w:rPr>
          <w:b/>
          <w:bCs/>
        </w:rPr>
        <w:t xml:space="preserve">only once per session</w:t>
      </w:r>
    </w:p>
    <w:p>
      <w:pPr>
        <w:pStyle w:val="FirstParagraph"/>
      </w:pPr>
      <w:r>
        <w:t xml:space="preserve">This prevents fatigue and pattern recognition.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at-covered-means-very-important"/>
    <w:p>
      <w:pPr>
        <w:pStyle w:val="Heading1"/>
      </w:pPr>
      <w:r>
        <w:t xml:space="preserve">4. What</w:t>
      </w:r>
      <w:r>
        <w:t xml:space="preserve"> </w:t>
      </w:r>
      <w:r>
        <w:t xml:space="preserve">“Covered”</w:t>
      </w:r>
      <w:r>
        <w:t xml:space="preserve"> </w:t>
      </w:r>
      <w:r>
        <w:t xml:space="preserve">Means (Very Important)</w:t>
      </w:r>
    </w:p>
    <w:p>
      <w:pPr>
        <w:pStyle w:val="FirstParagraph"/>
      </w:pPr>
      <w:r>
        <w:t xml:space="preserve">A Topic is considered</w:t>
      </w:r>
      <w:r>
        <w:t xml:space="preserve"> </w:t>
      </w:r>
      <w:r>
        <w:rPr>
          <w:b/>
          <w:bCs/>
        </w:rPr>
        <w:t xml:space="preserve">Practised</w:t>
      </w:r>
      <w:r>
        <w:t xml:space="preserve"> </w:t>
      </w:r>
      <w:r>
        <w:t xml:space="preserve">(not</w:t>
      </w:r>
      <w:r>
        <w:t xml:space="preserve"> </w:t>
      </w:r>
      <w:r>
        <w:t xml:space="preserve">“mastered”</w:t>
      </w:r>
      <w:r>
        <w:t xml:space="preserve">) when:</w:t>
      </w:r>
    </w:p>
    <w:p>
      <w:pPr>
        <w:pStyle w:val="Compact"/>
        <w:numPr>
          <w:ilvl w:val="0"/>
          <w:numId w:val="1005"/>
        </w:numPr>
      </w:pPr>
      <w:r>
        <w:t xml:space="preserve">The child has attempted</w:t>
      </w:r>
      <w:r>
        <w:t xml:space="preserve"> </w:t>
      </w:r>
      <w:r>
        <w:rPr>
          <w:b/>
          <w:bCs/>
        </w:rPr>
        <w:t xml:space="preserve">at least 6 unique questions</w:t>
      </w:r>
      <w:r>
        <w:t xml:space="preserve"> </w:t>
      </w:r>
      <w:r>
        <w:t xml:space="preserve">from that Topic</w:t>
      </w:r>
    </w:p>
    <w:p>
      <w:pPr>
        <w:pStyle w:val="Compact"/>
        <w:numPr>
          <w:ilvl w:val="0"/>
          <w:numId w:val="1005"/>
        </w:numPr>
      </w:pPr>
      <w:r>
        <w:t xml:space="preserve">Spread across</w:t>
      </w:r>
      <w:r>
        <w:t xml:space="preserve"> </w:t>
      </w:r>
      <w:r>
        <w:rPr>
          <w:b/>
          <w:bCs/>
        </w:rPr>
        <w:t xml:space="preserve">2 or more sessions</w:t>
      </w:r>
    </w:p>
    <w:p>
      <w:pPr>
        <w:pStyle w:val="FirstParagraph"/>
      </w:pPr>
      <w:r>
        <w:t xml:space="preserve">No mastery labels.</w:t>
      </w:r>
      <w:r>
        <w:t xml:space="preserve"> </w:t>
      </w:r>
      <w:r>
        <w:t xml:space="preserve">No completion pressure.</w:t>
      </w:r>
    </w:p>
    <w:p>
      <w:r>
        <w:pict>
          <v:rect style="width:0;height:1.5pt" o:hralign="center" o:hrstd="t" o:hr="t"/>
        </w:pict>
      </w:r>
    </w:p>
    <w:bookmarkEnd w:id="26"/>
    <w:bookmarkStart w:id="27" w:name="reinforcement-reexposure-rules"/>
    <w:p>
      <w:pPr>
        <w:pStyle w:val="Heading1"/>
      </w:pPr>
      <w:r>
        <w:t xml:space="preserve">5. Reinforcement &amp; Re‑Exposure Rules</w:t>
      </w:r>
    </w:p>
    <w:p>
      <w:pPr>
        <w:pStyle w:val="FirstParagraph"/>
      </w:pPr>
      <w:r>
        <w:t xml:space="preserve">To support long‑term retention:</w:t>
      </w:r>
    </w:p>
    <w:p>
      <w:pPr>
        <w:pStyle w:val="Compact"/>
        <w:numPr>
          <w:ilvl w:val="0"/>
          <w:numId w:val="1006"/>
        </w:numPr>
      </w:pPr>
      <w:r>
        <w:t xml:space="preserve">Previously practised topics are gently re‑introduced</w:t>
      </w:r>
    </w:p>
    <w:p>
      <w:pPr>
        <w:pStyle w:val="Compact"/>
        <w:numPr>
          <w:ilvl w:val="0"/>
          <w:numId w:val="1006"/>
        </w:numPr>
      </w:pPr>
      <w:r>
        <w:t xml:space="preserve">Frequency decreases as familiarity increases</w:t>
      </w:r>
    </w:p>
    <w:p>
      <w:pPr>
        <w:pStyle w:val="FirstParagraph"/>
      </w:pPr>
      <w:r>
        <w:t xml:space="preserve">This is invisible to the child.</w:t>
      </w:r>
    </w:p>
    <w:p>
      <w:r>
        <w:pict>
          <v:rect style="width:0;height:1.5pt" o:hralign="center" o:hrstd="t" o:hr="t"/>
        </w:pict>
      </w:r>
    </w:p>
    <w:bookmarkEnd w:id="27"/>
    <w:bookmarkStart w:id="28" w:name="no-exhaustion-safeguards"/>
    <w:p>
      <w:pPr>
        <w:pStyle w:val="Heading1"/>
      </w:pPr>
      <w:r>
        <w:t xml:space="preserve">6. No Exhaustion Safeguards</w:t>
      </w:r>
    </w:p>
    <w:p>
      <w:pPr>
        <w:pStyle w:val="FirstParagraph"/>
      </w:pPr>
      <w:r>
        <w:t xml:space="preserve">Hard limits:</w:t>
      </w:r>
    </w:p>
    <w:p>
      <w:pPr>
        <w:pStyle w:val="Compact"/>
        <w:numPr>
          <w:ilvl w:val="0"/>
          <w:numId w:val="1007"/>
        </w:numPr>
      </w:pPr>
      <w:r>
        <w:t xml:space="preserve">No topic requires &gt;10 questions in a short span</w:t>
      </w:r>
    </w:p>
    <w:p>
      <w:pPr>
        <w:pStyle w:val="Compact"/>
        <w:numPr>
          <w:ilvl w:val="0"/>
          <w:numId w:val="1007"/>
        </w:numPr>
      </w:pPr>
      <w:r>
        <w:t xml:space="preserve">No forced</w:t>
      </w:r>
      <w:r>
        <w:t xml:space="preserve"> </w:t>
      </w:r>
      <w:r>
        <w:t xml:space="preserve">“complete all questions”</w:t>
      </w:r>
      <w:r>
        <w:t xml:space="preserve"> </w:t>
      </w:r>
      <w:r>
        <w:t xml:space="preserve">behaviour</w:t>
      </w:r>
    </w:p>
    <w:p>
      <w:pPr>
        <w:pStyle w:val="Compact"/>
        <w:numPr>
          <w:ilvl w:val="0"/>
          <w:numId w:val="1007"/>
        </w:numPr>
      </w:pPr>
      <w:r>
        <w:t xml:space="preserve">No checklists or progress bars that induce anxiety</w:t>
      </w:r>
    </w:p>
    <w:p>
      <w:r>
        <w:pict>
          <v:rect style="width:0;height:1.5pt" o:hralign="center" o:hrstd="t" o:hr="t"/>
        </w:pict>
      </w:r>
    </w:p>
    <w:bookmarkEnd w:id="28"/>
    <w:bookmarkStart w:id="29" w:name="crosstopic-quiz-composition"/>
    <w:p>
      <w:pPr>
        <w:pStyle w:val="Heading1"/>
      </w:pPr>
      <w:r>
        <w:t xml:space="preserve">7. Cross‑Topic Quiz Composition</w:t>
      </w:r>
    </w:p>
    <w:p>
      <w:pPr>
        <w:pStyle w:val="FirstParagraph"/>
      </w:pPr>
      <w:r>
        <w:t xml:space="preserve">Default quiz mix:</w:t>
      </w:r>
    </w:p>
    <w:p>
      <w:pPr>
        <w:pStyle w:val="Compact"/>
        <w:numPr>
          <w:ilvl w:val="0"/>
          <w:numId w:val="1008"/>
        </w:numPr>
      </w:pPr>
      <w:r>
        <w:t xml:space="preserve">60–70% from recently practised topics</w:t>
      </w:r>
    </w:p>
    <w:p>
      <w:pPr>
        <w:pStyle w:val="Compact"/>
        <w:numPr>
          <w:ilvl w:val="0"/>
          <w:numId w:val="1008"/>
        </w:numPr>
      </w:pPr>
      <w:r>
        <w:t xml:space="preserve">20–30% from lightly practised topics</w:t>
      </w:r>
    </w:p>
    <w:p>
      <w:pPr>
        <w:pStyle w:val="Compact"/>
        <w:numPr>
          <w:ilvl w:val="0"/>
          <w:numId w:val="1008"/>
        </w:numPr>
      </w:pPr>
      <w:r>
        <w:t xml:space="preserve">0–10% from new topics (optional)</w:t>
      </w:r>
    </w:p>
    <w:p>
      <w:pPr>
        <w:pStyle w:val="FirstParagraph"/>
      </w:pPr>
      <w:r>
        <w:t xml:space="preserve">This creates comfort + light challenge.</w:t>
      </w:r>
    </w:p>
    <w:p>
      <w:r>
        <w:pict>
          <v:rect style="width:0;height:1.5pt" o:hralign="center" o:hrstd="t" o:hr="t"/>
        </w:pict>
      </w:r>
    </w:p>
    <w:bookmarkEnd w:id="29"/>
    <w:bookmarkStart w:id="30" w:name="coverage-across-the-syllabus"/>
    <w:p>
      <w:pPr>
        <w:pStyle w:val="Heading1"/>
      </w:pPr>
      <w:r>
        <w:t xml:space="preserve">8. Coverage Across the Syllabus</w:t>
      </w:r>
    </w:p>
    <w:p>
      <w:pPr>
        <w:pStyle w:val="FirstParagraph"/>
      </w:pPr>
      <w:r>
        <w:t xml:space="preserve">Full syllabus coverage means:</w:t>
      </w:r>
    </w:p>
    <w:p>
      <w:pPr>
        <w:pStyle w:val="Compact"/>
        <w:numPr>
          <w:ilvl w:val="0"/>
          <w:numId w:val="1009"/>
        </w:numPr>
      </w:pPr>
      <w:r>
        <w:t xml:space="preserve">Every CORE topic in CAM has:</w:t>
      </w:r>
    </w:p>
    <w:p>
      <w:pPr>
        <w:pStyle w:val="Compact"/>
        <w:numPr>
          <w:ilvl w:val="1"/>
          <w:numId w:val="1010"/>
        </w:numPr>
      </w:pPr>
      <w:r>
        <w:t xml:space="preserve">At least 12 validated questions</w:t>
      </w:r>
    </w:p>
    <w:p>
      <w:pPr>
        <w:pStyle w:val="Compact"/>
        <w:numPr>
          <w:ilvl w:val="1"/>
          <w:numId w:val="1010"/>
        </w:numPr>
      </w:pPr>
      <w:r>
        <w:t xml:space="preserve">Been surfaced to the child at least once</w:t>
      </w:r>
    </w:p>
    <w:p>
      <w:pPr>
        <w:pStyle w:val="FirstParagraph"/>
      </w:pPr>
      <w:r>
        <w:t xml:space="preserve">OPTIONAL topics:</w:t>
      </w:r>
      <w:r>
        <w:t xml:space="preserve"> </w:t>
      </w:r>
      <w:r>
        <w:t xml:space="preserve">- Included opportunistically</w:t>
      </w:r>
      <w:r>
        <w:t xml:space="preserve"> </w:t>
      </w:r>
      <w:r>
        <w:t xml:space="preserve">- Never required</w:t>
      </w:r>
    </w:p>
    <w:p>
      <w:r>
        <w:pict>
          <v:rect style="width:0;height:1.5pt" o:hralign="center" o:hrstd="t" o:hr="t"/>
        </w:pict>
      </w:r>
    </w:p>
    <w:bookmarkEnd w:id="30"/>
    <w:bookmarkStart w:id="31" w:name="analytics-alignment-no-pressure"/>
    <w:p>
      <w:pPr>
        <w:pStyle w:val="Heading1"/>
      </w:pPr>
      <w:r>
        <w:t xml:space="preserve">9. Analytics Alignment (No Pressure)</w:t>
      </w:r>
    </w:p>
    <w:p>
      <w:pPr>
        <w:pStyle w:val="FirstParagraph"/>
      </w:pPr>
      <w:r>
        <w:t xml:space="preserve">Analytics derive from density rules but do not expose them.</w:t>
      </w:r>
    </w:p>
    <w:p>
      <w:pPr>
        <w:pStyle w:val="BodyText"/>
      </w:pPr>
      <w:r>
        <w:t xml:space="preserve">Children see:</w:t>
      </w:r>
      <w:r>
        <w:t xml:space="preserve"> </w:t>
      </w:r>
      <w:r>
        <w:t xml:space="preserve">-</w:t>
      </w:r>
      <w:r>
        <w:t xml:space="preserve"> </w:t>
      </w:r>
      <w:r>
        <w:t xml:space="preserve">“You’ve practised this a few times”</w:t>
      </w:r>
      <w:r>
        <w:t xml:space="preserve"> </w:t>
      </w:r>
      <w:r>
        <w:t xml:space="preserve">-</w:t>
      </w:r>
      <w:r>
        <w:t xml:space="preserve"> </w:t>
      </w:r>
      <w:r>
        <w:t xml:space="preserve">“You might want to try this again later”</w:t>
      </w:r>
    </w:p>
    <w:p>
      <w:pPr>
        <w:pStyle w:val="BodyText"/>
      </w:pPr>
      <w:r>
        <w:t xml:space="preserve">They do NOT see:</w:t>
      </w:r>
      <w:r>
        <w:t xml:space="preserve"> </w:t>
      </w:r>
      <w:r>
        <w:t xml:space="preserve">- Percent completion</w:t>
      </w:r>
      <w:r>
        <w:t xml:space="preserve"> </w:t>
      </w:r>
      <w:r>
        <w:t xml:space="preserve">- Question counts</w:t>
      </w:r>
      <w:r>
        <w:t xml:space="preserve"> </w:t>
      </w:r>
      <w:r>
        <w:t xml:space="preserve">- Remaining quotas</w:t>
      </w:r>
    </w:p>
    <w:p>
      <w:r>
        <w:pict>
          <v:rect style="width:0;height:1.5pt" o:hralign="center" o:hrstd="t" o:hr="t"/>
        </w:pict>
      </w:r>
    </w:p>
    <w:bookmarkEnd w:id="31"/>
    <w:bookmarkStart w:id="32" w:name="why-these-rules-work"/>
    <w:p>
      <w:pPr>
        <w:pStyle w:val="Heading1"/>
      </w:pPr>
      <w:r>
        <w:t xml:space="preserve">10. Why These Rules Work</w:t>
      </w:r>
    </w:p>
    <w:p>
      <w:pPr>
        <w:pStyle w:val="Compact"/>
        <w:numPr>
          <w:ilvl w:val="0"/>
          <w:numId w:val="1011"/>
        </w:numPr>
      </w:pPr>
      <w:r>
        <w:t xml:space="preserve">Enough variation to learn</w:t>
      </w:r>
    </w:p>
    <w:p>
      <w:pPr>
        <w:pStyle w:val="Compact"/>
        <w:numPr>
          <w:ilvl w:val="0"/>
          <w:numId w:val="1011"/>
        </w:numPr>
      </w:pPr>
      <w:r>
        <w:t xml:space="preserve">Enough repetition to remember</w:t>
      </w:r>
    </w:p>
    <w:p>
      <w:pPr>
        <w:pStyle w:val="Compact"/>
        <w:numPr>
          <w:ilvl w:val="0"/>
          <w:numId w:val="1011"/>
        </w:numPr>
      </w:pPr>
      <w:r>
        <w:t xml:space="preserve">Not enough volume to feel like homework</w:t>
      </w:r>
    </w:p>
    <w:p>
      <w:pPr>
        <w:pStyle w:val="FirstParagraph"/>
      </w:pPr>
      <w:r>
        <w:t xml:space="preserve">This supports calm, consistent engagement.</w:t>
      </w:r>
    </w:p>
    <w:p>
      <w:r>
        <w:pict>
          <v:rect style="width:0;height:1.5pt" o:hralign="center" o:hrstd="t" o:hr="t"/>
        </w:pict>
      </w:r>
    </w:p>
    <w:bookmarkEnd w:id="32"/>
    <w:bookmarkStart w:id="33" w:name="final-coverage-north-star"/>
    <w:p>
      <w:pPr>
        <w:pStyle w:val="Heading1"/>
      </w:pPr>
      <w:r>
        <w:t xml:space="preserve">11. Final Coverage North Star</w:t>
      </w:r>
    </w:p>
    <w:p>
      <w:pPr>
        <w:pStyle w:val="BlockText"/>
      </w:pPr>
      <w:r>
        <w:rPr>
          <w:b/>
          <w:bCs/>
        </w:rPr>
        <w:t xml:space="preserve">A child should never feel there is an</w:t>
      </w:r>
      <w:r>
        <w:rPr>
          <w:b/>
          <w:bCs/>
        </w:rPr>
        <w:t xml:space="preserve"> </w:t>
      </w:r>
      <w:r>
        <w:rPr>
          <w:b/>
          <w:bCs/>
        </w:rPr>
        <w:t xml:space="preserve">‘end’</w:t>
      </w:r>
      <w:r>
        <w:rPr>
          <w:b/>
          <w:bCs/>
        </w:rPr>
        <w:t xml:space="preserve"> </w:t>
      </w:r>
      <w:r>
        <w:rPr>
          <w:b/>
          <w:bCs/>
        </w:rPr>
        <w:t xml:space="preserve">to practice — only growing familiarity.</w:t>
      </w:r>
    </w:p>
    <w:p>
      <w:pPr>
        <w:pStyle w:val="FirstParagraph"/>
      </w:pPr>
      <w:r>
        <w:t xml:space="preserve">Coverage exists for correctness and completeness, not for pressure.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These question density &amp; coverage rules are now frozen and mandatory across the app.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2026-01-07T05:44:08Z</dcterms:created>
  <dcterms:modified xsi:type="dcterms:W3CDTF">2026-01-07T05:44:08Z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