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120" w:before="0"/>
        <w:jc w:val="center"/>
      </w:pPr>
      <w:r>
        <w:rPr>
          <w:rFonts w:ascii="Arial" w:cs="Arial" w:eastAsia="Arial" w:hAnsi="Arial"/>
          <w:b/>
          <w:bCs/>
          <w:caps/>
          <w:color w:val="1A3A5C"/>
          <w:sz w:val="36"/>
          <w:szCs w:val="36"/>
        </w:rPr>
        <w:t xml:space="preserve">SIGNALSTACK TRADING PLATFORM</w:t>
      </w:r>
    </w:p>
    <w:p>
      <w:pPr>
        <w:spacing w:after="120" w:before="0"/>
        <w:jc w:val="center"/>
      </w:pPr>
      <w:r>
        <w:rPr>
          <w:rFonts w:ascii="Arial" w:cs="Arial" w:eastAsia="Arial" w:hAnsi="Arial"/>
          <w:b/>
          <w:bCs/>
          <w:color w:val="E67E22"/>
          <w:sz w:val="28"/>
          <w:szCs w:val="28"/>
        </w:rPr>
        <w:t xml:space="preserve">Legal and Regulatory Query</w:t>
      </w:r>
    </w:p>
    <w:p>
      <w:pPr>
        <w:spacing w:after="480" w:before="0"/>
        <w:jc w:val="center"/>
      </w:pPr>
      <w:r>
        <w:rPr>
          <w:rFonts w:ascii="Arial" w:cs="Arial" w:eastAsia="Arial" w:hAnsi="Arial"/>
          <w:i/>
          <w:iCs/>
          <w:color w:val="7F8C8D"/>
          <w:sz w:val="22"/>
          <w:szCs w:val="22"/>
        </w:rPr>
        <w:t xml:space="preserve">Prepared for review by a SEBI-registered fintech lawyer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gridSpan w:val="2"/>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A3A5C"/>
                <w:sz w:val="22"/>
                <w:szCs w:val="22"/>
              </w:rPr>
              <w:t xml:space="preserve">Document Information</w:t>
            </w:r>
          </w:p>
        </w:tc>
      </w:tr>
      <w:tr>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1A3A5C"/>
                <w:sz w:val="20"/>
                <w:szCs w:val="20"/>
              </w:rPr>
              <w:t xml:space="preserve">Prepared by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Arvind Bhairat (Platform Operator / Admin)</w:t>
            </w:r>
          </w:p>
        </w:tc>
      </w:tr>
      <w:tr>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1A3A5C"/>
                <w:sz w:val="20"/>
                <w:szCs w:val="20"/>
              </w:rPr>
              <w:t xml:space="preserve">Document 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April 2026</w:t>
            </w:r>
          </w:p>
        </w:tc>
      </w:tr>
      <w:tr>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1A3A5C"/>
                <w:sz w:val="20"/>
                <w:szCs w:val="20"/>
              </w:rPr>
              <w:t xml:space="preserve">Platform 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SignalStack</w:t>
            </w:r>
          </w:p>
        </w:tc>
      </w:tr>
      <w:tr>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1A3A5C"/>
                <w:sz w:val="20"/>
                <w:szCs w:val="20"/>
              </w:rPr>
              <w:t xml:space="preserve">Platform stage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Phase A — Private Validation (pre-commercial, invite-only, no fees)</w:t>
            </w:r>
          </w:p>
        </w:tc>
      </w:tr>
      <w:tr>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1A3A5C"/>
                <w:sz w:val="20"/>
                <w:szCs w:val="20"/>
              </w:rPr>
              <w:t xml:space="preserve">Broker integration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FYERS Securities — API Connect JS widget + OAuth data feed</w:t>
            </w:r>
          </w:p>
        </w:tc>
      </w:tr>
      <w:tr>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1A3A5C"/>
                <w:sz w:val="20"/>
                <w:szCs w:val="20"/>
              </w:rPr>
              <w:t xml:space="preserve">Purpose of this document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Obtain written legal opinion on regulatory classification and compliance posture before the first non-admin user is granted access to execution features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DECEA" w:val="clear"/>
            <w:tcMar>
              <w:top w:type="dxa" w:w="120"/>
              <w:left w:type="dxa" w:w="160"/>
              <w:bottom w:type="dxa" w:w="120"/>
              <w:right w:type="dxa" w:w="120"/>
            </w:tcMar>
            <w:vAlign w:val="top"/>
          </w:tcPr>
          <w:p>
            <w:r>
              <w:rPr>
                <w:rFonts w:ascii="Arial" w:cs="Arial" w:eastAsia="Arial" w:hAnsi="Arial"/>
                <w:b/>
                <w:bCs/>
                <w:color w:val="C0392B"/>
                <w:sz w:val="20"/>
                <w:szCs w:val="20"/>
              </w:rPr>
              <w:t xml:space="preserve">IMPORTANT</w:t>
            </w:r>
          </w:p>
        </w:tc>
        <w:tc>
          <w:tcPr>
            <w:tcW w:type="dxa" w:w="8160"/>
            <w:tcBorders>
              <w:top w:val="none" w:color="FFFFFF" w:sz="0"/>
              <w:left w:val="none" w:color="FFFFFF" w:sz="0"/>
              <w:bottom w:val="none" w:color="FFFFFF" w:sz="0"/>
              <w:right w:val="none" w:color="FFFFFF" w:sz="0"/>
            </w:tcBorders>
            <w:shd w:fill="FDECEA" w:val="clear"/>
            <w:tcMar>
              <w:top w:type="dxa" w:w="120"/>
              <w:left w:type="dxa" w:w="120"/>
              <w:bottom w:type="dxa" w:w="120"/>
              <w:right w:type="dxa" w:w="160"/>
            </w:tcMar>
          </w:tcPr>
          <w:p>
            <w:pPr>
              <w:spacing w:after="80" w:before="0"/>
            </w:pPr>
            <w:r>
              <w:rPr>
                <w:rFonts w:ascii="Arial" w:cs="Arial" w:eastAsia="Arial" w:hAnsi="Arial"/>
                <w:color w:val="2C3E50"/>
                <w:sz w:val="20"/>
                <w:szCs w:val="20"/>
              </w:rPr>
              <w:t xml:space="preserve">This document must be reviewed and responded to in writing by a lawyer registered as a SEBI-authorised</w:t>
            </w:r>
          </w:p>
          <w:p>
            <w:pPr>
              <w:spacing w:after="80" w:before="0"/>
            </w:pPr>
            <w:r>
              <w:rPr>
                <w:rFonts w:ascii="Arial" w:cs="Arial" w:eastAsia="Arial" w:hAnsi="Arial"/>
                <w:color w:val="2C3E50"/>
                <w:sz w:val="20"/>
                <w:szCs w:val="20"/>
              </w:rPr>
              <w:t xml:space="preserve">Research Analyst, Investment Adviser, or otherwise qualified in SEBI securities law and FYERS API terms,</w:t>
            </w:r>
          </w:p>
          <w:p>
            <w:pPr>
              <w:spacing w:after="80" w:before="0"/>
            </w:pPr>
            <w:r>
              <w:rPr>
                <w:rFonts w:ascii="Arial" w:cs="Arial" w:eastAsia="Arial" w:hAnsi="Arial"/>
                <w:color w:val="2C3E50"/>
                <w:sz w:val="20"/>
                <w:szCs w:val="20"/>
              </w:rPr>
              <w:t xml:space="preserve">before any user beyond the platform operator (admin) accesses order placement or execution features.</w:t>
            </w:r>
          </w:p>
        </w:tc>
      </w:tr>
    </w:tbl>
    <w:p>
      <w:pPr>
        <w:spacing w:after="240" w:before="0"/>
      </w:pPr>
      <w:r>
        <w:t xml:space="preserve"/>
      </w:r>
    </w:p>
    <w:p>
      <w:pPr>
        <w:pBdr>
          <w:bottom w:val="single" w:color="1A3A5C" w:sz="4" w:space="1"/>
        </w:pBdr>
        <w:spacing w:after="120" w:before="120"/>
      </w:pPr>
      <w:r>
        <w:t xml:space="preserve"/>
      </w:r>
    </w:p>
    <w:p>
      <w:pPr>
        <w:pStyle w:val="Heading1"/>
        <w:spacing w:after="160" w:before="360"/>
      </w:pPr>
      <w:r>
        <w:rPr>
          <w:rFonts w:ascii="Arial" w:cs="Arial" w:eastAsia="Arial" w:hAnsi="Arial"/>
          <w:b/>
          <w:bCs/>
          <w:color w:val="1A3A5C"/>
          <w:sz w:val="28"/>
          <w:szCs w:val="28"/>
        </w:rPr>
        <w:t xml:space="preserve">1. Platform Overview</w:t>
      </w:r>
    </w:p>
    <w:p>
      <w:pPr>
        <w:spacing w:after="160" w:before="0"/>
      </w:pPr>
      <w:r>
        <w:rPr>
          <w:rFonts w:ascii="Arial" w:cs="Arial" w:eastAsia="Arial" w:hAnsi="Arial"/>
          <w:color w:val="2C3E50"/>
          <w:sz w:val="22"/>
          <w:szCs w:val="22"/>
        </w:rPr>
        <w:t xml:space="preserve">SignalStack is a browser-based decision-support and research platform for equity trading on NSE-listed Nifty 500 stocks. It is long-only, Indian-market-only, and not designed to place orders autonomously. All order placement is explicitly user-initiated.</w:t>
      </w:r>
    </w:p>
    <w:p>
      <w:pPr>
        <w:pStyle w:val="Heading2"/>
        <w:spacing w:after="120" w:before="280"/>
      </w:pPr>
      <w:r>
        <w:rPr>
          <w:rFonts w:ascii="Arial" w:cs="Arial" w:eastAsia="Arial" w:hAnsi="Arial"/>
          <w:b/>
          <w:bCs/>
          <w:color w:val="1A3A5C"/>
          <w:sz w:val="24"/>
          <w:szCs w:val="24"/>
        </w:rPr>
        <w:t xml:space="preserve">1.1  What the platform does</w:t>
      </w:r>
    </w:p>
    <w:p>
      <w:pPr>
        <w:pStyle w:val="ListParagraph"/>
        <w:numPr>
          <w:ilvl w:val="0"/>
          <w:numId w:val="2"/>
        </w:numPr>
        <w:spacing w:after="100" w:before="0"/>
      </w:pPr>
      <w:r>
        <w:rPr>
          <w:rFonts w:ascii="Arial" w:cs="Arial" w:eastAsia="Arial" w:hAnsi="Arial"/>
          <w:color w:val="2C3E50"/>
          <w:sz w:val="22"/>
          <w:szCs w:val="22"/>
        </w:rPr>
        <w:t xml:space="preserve">Runs post-market EOD scans ("Signal types") against historical OHLCV data stored in a private SQL Server database. When a scan's entry conditions are met, it emits an entry signal record (symbol, suggested entry price, ATR, indicator values at evaluation time).</w:t>
      </w:r>
    </w:p>
    <w:p>
      <w:pPr>
        <w:pStyle w:val="ListParagraph"/>
        <w:numPr>
          <w:ilvl w:val="0"/>
          <w:numId w:val="2"/>
        </w:numPr>
        <w:spacing w:after="100" w:before="0"/>
      </w:pPr>
      <w:r>
        <w:rPr>
          <w:rFonts w:ascii="Arial" w:cs="Arial" w:eastAsia="Arial" w:hAnsi="Arial"/>
          <w:color w:val="2C3E50"/>
          <w:sz w:val="22"/>
          <w:szCs w:val="22"/>
        </w:rPr>
        <w:t xml:space="preserve">Passes entry signals to a Risk Management Engine (RME) that calculates advisory position size, stop-loss level, add and reduce levels, and portfolio heat impact using the user's configured risk profile.</w:t>
      </w:r>
    </w:p>
    <w:p>
      <w:pPr>
        <w:pStyle w:val="ListParagraph"/>
        <w:numPr>
          <w:ilvl w:val="0"/>
          <w:numId w:val="2"/>
        </w:numPr>
        <w:spacing w:after="100" w:before="0"/>
      </w:pPr>
      <w:r>
        <w:rPr>
          <w:rFonts w:ascii="Arial" w:cs="Arial" w:eastAsia="Arial" w:hAnsi="Arial"/>
          <w:color w:val="2C3E50"/>
          <w:sz w:val="22"/>
          <w:szCs w:val="22"/>
        </w:rPr>
        <w:t xml:space="preserve">Delivers RME advisories to users via Telegram notifications and a portal notification feed. All advisory language is self-directed: "your scan matched X," "your configured entry is Y," "your stop per your risk profile is Z."</w:t>
      </w:r>
    </w:p>
    <w:p>
      <w:pPr>
        <w:pStyle w:val="ListParagraph"/>
        <w:numPr>
          <w:ilvl w:val="0"/>
          <w:numId w:val="2"/>
        </w:numPr>
        <w:spacing w:after="100" w:before="0"/>
      </w:pPr>
      <w:r>
        <w:rPr>
          <w:rFonts w:ascii="Arial" w:cs="Arial" w:eastAsia="Arial" w:hAnsi="Arial"/>
          <w:color w:val="2C3E50"/>
          <w:sz w:val="22"/>
          <w:szCs w:val="22"/>
        </w:rPr>
        <w:t xml:space="preserve">Provides a TradingView-powered chart page showing historical OHLCV data, the RME advisory panel, and the user's open position context.</w:t>
      </w:r>
    </w:p>
    <w:p>
      <w:pPr>
        <w:pStyle w:val="ListParagraph"/>
        <w:numPr>
          <w:ilvl w:val="0"/>
          <w:numId w:val="2"/>
        </w:numPr>
        <w:spacing w:after="100" w:before="0"/>
      </w:pPr>
      <w:r>
        <w:rPr>
          <w:rFonts w:ascii="Arial" w:cs="Arial" w:eastAsia="Arial" w:hAnsi="Arial"/>
          <w:color w:val="2C3E50"/>
          <w:sz w:val="22"/>
          <w:szCs w:val="22"/>
        </w:rPr>
        <w:t xml:space="preserve">Provides an execution assistance flow for users who choose to act on an advisory. This is described in detail in Section 2.</w:t>
      </w:r>
    </w:p>
    <w:p>
      <w:pPr>
        <w:pStyle w:val="ListParagraph"/>
        <w:numPr>
          <w:ilvl w:val="0"/>
          <w:numId w:val="2"/>
        </w:numPr>
        <w:spacing w:after="100" w:before="0"/>
      </w:pPr>
      <w:r>
        <w:rPr>
          <w:rFonts w:ascii="Arial" w:cs="Arial" w:eastAsia="Arial" w:hAnsi="Arial"/>
          <w:color w:val="2C3E50"/>
          <w:sz w:val="22"/>
          <w:szCs w:val="22"/>
        </w:rPr>
        <w:t xml:space="preserve">Syncs user portfolio state (orders, trades, positions, holdings) from FYERS using the user's own FYERS OAuth token.</w:t>
      </w:r>
    </w:p>
    <w:p>
      <w:pPr>
        <w:spacing w:after="80" w:before="0"/>
      </w:pPr>
      <w:r>
        <w:t xml:space="preserve"/>
      </w:r>
    </w:p>
    <w:p>
      <w:pPr>
        <w:pStyle w:val="Heading2"/>
        <w:spacing w:after="120" w:before="280"/>
      </w:pPr>
      <w:r>
        <w:rPr>
          <w:rFonts w:ascii="Arial" w:cs="Arial" w:eastAsia="Arial" w:hAnsi="Arial"/>
          <w:b/>
          <w:bCs/>
          <w:color w:val="1A3A5C"/>
          <w:sz w:val="24"/>
          <w:szCs w:val="24"/>
        </w:rPr>
        <w:t xml:space="preserve">1.2  What the platform explicitly does NOT do</w:t>
      </w:r>
    </w:p>
    <w:p>
      <w:pPr>
        <w:pStyle w:val="ListParagraph"/>
        <w:numPr>
          <w:ilvl w:val="0"/>
          <w:numId w:val="2"/>
        </w:numPr>
        <w:spacing w:after="100" w:before="0"/>
      </w:pPr>
      <w:r>
        <w:rPr>
          <w:rFonts w:ascii="Arial" w:cs="Arial" w:eastAsia="Arial" w:hAnsi="Arial"/>
          <w:color w:val="2C3E50"/>
          <w:sz w:val="22"/>
          <w:szCs w:val="22"/>
        </w:rPr>
        <w:t xml:space="preserve">Does not place orders on behalf of users — the platform backend never calls the FYERS order placement REST API.</w:t>
      </w:r>
    </w:p>
    <w:p>
      <w:pPr>
        <w:pStyle w:val="ListParagraph"/>
        <w:numPr>
          <w:ilvl w:val="0"/>
          <w:numId w:val="2"/>
        </w:numPr>
        <w:spacing w:after="100" w:before="0"/>
      </w:pPr>
      <w:r>
        <w:rPr>
          <w:rFonts w:ascii="Arial" w:cs="Arial" w:eastAsia="Arial" w:hAnsi="Arial"/>
          <w:color w:val="2C3E50"/>
          <w:sz w:val="22"/>
          <w:szCs w:val="22"/>
        </w:rPr>
        <w:t xml:space="preserve">Does not manage positions autonomously — all entry, add, reduce, and exit actions require the user to initiate and confirm.</w:t>
      </w:r>
    </w:p>
    <w:p>
      <w:pPr>
        <w:pStyle w:val="ListParagraph"/>
        <w:numPr>
          <w:ilvl w:val="0"/>
          <w:numId w:val="2"/>
        </w:numPr>
        <w:spacing w:after="100" w:before="0"/>
      </w:pPr>
      <w:r>
        <w:rPr>
          <w:rFonts w:ascii="Arial" w:cs="Arial" w:eastAsia="Arial" w:hAnsi="Arial"/>
          <w:color w:val="2C3E50"/>
          <w:sz w:val="22"/>
          <w:szCs w:val="22"/>
        </w:rPr>
        <w:t xml:space="preserve">Does not provide investment advice, research recommendations, buy/sell tips, or analyst opinions. User-facing language is reviewed against a self-directed-language checklist before release.</w:t>
      </w:r>
    </w:p>
    <w:p>
      <w:pPr>
        <w:pStyle w:val="ListParagraph"/>
        <w:numPr>
          <w:ilvl w:val="0"/>
          <w:numId w:val="2"/>
        </w:numPr>
        <w:spacing w:after="100" w:before="0"/>
      </w:pPr>
      <w:r>
        <w:rPr>
          <w:rFonts w:ascii="Arial" w:cs="Arial" w:eastAsia="Arial" w:hAnsi="Arial"/>
          <w:color w:val="2C3E50"/>
          <w:sz w:val="22"/>
          <w:szCs w:val="22"/>
        </w:rPr>
        <w:t xml:space="preserve">Does not operate short-side, options, futures, or any instrument outside Nifty 500 equities (CNC product type only).</w:t>
      </w:r>
    </w:p>
    <w:p>
      <w:pPr>
        <w:pStyle w:val="ListParagraph"/>
        <w:numPr>
          <w:ilvl w:val="0"/>
          <w:numId w:val="2"/>
        </w:numPr>
        <w:spacing w:after="100" w:before="0"/>
      </w:pPr>
      <w:r>
        <w:rPr>
          <w:rFonts w:ascii="Arial" w:cs="Arial" w:eastAsia="Arial" w:hAnsi="Arial"/>
          <w:color w:val="2C3E50"/>
          <w:sz w:val="22"/>
          <w:szCs w:val="22"/>
        </w:rPr>
        <w:t xml:space="preserve">Does not charge fees or accept payment in Phase A. No public marketing surfaces, no SEO-indexable landing pages, no open registration.</w:t>
      </w:r>
    </w:p>
    <w:p>
      <w:pPr>
        <w:pStyle w:val="ListParagraph"/>
        <w:numPr>
          <w:ilvl w:val="0"/>
          <w:numId w:val="2"/>
        </w:numPr>
        <w:spacing w:after="100" w:before="0"/>
      </w:pPr>
      <w:r>
        <w:rPr>
          <w:rFonts w:ascii="Arial" w:cs="Arial" w:eastAsia="Arial" w:hAnsi="Arial"/>
          <w:color w:val="2C3E50"/>
          <w:sz w:val="22"/>
          <w:szCs w:val="22"/>
        </w:rPr>
        <w:t xml:space="preserve">Is not accessible to the public — Phase A is invite-only with a hard cap of 30 approved testers maximum.</w:t>
      </w:r>
    </w:p>
    <w:p>
      <w:pPr>
        <w:spacing w:after="80" w:before="0"/>
      </w:pPr>
      <w:r>
        <w:t xml:space="preserve"/>
      </w:r>
    </w:p>
    <w:p>
      <w:pPr>
        <w:pStyle w:val="Heading2"/>
        <w:spacing w:after="120" w:before="280"/>
      </w:pPr>
      <w:r>
        <w:rPr>
          <w:rFonts w:ascii="Arial" w:cs="Arial" w:eastAsia="Arial" w:hAnsi="Arial"/>
          <w:b/>
          <w:bCs/>
          <w:color w:val="1A3A5C"/>
          <w:sz w:val="24"/>
          <w:szCs w:val="24"/>
        </w:rPr>
        <w:t xml:space="preserve">1.3  Phase A operating context</w:t>
      </w:r>
    </w:p>
    <w:p>
      <w:pPr>
        <w:spacing w:after="160" w:before="0"/>
      </w:pPr>
      <w:r>
        <w:rPr>
          <w:rFonts w:ascii="Arial" w:cs="Arial" w:eastAsia="Arial" w:hAnsi="Arial"/>
          <w:color w:val="2C3E50"/>
          <w:sz w:val="22"/>
          <w:szCs w:val="22"/>
        </w:rPr>
        <w:t xml:space="preserve">The platform is currently in Phase A: private validation. Phase A is defined by the following constraints enforced at the service layer, not merely by policy:</w:t>
      </w:r>
    </w:p>
    <w:p>
      <w:pPr>
        <w:pStyle w:val="ListParagraph"/>
        <w:numPr>
          <w:ilvl w:val="0"/>
          <w:numId w:val="2"/>
        </w:numPr>
        <w:spacing w:after="100" w:before="0"/>
      </w:pPr>
      <w:r>
        <w:rPr>
          <w:rFonts w:ascii="Arial" w:cs="Arial" w:eastAsia="Arial" w:hAnsi="Arial"/>
          <w:color w:val="2C3E50"/>
          <w:sz w:val="22"/>
          <w:szCs w:val="22"/>
        </w:rPr>
        <w:t xml:space="preserve">No paid subscriptions, billing, invoicing, or fee-collection flows.</w:t>
      </w:r>
    </w:p>
    <w:p>
      <w:pPr>
        <w:pStyle w:val="ListParagraph"/>
        <w:numPr>
          <w:ilvl w:val="0"/>
          <w:numId w:val="2"/>
        </w:numPr>
        <w:spacing w:after="100" w:before="0"/>
      </w:pPr>
      <w:r>
        <w:rPr>
          <w:rFonts w:ascii="Arial" w:cs="Arial" w:eastAsia="Arial" w:hAnsi="Arial"/>
          <w:color w:val="2C3E50"/>
          <w:sz w:val="22"/>
          <w:szCs w:val="22"/>
        </w:rPr>
        <w:t xml:space="preserve">No public marketing or open registration. Every user requires an invite token or admin pre-approval.</w:t>
      </w:r>
    </w:p>
    <w:p>
      <w:pPr>
        <w:pStyle w:val="ListParagraph"/>
        <w:numPr>
          <w:ilvl w:val="0"/>
          <w:numId w:val="2"/>
        </w:numPr>
        <w:spacing w:after="100" w:before="0"/>
      </w:pPr>
      <w:r>
        <w:rPr>
          <w:rFonts w:ascii="Arial" w:cs="Arial" w:eastAsia="Arial" w:hAnsi="Arial"/>
          <w:color w:val="2C3E50"/>
          <w:sz w:val="22"/>
          <w:szCs w:val="22"/>
        </w:rPr>
        <w:t xml:space="preserve">Hard cap of 30 non-deactivated approved user accounts (configurable maximum 50).</w:t>
      </w:r>
    </w:p>
    <w:p>
      <w:pPr>
        <w:pStyle w:val="ListParagraph"/>
        <w:numPr>
          <w:ilvl w:val="0"/>
          <w:numId w:val="2"/>
        </w:numPr>
        <w:spacing w:after="100" w:before="0"/>
      </w:pPr>
      <w:r>
        <w:rPr>
          <w:rFonts w:ascii="Arial" w:cs="Arial" w:eastAsia="Arial" w:hAnsi="Arial"/>
          <w:color w:val="2C3E50"/>
          <w:sz w:val="22"/>
          <w:szCs w:val="22"/>
        </w:rPr>
        <w:t xml:space="preserve">All user-facing content is self-directed and tools-generated, not platform-as-advisor.</w:t>
      </w:r>
    </w:p>
    <w:p>
      <w:pPr>
        <w:pStyle w:val="ListParagraph"/>
        <w:numPr>
          <w:ilvl w:val="0"/>
          <w:numId w:val="2"/>
        </w:numPr>
        <w:spacing w:after="100" w:before="0"/>
      </w:pPr>
      <w:r>
        <w:rPr>
          <w:rFonts w:ascii="Arial" w:cs="Arial" w:eastAsia="Arial" w:hAnsi="Arial"/>
          <w:color w:val="2C3E50"/>
          <w:sz w:val="22"/>
          <w:szCs w:val="22"/>
        </w:rPr>
        <w:t xml:space="preserve">Admin's personal FYERS API application is used as a Phase A exception (see Section 2 and Questions below).</w:t>
      </w:r>
    </w:p>
    <w:p>
      <w:pPr>
        <w:spacing w:after="120" w:before="0"/>
      </w:pPr>
      <w:r>
        <w:t xml:space="preserve"/>
      </w:r>
    </w:p>
    <w:p>
      <w:pPr>
        <w:pBdr>
          <w:bottom w:val="single" w:color="1A3A5C" w:sz="4" w:space="1"/>
        </w:pBdr>
        <w:spacing w:after="120" w:before="120"/>
      </w:pPr>
      <w:r>
        <w:t xml:space="preserve"/>
      </w:r>
    </w:p>
    <w:p>
      <w:pPr>
        <w:pStyle w:val="Heading1"/>
        <w:spacing w:after="160" w:before="360"/>
      </w:pPr>
      <w:r>
        <w:rPr>
          <w:rFonts w:ascii="Arial" w:cs="Arial" w:eastAsia="Arial" w:hAnsi="Arial"/>
          <w:b/>
          <w:bCs/>
          <w:color w:val="1A3A5C"/>
          <w:sz w:val="28"/>
          <w:szCs w:val="28"/>
        </w:rPr>
        <w:t xml:space="preserve">2. FYERS Integration Architecture</w:t>
      </w:r>
    </w:p>
    <w:p>
      <w:pPr>
        <w:spacing w:after="160" w:before="0"/>
      </w:pPr>
      <w:r>
        <w:rPr>
          <w:rFonts w:ascii="Arial" w:cs="Arial" w:eastAsia="Arial" w:hAnsi="Arial"/>
          <w:color w:val="2C3E50"/>
          <w:sz w:val="22"/>
          <w:szCs w:val="22"/>
        </w:rPr>
        <w:t xml:space="preserve">This section describes the precise technical integration with FYERS that is the subject of the regulatory questions in Section 3. Accuracy of this description is critical for the legal review.</w:t>
      </w:r>
    </w:p>
    <w:p>
      <w:pPr>
        <w:pStyle w:val="Heading2"/>
        <w:spacing w:after="120" w:before="280"/>
      </w:pPr>
      <w:r>
        <w:rPr>
          <w:rFonts w:ascii="Arial" w:cs="Arial" w:eastAsia="Arial" w:hAnsi="Arial"/>
          <w:b/>
          <w:bCs/>
          <w:color w:val="1A3A5C"/>
          <w:sz w:val="24"/>
          <w:szCs w:val="24"/>
        </w:rPr>
        <w:t xml:space="preserve">2.1  Three distinct FYERS data access patterns</w:t>
      </w:r>
    </w:p>
    <w:p>
      <w:pPr>
        <w:spacing w:after="160" w:before="0"/>
      </w:pPr>
      <w:r>
        <w:rPr>
          <w:rFonts w:ascii="Arial" w:cs="Arial" w:eastAsia="Arial" w:hAnsi="Arial"/>
          <w:color w:val="2C3E50"/>
          <w:sz w:val="22"/>
          <w:szCs w:val="22"/>
        </w:rPr>
        <w:t xml:space="preserve">The platform uses FYERS in three operationally separate contexts. These must be reviewed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gridSpan w:val="2"/>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A3A5C"/>
                <w:sz w:val="22"/>
                <w:szCs w:val="22"/>
              </w:rPr>
              <w:t xml:space="preserve">Pattern A — Market Data Provider (Admin Token)</w:t>
            </w:r>
          </w:p>
        </w:tc>
      </w:tr>
      <w:tr>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1A3A5C"/>
                <w:sz w:val="20"/>
                <w:szCs w:val="20"/>
              </w:rPr>
              <w:t xml:space="preserve">What it does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Background jobs (DataSync, HistoricDataSeed) fetch shared historical OHLCV candles for all Nifty 500 symbols using a single admin FYERS token. This populates the platform's internal SQL Server historical database. The Live Market Data Scan fetches live prices to monitor stop/add/reduce levels for all users' open positions using the same admin token.</w:t>
            </w:r>
          </w:p>
        </w:tc>
      </w:tr>
      <w:tr>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1A3A5C"/>
                <w:sz w:val="20"/>
                <w:szCs w:val="20"/>
              </w:rPr>
              <w:t xml:space="preserve">Token owner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The platform operator (admin) — a single personal FYERS account in Phase A.</w:t>
            </w:r>
          </w:p>
        </w:tc>
      </w:tr>
      <w:tr>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1A3A5C"/>
                <w:sz w:val="20"/>
                <w:szCs w:val="20"/>
              </w:rPr>
              <w:t xml:space="preserve">Order placement?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None. This is read-only market data access only.</w:t>
            </w:r>
          </w:p>
        </w:tc>
      </w:tr>
      <w:tr>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1A3A5C"/>
                <w:sz w:val="20"/>
                <w:szCs w:val="20"/>
              </w:rPr>
              <w:t xml:space="preserve">Phase A exception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Phase A permits the admin's personal FYERS algo trading app registration for this purpose. Phase B requires a commercial FYERS app registered in the operating entity's name.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gridSpan w:val="2"/>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A3A5C"/>
                <w:sz w:val="22"/>
                <w:szCs w:val="22"/>
              </w:rPr>
              <w:t xml:space="preserve">Pattern B — User Live Data (Individual User Tokens)</w:t>
            </w:r>
          </w:p>
        </w:tc>
      </w:tr>
      <w:tr>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1A3A5C"/>
                <w:sz w:val="20"/>
                <w:szCs w:val="20"/>
              </w:rPr>
              <w:t xml:space="preserve">What it does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When a logged-in user views live quotes or real-time chart updates in the portal, the platform fetches that data using the user's own FYERS OAuth token. Historical OHLCV for charts is served from SQL Server; only live and intraday price updates are fetched this way.</w:t>
            </w:r>
          </w:p>
        </w:tc>
      </w:tr>
      <w:tr>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1A3A5C"/>
                <w:sz w:val="20"/>
                <w:szCs w:val="20"/>
              </w:rPr>
              <w:t xml:space="preserve">Token owner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Each individual user — their own FYERS brokerage account.</w:t>
            </w:r>
          </w:p>
        </w:tc>
      </w:tr>
      <w:tr>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1A3A5C"/>
                <w:sz w:val="20"/>
                <w:szCs w:val="20"/>
              </w:rPr>
              <w:t xml:space="preserve">Order placement?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None. This is read-only live data access only.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gridSpan w:val="2"/>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A3A5C"/>
                <w:sz w:val="22"/>
                <w:szCs w:val="22"/>
              </w:rPr>
              <w:t xml:space="preserve">Pattern C — User Account Data + Execution Assistance (Individual User Tokens)</w:t>
            </w:r>
          </w:p>
        </w:tc>
      </w:tr>
      <w:tr>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1A3A5C"/>
                <w:sz w:val="20"/>
                <w:szCs w:val="20"/>
              </w:rPr>
              <w:t xml:space="preserve">What it does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Fetches the user's own portfolio state (orders, trades, positions, holdings) from FYERS. Also hosts the execution assistance flow described in Section 2.2 below. This is the pattern subject to the primary regulatory question.</w:t>
            </w:r>
          </w:p>
        </w:tc>
      </w:tr>
      <w:tr>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1A3A5C"/>
                <w:sz w:val="20"/>
                <w:szCs w:val="20"/>
              </w:rPr>
              <w:t xml:space="preserve">Token owner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Each individual user — their own FYERS brokerage account.</w:t>
            </w:r>
          </w:p>
        </w:tc>
      </w:tr>
      <w:tr>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1A3A5C"/>
                <w:sz w:val="20"/>
                <w:szCs w:val="20"/>
              </w:rPr>
              <w:t xml:space="preserve">Order placement?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User-initiated only — see Section 2.2 for the exact mechanism.</w:t>
            </w:r>
          </w:p>
        </w:tc>
      </w:tr>
    </w:tbl>
    <w:p>
      <w:pPr>
        <w:spacing w:after="120" w:before="0"/>
      </w:pPr>
      <w:r>
        <w:t xml:space="preserve"/>
      </w:r>
    </w:p>
    <w:p>
      <w:pPr>
        <w:pStyle w:val="Heading2"/>
        <w:spacing w:after="120" w:before="280"/>
      </w:pPr>
      <w:r>
        <w:rPr>
          <w:rFonts w:ascii="Arial" w:cs="Arial" w:eastAsia="Arial" w:hAnsi="Arial"/>
          <w:b/>
          <w:bCs/>
          <w:color w:val="1A3A5C"/>
          <w:sz w:val="24"/>
          <w:szCs w:val="24"/>
        </w:rPr>
        <w:t xml:space="preserve">2.2  Execution assistance — the FYERS API Connect JS widget flow (Pattern C)</w:t>
      </w:r>
    </w:p>
    <w:p>
      <w:pPr>
        <w:spacing w:after="160" w:before="0"/>
      </w:pPr>
      <w:r>
        <w:rPr>
          <w:rFonts w:ascii="Arial" w:cs="Arial" w:eastAsia="Arial" w:hAnsi="Arial"/>
          <w:color w:val="2C3E50"/>
          <w:sz w:val="22"/>
          <w:szCs w:val="22"/>
        </w:rPr>
        <w:t xml:space="preserve">This is the specific technical mechanism that must be classified. The flow proceeds in two phases:</w:t>
      </w:r>
    </w:p>
    <w:p>
      <w:pPr>
        <w:spacing w:after="80" w:before="200"/>
      </w:pPr>
      <w:r>
        <w:rPr>
          <w:rFonts w:ascii="Arial" w:cs="Arial" w:eastAsia="Arial" w:hAnsi="Arial"/>
          <w:b/>
          <w:bCs/>
          <w:color w:val="1A3A5C"/>
          <w:sz w:val="22"/>
          <w:szCs w:val="22"/>
        </w:rPr>
        <w:t xml:space="preserve">Phase 1 — Platform-owned confirmation modal (runs on platform servers / client)</w:t>
      </w:r>
    </w:p>
    <w:p>
      <w:pPr>
        <w:pStyle w:val="ListParagraph"/>
        <w:numPr>
          <w:ilvl w:val="0"/>
          <w:numId w:val="2"/>
        </w:numPr>
        <w:spacing w:after="100" w:before="0"/>
      </w:pPr>
      <w:r>
        <w:rPr>
          <w:rFonts w:ascii="Arial" w:cs="Arial" w:eastAsia="Arial" w:hAnsi="Arial"/>
          <w:color w:val="2C3E50"/>
          <w:sz w:val="22"/>
          <w:szCs w:val="22"/>
        </w:rPr>
        <w:t xml:space="preserve">The user selects an execution action from the chart page: Entry, Add (pyramiding), Reduce (scale-out), or Exit.</w:t>
      </w:r>
    </w:p>
    <w:p>
      <w:pPr>
        <w:pStyle w:val="ListParagraph"/>
        <w:numPr>
          <w:ilvl w:val="0"/>
          <w:numId w:val="2"/>
        </w:numPr>
        <w:spacing w:after="100" w:before="0"/>
      </w:pPr>
      <w:r>
        <w:rPr>
          <w:rFonts w:ascii="Arial" w:cs="Arial" w:eastAsia="Arial" w:hAnsi="Arial"/>
          <w:color w:val="2C3E50"/>
          <w:sz w:val="22"/>
          <w:szCs w:val="22"/>
        </w:rPr>
        <w:t xml:space="preserve">The platform's API performs pre-flight checks: FYERS token validity, kill-switch state, drawdown block state, duplicate-in-flight detection.</w:t>
      </w:r>
    </w:p>
    <w:p>
      <w:pPr>
        <w:pStyle w:val="ListParagraph"/>
        <w:numPr>
          <w:ilvl w:val="0"/>
          <w:numId w:val="2"/>
        </w:numPr>
        <w:spacing w:after="100" w:before="0"/>
      </w:pPr>
      <w:r>
        <w:rPr>
          <w:rFonts w:ascii="Arial" w:cs="Arial" w:eastAsia="Arial" w:hAnsi="Arial"/>
          <w:color w:val="2C3E50"/>
          <w:sz w:val="22"/>
          <w:szCs w:val="22"/>
        </w:rPr>
        <w:t xml:space="preserve">If checks pass, a modal opens in the user's browser showing: action type, symbol, RME-recommended quantity, estimated fill value at last quoted price, RME stop level, and portfolio heat before and after.</w:t>
      </w:r>
    </w:p>
    <w:p>
      <w:pPr>
        <w:pStyle w:val="ListParagraph"/>
        <w:numPr>
          <w:ilvl w:val="0"/>
          <w:numId w:val="2"/>
        </w:numPr>
        <w:spacing w:after="100" w:before="0"/>
      </w:pPr>
      <w:r>
        <w:rPr>
          <w:rFonts w:ascii="Arial" w:cs="Arial" w:eastAsia="Arial" w:hAnsi="Arial"/>
          <w:color w:val="2C3E50"/>
          <w:sz w:val="22"/>
          <w:szCs w:val="22"/>
        </w:rPr>
        <w:t xml:space="preserve">Non-blocking warnings are shown where applicable (price deviation, heat approaching limit, drawdown-adjusted sizing).</w:t>
      </w:r>
    </w:p>
    <w:p>
      <w:pPr>
        <w:pStyle w:val="ListParagraph"/>
        <w:numPr>
          <w:ilvl w:val="0"/>
          <w:numId w:val="2"/>
        </w:numPr>
        <w:spacing w:after="100" w:before="0"/>
      </w:pPr>
      <w:r>
        <w:rPr>
          <w:rFonts w:ascii="Arial" w:cs="Arial" w:eastAsia="Arial" w:hAnsi="Arial"/>
          <w:color w:val="2C3E50"/>
          <w:sz w:val="22"/>
          <w:szCs w:val="22"/>
        </w:rPr>
        <w:t xml:space="preserve">The user may adjust the quantity and order type (Market or Limit). All values recalculate in real time.</w:t>
      </w:r>
    </w:p>
    <w:p>
      <w:pPr>
        <w:pStyle w:val="ListParagraph"/>
        <w:numPr>
          <w:ilvl w:val="0"/>
          <w:numId w:val="2"/>
        </w:numPr>
        <w:spacing w:after="100" w:before="0"/>
      </w:pPr>
      <w:r>
        <w:rPr>
          <w:rFonts w:ascii="Arial" w:cs="Arial" w:eastAsia="Arial" w:hAnsi="Arial"/>
          <w:color w:val="2C3E50"/>
          <w:sz w:val="22"/>
          <w:szCs w:val="22"/>
        </w:rPr>
        <w:t xml:space="preserve">The user clicks Confirm. The platform assembles the final order parameters: symbol, CNC product type, quantity, order type, limit price if applicable, transaction type BUY or SELL.</w:t>
      </w:r>
    </w:p>
    <w:p>
      <w:pPr>
        <w:spacing w:after="80" w:before="0"/>
      </w:pPr>
      <w:r>
        <w:t xml:space="preserve"/>
      </w:r>
    </w:p>
    <w:p>
      <w:pPr>
        <w:spacing w:after="80" w:before="200"/>
      </w:pPr>
      <w:r>
        <w:rPr>
          <w:rFonts w:ascii="Arial" w:cs="Arial" w:eastAsia="Arial" w:hAnsi="Arial"/>
          <w:b/>
          <w:bCs/>
          <w:color w:val="1A3A5C"/>
          <w:sz w:val="22"/>
          <w:szCs w:val="22"/>
        </w:rPr>
        <w:t xml:space="preserve">Phase 2 — FYERS API Connect JS widget (runs on FYERS servers, presented to user)</w:t>
      </w:r>
    </w:p>
    <w:p>
      <w:pPr>
        <w:pStyle w:val="ListParagraph"/>
        <w:numPr>
          <w:ilvl w:val="0"/>
          <w:numId w:val="2"/>
        </w:numPr>
        <w:spacing w:after="100" w:before="0"/>
      </w:pPr>
      <w:r>
        <w:rPr>
          <w:rFonts w:ascii="Arial" w:cs="Arial" w:eastAsia="Arial" w:hAnsi="Arial"/>
          <w:color w:val="2C3E50"/>
          <w:sz w:val="22"/>
          <w:szCs w:val="22"/>
        </w:rPr>
        <w:t xml:space="preserve">The platform invokes the FYERS API Connect JS widget (fyers-lib.js), passing the order parameters as attributes.</w:t>
      </w:r>
    </w:p>
    <w:p>
      <w:pPr>
        <w:pStyle w:val="ListParagraph"/>
        <w:numPr>
          <w:ilvl w:val="0"/>
          <w:numId w:val="2"/>
        </w:numPr>
        <w:spacing w:after="100" w:before="0"/>
      </w:pPr>
      <w:r>
        <w:rPr>
          <w:rFonts w:ascii="Arial" w:cs="Arial" w:eastAsia="Arial" w:hAnsi="Arial"/>
          <w:color w:val="2C3E50"/>
          <w:sz w:val="22"/>
          <w:szCs w:val="22"/>
        </w:rPr>
        <w:t xml:space="preserve">A FYERS-hosted pop-up window opens in the user's browser.</w:t>
      </w:r>
    </w:p>
    <w:p>
      <w:pPr>
        <w:pStyle w:val="ListParagraph"/>
        <w:numPr>
          <w:ilvl w:val="0"/>
          <w:numId w:val="2"/>
        </w:numPr>
        <w:spacing w:after="100" w:before="0"/>
      </w:pPr>
      <w:r>
        <w:rPr>
          <w:rFonts w:ascii="Arial" w:cs="Arial" w:eastAsia="Arial" w:hAnsi="Arial"/>
          <w:color w:val="2C3E50"/>
          <w:sz w:val="22"/>
          <w:szCs w:val="22"/>
        </w:rPr>
        <w:t xml:space="preserve">FYERS handles inside their own UI: user auth re-verification, exchange window validation, final input review, and submission to the exchange.</w:t>
      </w:r>
    </w:p>
    <w:p>
      <w:pPr>
        <w:pStyle w:val="ListParagraph"/>
        <w:numPr>
          <w:ilvl w:val="0"/>
          <w:numId w:val="2"/>
        </w:numPr>
        <w:spacing w:after="100" w:before="0"/>
      </w:pPr>
      <w:r>
        <w:rPr>
          <w:rFonts w:ascii="Arial" w:cs="Arial" w:eastAsia="Arial" w:hAnsi="Arial"/>
          <w:color w:val="2C3E50"/>
          <w:sz w:val="22"/>
          <w:szCs w:val="22"/>
        </w:rPr>
        <w:t xml:space="preserve">The platform does not see, intercept, or modify any step within the FYERS pop-up.</w:t>
      </w:r>
    </w:p>
    <w:p>
      <w:pPr>
        <w:pStyle w:val="ListParagraph"/>
        <w:numPr>
          <w:ilvl w:val="0"/>
          <w:numId w:val="2"/>
        </w:numPr>
        <w:spacing w:after="100" w:before="0"/>
      </w:pPr>
      <w:r>
        <w:rPr>
          <w:rFonts w:ascii="Arial" w:cs="Arial" w:eastAsia="Arial" w:hAnsi="Arial"/>
          <w:color w:val="2C3E50"/>
          <w:sz w:val="22"/>
          <w:szCs w:val="22"/>
        </w:rPr>
        <w:t xml:space="preserve">The platform backend never calls the FYERS order placement REST API (POST /orders/sync or equivalent) at any point.</w:t>
      </w:r>
    </w:p>
    <w:p>
      <w:pPr>
        <w:pStyle w:val="ListParagraph"/>
        <w:numPr>
          <w:ilvl w:val="0"/>
          <w:numId w:val="2"/>
        </w:numPr>
        <w:spacing w:after="100" w:before="0"/>
      </w:pPr>
      <w:r>
        <w:rPr>
          <w:rFonts w:ascii="Arial" w:cs="Arial" w:eastAsia="Arial" w:hAnsi="Arial"/>
          <w:color w:val="2C3E50"/>
          <w:sz w:val="22"/>
          <w:szCs w:val="22"/>
        </w:rPr>
        <w:t xml:space="preserve">The FYERS widget returns a finished callback to the platform's frontend JavaScript. On success, the platform records the returned FYERS order ID and notifies the user.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4F0" w:val="clear"/>
            <w:tcMar>
              <w:top w:type="dxa" w:w="120"/>
              <w:left w:type="dxa" w:w="160"/>
              <w:bottom w:type="dxa" w:w="120"/>
              <w:right w:type="dxa" w:w="120"/>
            </w:tcMar>
            <w:vAlign w:val="top"/>
          </w:tcPr>
          <w:p>
            <w:r>
              <w:rPr>
                <w:rFonts w:ascii="Arial" w:cs="Arial" w:eastAsia="Arial" w:hAnsi="Arial"/>
                <w:b/>
                <w:bCs/>
                <w:color w:val="1A3A5C"/>
                <w:sz w:val="20"/>
                <w:szCs w:val="20"/>
              </w:rPr>
              <w:t xml:space="preserve">KEY FACT</w:t>
            </w:r>
          </w:p>
        </w:tc>
        <w:tc>
          <w:tcPr>
            <w:tcW w:type="dxa" w:w="8160"/>
            <w:tcBorders>
              <w:top w:val="none" w:color="FFFFFF" w:sz="0"/>
              <w:left w:val="none" w:color="FFFFFF" w:sz="0"/>
              <w:bottom w:val="none" w:color="FFFFFF" w:sz="0"/>
              <w:right w:val="none" w:color="FFFFFF" w:sz="0"/>
            </w:tcBorders>
            <w:shd w:fill="D6E4F0" w:val="clear"/>
            <w:tcMar>
              <w:top w:type="dxa" w:w="120"/>
              <w:left w:type="dxa" w:w="120"/>
              <w:bottom w:type="dxa" w:w="120"/>
              <w:right w:type="dxa" w:w="160"/>
            </w:tcMar>
          </w:tcPr>
          <w:p>
            <w:pPr>
              <w:spacing w:after="80" w:before="0"/>
            </w:pPr>
            <w:r>
              <w:rPr>
                <w:rFonts w:ascii="Arial" w:cs="Arial" w:eastAsia="Arial" w:hAnsi="Arial"/>
                <w:color w:val="2C3E50"/>
                <w:sz w:val="20"/>
                <w:szCs w:val="20"/>
              </w:rPr>
              <w:t xml:space="preserve">The platform pre-populates order parameters (symbol, qty, type, price) based on RME advisory values and</w:t>
            </w:r>
          </w:p>
          <w:p>
            <w:pPr>
              <w:spacing w:after="80" w:before="0"/>
            </w:pPr>
            <w:r>
              <w:rPr>
                <w:rFonts w:ascii="Arial" w:cs="Arial" w:eastAsia="Arial" w:hAnsi="Arial"/>
                <w:color w:val="2C3E50"/>
                <w:sz w:val="20"/>
                <w:szCs w:val="20"/>
              </w:rPr>
              <w:t xml:space="preserve">passes them to the FYERS API Connect widget. The user sees these pre-filled values inside the FYERS pop-up</w:t>
            </w:r>
          </w:p>
          <w:p>
            <w:pPr>
              <w:spacing w:after="80" w:before="0"/>
            </w:pPr>
            <w:r>
              <w:rPr>
                <w:rFonts w:ascii="Arial" w:cs="Arial" w:eastAsia="Arial" w:hAnsi="Arial"/>
                <w:color w:val="2C3E50"/>
                <w:sz w:val="20"/>
                <w:szCs w:val="20"/>
              </w:rPr>
              <w:t xml:space="preserve">and must take a final confirmation action within FYERS's own hosted interface before any order is submitted.</w:t>
            </w:r>
          </w:p>
          <w:p>
            <w:pPr>
              <w:spacing w:after="80" w:before="0"/>
            </w:pPr>
            <w:r>
              <w:rPr>
                <w:rFonts w:ascii="Arial" w:cs="Arial" w:eastAsia="Arial" w:hAnsi="Arial"/>
                <w:color w:val="2C3E50"/>
                <w:sz w:val="20"/>
                <w:szCs w:val="20"/>
              </w:rPr>
              <w:t xml:space="preserve">The platform backend submits nothing to any exchange or broker API directly.</w:t>
            </w:r>
          </w:p>
        </w:tc>
      </w:tr>
    </w:tbl>
    <w:p>
      <w:pPr>
        <w:spacing w:after="120" w:before="0"/>
      </w:pPr>
      <w:r>
        <w:t xml:space="preserve"/>
      </w:r>
    </w:p>
    <w:p>
      <w:pPr>
        <w:pStyle w:val="Heading2"/>
        <w:spacing w:after="120" w:before="280"/>
      </w:pPr>
      <w:r>
        <w:rPr>
          <w:rFonts w:ascii="Arial" w:cs="Arial" w:eastAsia="Arial" w:hAnsi="Arial"/>
          <w:b/>
          <w:bCs/>
          <w:color w:val="1A3A5C"/>
          <w:sz w:val="24"/>
          <w:szCs w:val="24"/>
        </w:rPr>
        <w:t xml:space="preserve">2.3  FYERS app registration — current Phase A configuration</w:t>
      </w:r>
    </w:p>
    <w:p>
      <w:pPr>
        <w:pStyle w:val="ListParagraph"/>
        <w:numPr>
          <w:ilvl w:val="0"/>
          <w:numId w:val="2"/>
        </w:numPr>
        <w:spacing w:after="100" w:before="0"/>
      </w:pPr>
      <w:r>
        <w:rPr>
          <w:rFonts w:ascii="Arial" w:cs="Arial" w:eastAsia="Arial" w:hAnsi="Arial"/>
          <w:color w:val="2C3E50"/>
          <w:sz w:val="22"/>
          <w:szCs w:val="22"/>
        </w:rPr>
        <w:t xml:space="preserve">The platform uses a single shared FYERS API application registered by the admin (platform operator).</w:t>
      </w:r>
    </w:p>
    <w:p>
      <w:pPr>
        <w:pStyle w:val="ListParagraph"/>
        <w:numPr>
          <w:ilvl w:val="0"/>
          <w:numId w:val="2"/>
        </w:numPr>
        <w:spacing w:after="100" w:before="0"/>
      </w:pPr>
      <w:r>
        <w:rPr>
          <w:rFonts w:ascii="Arial" w:cs="Arial" w:eastAsia="Arial" w:hAnsi="Arial"/>
          <w:color w:val="2C3E50"/>
          <w:sz w:val="22"/>
          <w:szCs w:val="22"/>
        </w:rPr>
        <w:t xml:space="preserve">FYERS app type: algo trading app registration. This app type is used because the FYERS API Connect JS widget — which is required for the execution assistance flow — is only available to algo trading app registrations, not data-only app registrations.</w:t>
      </w:r>
    </w:p>
    <w:p>
      <w:pPr>
        <w:pStyle w:val="ListParagraph"/>
        <w:numPr>
          <w:ilvl w:val="0"/>
          <w:numId w:val="2"/>
        </w:numPr>
        <w:spacing w:after="100" w:before="0"/>
      </w:pPr>
      <w:r>
        <w:rPr>
          <w:rFonts w:ascii="Arial" w:cs="Arial" w:eastAsia="Arial" w:hAnsi="Arial"/>
          <w:color w:val="2C3E50"/>
          <w:sz w:val="22"/>
          <w:szCs w:val="22"/>
        </w:rPr>
        <w:t xml:space="preserve">In Phase A: the admin's personal FYERS algo trading app is used. This is acknowledged as a Phase A exception in the platform's legal posture requirements.</w:t>
      </w:r>
    </w:p>
    <w:p>
      <w:pPr>
        <w:pStyle w:val="ListParagraph"/>
        <w:numPr>
          <w:ilvl w:val="0"/>
          <w:numId w:val="2"/>
        </w:numPr>
        <w:spacing w:after="100" w:before="0"/>
      </w:pPr>
      <w:r>
        <w:rPr>
          <w:rFonts w:ascii="Arial" w:cs="Arial" w:eastAsia="Arial" w:hAnsi="Arial"/>
          <w:color w:val="2C3E50"/>
          <w:sz w:val="22"/>
          <w:szCs w:val="22"/>
        </w:rPr>
        <w:t xml:space="preserve">In Phase B (pre-commercial): the admin's personal app must be replaced with a commercial FYERS app registered in the platform's operating entity name. This is a hard Phase B gate.</w:t>
      </w:r>
    </w:p>
    <w:p>
      <w:pPr>
        <w:pStyle w:val="ListParagraph"/>
        <w:numPr>
          <w:ilvl w:val="0"/>
          <w:numId w:val="2"/>
        </w:numPr>
        <w:spacing w:after="100" w:before="0"/>
      </w:pPr>
      <w:r>
        <w:rPr>
          <w:rFonts w:ascii="Arial" w:cs="Arial" w:eastAsia="Arial" w:hAnsi="Arial"/>
          <w:color w:val="2C3E50"/>
          <w:sz w:val="22"/>
          <w:szCs w:val="22"/>
        </w:rPr>
        <w:t xml:space="preserve">Users do not register or manage their own FYERS API applications. They authenticate their individual FYERS brokerage accounts against the platform's shared FYERS API app using FYERS's OAuth flow.</w:t>
      </w:r>
    </w:p>
    <w:p>
      <w:pPr>
        <w:spacing w:after="120" w:before="0"/>
      </w:pPr>
      <w:r>
        <w:t xml:space="preserve"/>
      </w:r>
    </w:p>
    <w:p>
      <w:pPr>
        <w:pBdr>
          <w:bottom w:val="single" w:color="1A3A5C" w:sz="4" w:space="1"/>
        </w:pBdr>
        <w:spacing w:after="120" w:before="120"/>
      </w:pPr>
      <w:r>
        <w:t xml:space="preserve"/>
      </w:r>
    </w:p>
    <w:p>
      <w:pPr>
        <w:pStyle w:val="Heading1"/>
        <w:spacing w:after="160" w:before="360"/>
      </w:pPr>
      <w:r>
        <w:rPr>
          <w:rFonts w:ascii="Arial" w:cs="Arial" w:eastAsia="Arial" w:hAnsi="Arial"/>
          <w:b/>
          <w:bCs/>
          <w:color w:val="1A3A5C"/>
          <w:sz w:val="28"/>
          <w:szCs w:val="28"/>
        </w:rPr>
        <w:t xml:space="preserve">3. Questions Requiring Legal Opinion</w:t>
      </w:r>
    </w:p>
    <w:p>
      <w:pPr>
        <w:spacing w:after="160" w:before="0"/>
      </w:pPr>
      <w:r>
        <w:rPr>
          <w:rFonts w:ascii="Arial" w:cs="Arial" w:eastAsia="Arial" w:hAnsi="Arial"/>
          <w:color w:val="2C3E50"/>
          <w:sz w:val="22"/>
          <w:szCs w:val="22"/>
        </w:rPr>
        <w:t xml:space="preserve">The following questions require a written legal opinion from a qualified SEBI-registered fintech lawyer before the platform proceeds to onboard any user beyond the admin. Each question identifies the specific regulatory instrument whose applicability is in question.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A3A5C" w:val="clear"/>
            <w:tcMar>
              <w:top w:type="dxa" w:w="120"/>
              <w:left w:type="dxa" w:w="120"/>
              <w:bottom w:type="dxa" w:w="120"/>
              <w:right w:type="dxa" w:w="120"/>
            </w:tcMar>
            <w:vAlign w:val="top"/>
          </w:tcPr>
          <w:p>
            <w:pPr>
              <w:jc w:val="center"/>
            </w:pPr>
            <w:r>
              <w:rPr>
                <w:rFonts w:ascii="Arial" w:cs="Arial" w:eastAsia="Arial" w:hAnsi="Arial"/>
                <w:b/>
                <w:bCs/>
                <w:color w:val="FFFFFF"/>
                <w:sz w:val="22"/>
                <w:szCs w:val="22"/>
              </w:rPr>
              <w:t xml:space="preserve">Q1</w:t>
            </w:r>
          </w:p>
        </w:tc>
        <w:tc>
          <w:tcPr>
            <w:tcW w:type="dxa" w:w="8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20"/>
            </w:tcMar>
          </w:tcPr>
          <w:p>
            <w:pPr>
              <w:spacing w:after="80" w:before="0"/>
            </w:pPr>
            <w:r>
              <w:rPr>
                <w:rFonts w:ascii="Arial" w:cs="Arial" w:eastAsia="Arial" w:hAnsi="Arial"/>
                <w:b/>
                <w:bCs/>
                <w:color w:val="2C3E50"/>
                <w:sz w:val="22"/>
                <w:szCs w:val="22"/>
              </w:rPr>
              <w:t xml:space="preserve">Does the use of the FYERS API Connect JS widget with pre-populated order parameters constitute 'algorithmic trading' under applicable SEBI and NSE regulations?</w:t>
            </w:r>
          </w:p>
          <w:p>
            <w:pPr>
              <w:spacing w:after="0" w:before="0"/>
            </w:pPr>
            <w:r>
              <w:rPr>
                <w:rFonts w:ascii="Arial" w:cs="Arial" w:eastAsia="Arial" w:hAnsi="Arial"/>
                <w:i/>
                <w:iCs/>
                <w:color w:val="7F8C8D"/>
                <w:sz w:val="20"/>
                <w:szCs w:val="20"/>
              </w:rPr>
              <w:t xml:space="preserve">Relevant instruments: SEBI Circular SEBI/HO/MRD/DP/CIR/P/2020/229 (framework for algorithmic trading); NSE Circular NSE/COMP/0007/2012. The platform pre-populates symbol, quantity, order type, and limit price from RME advisory values. The user sees these parameters inside the FYERS-hosted pop-up and must take a manual confirmation action before any order is submitted. The platform backend never calls the FYERS order REST API. Does this mechanism, taken as a whole, fall within the definition of algorithmic trading as specified in the above instruments?</w:t>
            </w:r>
          </w:p>
        </w:tc>
      </w:tr>
      <w:tr>
        <w:tc>
          <w:tcPr>
            <w:tcW w:type="dxa" w:w="560"/>
            <w:tcBorders>
              <w:top w:val="single" w:color="CCCCCC" w:sz="1"/>
              <w:left w:val="single" w:color="CCCCCC" w:sz="1"/>
              <w:bottom w:val="single" w:color="CCCCCC" w:sz="1"/>
              <w:right w:val="single" w:color="CCCCCC" w:sz="1"/>
            </w:tcBorders>
            <w:shd w:fill="1A3A5C" w:val="clear"/>
            <w:tcMar>
              <w:top w:type="dxa" w:w="120"/>
              <w:left w:type="dxa" w:w="120"/>
              <w:bottom w:type="dxa" w:w="120"/>
              <w:right w:type="dxa" w:w="120"/>
            </w:tcMar>
            <w:vAlign w:val="top"/>
          </w:tcPr>
          <w:p>
            <w:pPr>
              <w:jc w:val="center"/>
            </w:pPr>
            <w:r>
              <w:rPr>
                <w:rFonts w:ascii="Arial" w:cs="Arial" w:eastAsia="Arial" w:hAnsi="Arial"/>
                <w:b/>
                <w:bCs/>
                <w:color w:val="FFFFFF"/>
                <w:sz w:val="22"/>
                <w:szCs w:val="22"/>
              </w:rPr>
              <w:t xml:space="preserve">Q2</w:t>
            </w:r>
          </w:p>
        </w:tc>
        <w:tc>
          <w:tcPr>
            <w:tcW w:type="dxa" w:w="8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20"/>
            </w:tcMar>
          </w:tcPr>
          <w:p>
            <w:pPr>
              <w:spacing w:after="80" w:before="0"/>
            </w:pPr>
            <w:r>
              <w:rPr>
                <w:rFonts w:ascii="Arial" w:cs="Arial" w:eastAsia="Arial" w:hAnsi="Arial"/>
                <w:b/>
                <w:bCs/>
                <w:color w:val="2C3E50"/>
                <w:sz w:val="22"/>
                <w:szCs w:val="22"/>
              </w:rPr>
              <w:t xml:space="preserve">Does the API Connect widget flow, as described, require the platform operator to register as an Algorithmic Trading Service Provider (ATSP) or obtain a separate SEBI/exchange registration beyond standard broker-client agreements?</w:t>
            </w:r>
          </w:p>
          <w:p>
            <w:pPr>
              <w:spacing w:after="0" w:before="0"/>
            </w:pPr>
            <w:r>
              <w:rPr>
                <w:rFonts w:ascii="Arial" w:cs="Arial" w:eastAsia="Arial" w:hAnsi="Arial"/>
                <w:i/>
                <w:iCs/>
                <w:color w:val="7F8C8D"/>
                <w:sz w:val="20"/>
                <w:szCs w:val="20"/>
              </w:rPr>
              <w:t xml:space="preserve">Relevant instruments: SEBI Circular dated April 9, 2025 on algorithmic trading by retail investors; NSE/BSE guidelines on API-based order placement. If the answer to Q1 is that the flow does NOT constitute algo trading, please confirm what registration category (if any) it does fall under.</w:t>
            </w:r>
          </w:p>
        </w:tc>
      </w:tr>
      <w:tr>
        <w:tc>
          <w:tcPr>
            <w:tcW w:type="dxa" w:w="560"/>
            <w:tcBorders>
              <w:top w:val="single" w:color="CCCCCC" w:sz="1"/>
              <w:left w:val="single" w:color="CCCCCC" w:sz="1"/>
              <w:bottom w:val="single" w:color="CCCCCC" w:sz="1"/>
              <w:right w:val="single" w:color="CCCCCC" w:sz="1"/>
            </w:tcBorders>
            <w:shd w:fill="1A3A5C" w:val="clear"/>
            <w:tcMar>
              <w:top w:type="dxa" w:w="120"/>
              <w:left w:type="dxa" w:w="120"/>
              <w:bottom w:type="dxa" w:w="120"/>
              <w:right w:type="dxa" w:w="120"/>
            </w:tcMar>
            <w:vAlign w:val="top"/>
          </w:tcPr>
          <w:p>
            <w:pPr>
              <w:jc w:val="center"/>
            </w:pPr>
            <w:r>
              <w:rPr>
                <w:rFonts w:ascii="Arial" w:cs="Arial" w:eastAsia="Arial" w:hAnsi="Arial"/>
                <w:b/>
                <w:bCs/>
                <w:color w:val="FFFFFF"/>
                <w:sz w:val="22"/>
                <w:szCs w:val="22"/>
              </w:rPr>
              <w:t xml:space="preserve">Q3</w:t>
            </w:r>
          </w:p>
        </w:tc>
        <w:tc>
          <w:tcPr>
            <w:tcW w:type="dxa" w:w="8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20"/>
            </w:tcMar>
          </w:tcPr>
          <w:p>
            <w:pPr>
              <w:spacing w:after="80" w:before="0"/>
            </w:pPr>
            <w:r>
              <w:rPr>
                <w:rFonts w:ascii="Arial" w:cs="Arial" w:eastAsia="Arial" w:hAnsi="Arial"/>
                <w:b/>
                <w:bCs/>
                <w:color w:val="2C3E50"/>
                <w:sz w:val="22"/>
                <w:szCs w:val="22"/>
              </w:rPr>
              <w:t xml:space="preserve">What is the correct SEBI registration category for the platform as described in Section 1 — Research Analyst (RA), Investment Adviser (IA), or neither?</w:t>
            </w:r>
          </w:p>
          <w:p>
            <w:pPr>
              <w:spacing w:after="0" w:before="0"/>
            </w:pPr>
            <w:r>
              <w:rPr>
                <w:rFonts w:ascii="Arial" w:cs="Arial" w:eastAsia="Arial" w:hAnsi="Arial"/>
                <w:i/>
                <w:iCs/>
                <w:color w:val="7F8C8D"/>
                <w:sz w:val="20"/>
                <w:szCs w:val="20"/>
              </w:rPr>
              <w:t xml:space="preserve">Relevant instruments: SEBI (Research Analysts) Regulations, 2014; SEBI (Investment Advisers) Regulations, 2013. The platform generates post-market entry signals from user-configured scans, delivers them to the subscribing user only, uses self-directed language, and does not publish research reports or provide advice across users. It does not charge fees in Phase A. Does this activity require RA or IA registration, or does it fall outside both categories? If RA registration is required, please advise whether the individual registration path (NISM Series XV + minimum net worth) or the corporate registration path is more appropriate for a bootstrapped Phase A platform.</w:t>
            </w:r>
          </w:p>
        </w:tc>
      </w:tr>
      <w:tr>
        <w:tc>
          <w:tcPr>
            <w:tcW w:type="dxa" w:w="560"/>
            <w:tcBorders>
              <w:top w:val="single" w:color="CCCCCC" w:sz="1"/>
              <w:left w:val="single" w:color="CCCCCC" w:sz="1"/>
              <w:bottom w:val="single" w:color="CCCCCC" w:sz="1"/>
              <w:right w:val="single" w:color="CCCCCC" w:sz="1"/>
            </w:tcBorders>
            <w:shd w:fill="1A3A5C" w:val="clear"/>
            <w:tcMar>
              <w:top w:type="dxa" w:w="120"/>
              <w:left w:type="dxa" w:w="120"/>
              <w:bottom w:type="dxa" w:w="120"/>
              <w:right w:type="dxa" w:w="120"/>
            </w:tcMar>
            <w:vAlign w:val="top"/>
          </w:tcPr>
          <w:p>
            <w:pPr>
              <w:jc w:val="center"/>
            </w:pPr>
            <w:r>
              <w:rPr>
                <w:rFonts w:ascii="Arial" w:cs="Arial" w:eastAsia="Arial" w:hAnsi="Arial"/>
                <w:b/>
                <w:bCs/>
                <w:color w:val="FFFFFF"/>
                <w:sz w:val="22"/>
                <w:szCs w:val="22"/>
              </w:rPr>
              <w:t xml:space="preserve">Q4</w:t>
            </w:r>
          </w:p>
        </w:tc>
        <w:tc>
          <w:tcPr>
            <w:tcW w:type="dxa" w:w="8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20"/>
            </w:tcMar>
          </w:tcPr>
          <w:p>
            <w:pPr>
              <w:spacing w:after="80" w:before="0"/>
            </w:pPr>
            <w:r>
              <w:rPr>
                <w:rFonts w:ascii="Arial" w:cs="Arial" w:eastAsia="Arial" w:hAnsi="Arial"/>
                <w:b/>
                <w:bCs/>
                <w:color w:val="2C3E50"/>
                <w:sz w:val="22"/>
                <w:szCs w:val="22"/>
              </w:rPr>
              <w:t xml:space="preserve">Is the use of the admin's personal FYERS algo trading app registration to serve Phase A testers (maximum 30) lawful under FYERS's own developer terms and under any applicable SEBI/NSE regulation?</w:t>
            </w:r>
          </w:p>
          <w:p>
            <w:pPr>
              <w:spacing w:after="0" w:before="0"/>
            </w:pPr>
            <w:r>
              <w:rPr>
                <w:rFonts w:ascii="Arial" w:cs="Arial" w:eastAsia="Arial" w:hAnsi="Arial"/>
                <w:i/>
                <w:iCs/>
                <w:color w:val="7F8C8D"/>
                <w:sz w:val="20"/>
                <w:szCs w:val="20"/>
              </w:rPr>
              <w:t xml:space="preserve">The platform's FYERS app is registered under the admin's personal FYERS account, not under a business entity. Up to 30 invite-only testers would use the platform's execution assistance flow (via the API Connect widget) while the platform is in this personal-app state. Is there a FYERS developer terms provision, a SEBI instrument, or an NSE rule that prohibits or restricts this usage? If so, what is the earliest point at which the commercial app replacement must be in place?</w:t>
            </w:r>
          </w:p>
        </w:tc>
      </w:tr>
      <w:tr>
        <w:tc>
          <w:tcPr>
            <w:tcW w:type="dxa" w:w="560"/>
            <w:tcBorders>
              <w:top w:val="single" w:color="CCCCCC" w:sz="1"/>
              <w:left w:val="single" w:color="CCCCCC" w:sz="1"/>
              <w:bottom w:val="single" w:color="CCCCCC" w:sz="1"/>
              <w:right w:val="single" w:color="CCCCCC" w:sz="1"/>
            </w:tcBorders>
            <w:shd w:fill="1A3A5C" w:val="clear"/>
            <w:tcMar>
              <w:top w:type="dxa" w:w="120"/>
              <w:left w:type="dxa" w:w="120"/>
              <w:bottom w:type="dxa" w:w="120"/>
              <w:right w:type="dxa" w:w="120"/>
            </w:tcMar>
            <w:vAlign w:val="top"/>
          </w:tcPr>
          <w:p>
            <w:pPr>
              <w:jc w:val="center"/>
            </w:pPr>
            <w:r>
              <w:rPr>
                <w:rFonts w:ascii="Arial" w:cs="Arial" w:eastAsia="Arial" w:hAnsi="Arial"/>
                <w:b/>
                <w:bCs/>
                <w:color w:val="FFFFFF"/>
                <w:sz w:val="22"/>
                <w:szCs w:val="22"/>
              </w:rPr>
              <w:t xml:space="preserve">Q5</w:t>
            </w:r>
          </w:p>
        </w:tc>
        <w:tc>
          <w:tcPr>
            <w:tcW w:type="dxa" w:w="8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20"/>
            </w:tcMar>
          </w:tcPr>
          <w:p>
            <w:pPr>
              <w:spacing w:after="80" w:before="0"/>
            </w:pPr>
            <w:r>
              <w:rPr>
                <w:rFonts w:ascii="Arial" w:cs="Arial" w:eastAsia="Arial" w:hAnsi="Arial"/>
                <w:b/>
                <w:bCs/>
                <w:color w:val="2C3E50"/>
                <w:sz w:val="22"/>
                <w:szCs w:val="22"/>
              </w:rPr>
              <w:t xml:space="preserve">Is the platform's advisory output (entry signals, stop levels, add and reduce advisories) lawful for delivery to Phase A testers under current regulations, given that the platform is not yet registered with SEBI?</w:t>
            </w:r>
          </w:p>
          <w:p>
            <w:pPr>
              <w:spacing w:after="0" w:before="0"/>
            </w:pPr>
            <w:r>
              <w:rPr>
                <w:rFonts w:ascii="Arial" w:cs="Arial" w:eastAsia="Arial" w:hAnsi="Arial"/>
                <w:i/>
                <w:iCs/>
                <w:color w:val="7F8C8D"/>
                <w:sz w:val="20"/>
                <w:szCs w:val="20"/>
              </w:rPr>
              <w:t xml:space="preserve">The platform's acknowledgement screen and all user-facing content state that: the platform is in private evaluation and is not registered with SEBI; all outputs are tools-generated information derived from the user's own configured scans; the user is the sole decision-maker and self-directs all trades. Is this disclaimer and operating model sufficient for unregistered Phase A delivery to 30 invite-only testers? What is the latest point at which SEBI registration must be in place before this delivery becomes unlawful?</w:t>
            </w:r>
          </w:p>
        </w:tc>
      </w:tr>
      <w:tr>
        <w:tc>
          <w:tcPr>
            <w:tcW w:type="dxa" w:w="560"/>
            <w:tcBorders>
              <w:top w:val="single" w:color="CCCCCC" w:sz="1"/>
              <w:left w:val="single" w:color="CCCCCC" w:sz="1"/>
              <w:bottom w:val="single" w:color="CCCCCC" w:sz="1"/>
              <w:right w:val="single" w:color="CCCCCC" w:sz="1"/>
            </w:tcBorders>
            <w:shd w:fill="1A3A5C" w:val="clear"/>
            <w:tcMar>
              <w:top w:type="dxa" w:w="120"/>
              <w:left w:type="dxa" w:w="120"/>
              <w:bottom w:type="dxa" w:w="120"/>
              <w:right w:type="dxa" w:w="120"/>
            </w:tcMar>
            <w:vAlign w:val="top"/>
          </w:tcPr>
          <w:p>
            <w:pPr>
              <w:jc w:val="center"/>
            </w:pPr>
            <w:r>
              <w:rPr>
                <w:rFonts w:ascii="Arial" w:cs="Arial" w:eastAsia="Arial" w:hAnsi="Arial"/>
                <w:b/>
                <w:bCs/>
                <w:color w:val="FFFFFF"/>
                <w:sz w:val="22"/>
                <w:szCs w:val="22"/>
              </w:rPr>
              <w:t xml:space="preserve">Q6</w:t>
            </w:r>
          </w:p>
        </w:tc>
        <w:tc>
          <w:tcPr>
            <w:tcW w:type="dxa" w:w="8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20"/>
            </w:tcMar>
          </w:tcPr>
          <w:p>
            <w:pPr>
              <w:spacing w:after="80" w:before="0"/>
            </w:pPr>
            <w:r>
              <w:rPr>
                <w:rFonts w:ascii="Arial" w:cs="Arial" w:eastAsia="Arial" w:hAnsi="Arial"/>
                <w:b/>
                <w:bCs/>
                <w:color w:val="2C3E50"/>
                <w:sz w:val="22"/>
                <w:szCs w:val="22"/>
              </w:rPr>
              <w:t xml:space="preserve">Are there any DPDP Act 2023 obligations specific to financial data processing that the platform's current privacy architecture does not satisfy?</w:t>
            </w:r>
          </w:p>
          <w:p>
            <w:pPr>
              <w:spacing w:after="0" w:before="0"/>
            </w:pPr>
            <w:r>
              <w:rPr>
                <w:rFonts w:ascii="Arial" w:cs="Arial" w:eastAsia="Arial" w:hAnsi="Arial"/>
                <w:i/>
                <w:iCs/>
                <w:color w:val="7F8C8D"/>
                <w:sz w:val="20"/>
                <w:szCs w:val="20"/>
              </w:rPr>
              <w:t xml:space="preserve">The platform processes: FYERS OAuth tokens and brokerage account data; trade history, positions, and holdings synced from FYERS; RME-generated advisory data derived from portfolio state; Telegram chat IDs for notification delivery. All data is stored in Azure India regions (Central India primary, South India secondary). The platform has a grievance officer, a versioned privacy notice, and an internal RoPA. Are there additional DPDP obligations for financial data processors that are not captured by the general DPDP compliance framework already documented?</w:t>
            </w:r>
          </w:p>
        </w:tc>
      </w:tr>
      <w:tr>
        <w:tc>
          <w:tcPr>
            <w:tcW w:type="dxa" w:w="560"/>
            <w:tcBorders>
              <w:top w:val="single" w:color="CCCCCC" w:sz="1"/>
              <w:left w:val="single" w:color="CCCCCC" w:sz="1"/>
              <w:bottom w:val="single" w:color="CCCCCC" w:sz="1"/>
              <w:right w:val="single" w:color="CCCCCC" w:sz="1"/>
            </w:tcBorders>
            <w:shd w:fill="1A3A5C" w:val="clear"/>
            <w:tcMar>
              <w:top w:type="dxa" w:w="120"/>
              <w:left w:type="dxa" w:w="120"/>
              <w:bottom w:type="dxa" w:w="120"/>
              <w:right w:type="dxa" w:w="120"/>
            </w:tcMar>
            <w:vAlign w:val="top"/>
          </w:tcPr>
          <w:p>
            <w:pPr>
              <w:jc w:val="center"/>
            </w:pPr>
            <w:r>
              <w:rPr>
                <w:rFonts w:ascii="Arial" w:cs="Arial" w:eastAsia="Arial" w:hAnsi="Arial"/>
                <w:b/>
                <w:bCs/>
                <w:color w:val="FFFFFF"/>
                <w:sz w:val="22"/>
                <w:szCs w:val="22"/>
              </w:rPr>
              <w:t xml:space="preserve">Q7</w:t>
            </w:r>
          </w:p>
        </w:tc>
        <w:tc>
          <w:tcPr>
            <w:tcW w:type="dxa" w:w="8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20"/>
            </w:tcMar>
          </w:tcPr>
          <w:p>
            <w:pPr>
              <w:spacing w:after="80" w:before="0"/>
            </w:pPr>
            <w:r>
              <w:rPr>
                <w:rFonts w:ascii="Arial" w:cs="Arial" w:eastAsia="Arial" w:hAnsi="Arial"/>
                <w:b/>
                <w:bCs/>
                <w:color w:val="2C3E50"/>
                <w:sz w:val="22"/>
                <w:szCs w:val="22"/>
              </w:rPr>
              <w:t xml:space="preserve">What is the minimum set of legal documents that must be in place before the first Phase A tester (beyond the admin) is onboarded — and are the platform's current documents (tester acknowledgement, Terms of Service, Privacy Policy, and short and long disclaimers) sufficient in form and content?</w:t>
            </w:r>
          </w:p>
          <w:p>
            <w:pPr>
              <w:spacing w:after="0" w:before="0"/>
            </w:pPr>
            <w:r>
              <w:rPr>
                <w:rFonts w:ascii="Arial" w:cs="Arial" w:eastAsia="Arial" w:hAnsi="Arial"/>
                <w:i/>
                <w:iCs/>
                <w:color w:val="7F8C8D"/>
                <w:sz w:val="20"/>
                <w:szCs w:val="20"/>
              </w:rPr>
              <w:t xml:space="preserve">Please review the platform's draft legal documents (to be provided separately) and confirm: (a) whether the tester acknowledgement adequately covers the advisory-only, unregistered-SEBI, self-directed-user posture; (b) whether the Terms of Service and Privacy Policy are sufficient for Phase A; (c) whether any document is missing that is legally required before the first tester is onboarded.</w:t>
            </w:r>
          </w:p>
        </w:tc>
      </w:tr>
    </w:tbl>
    <w:p>
      <w:pPr>
        <w:spacing w:after="120" w:before="0"/>
      </w:pPr>
      <w:r>
        <w:t xml:space="preserve"/>
      </w:r>
    </w:p>
    <w:p>
      <w:pPr>
        <w:pBdr>
          <w:bottom w:val="single" w:color="1A3A5C" w:sz="4" w:space="1"/>
        </w:pBdr>
        <w:spacing w:after="120" w:before="120"/>
      </w:pPr>
      <w:r>
        <w:t xml:space="preserve"/>
      </w:r>
    </w:p>
    <w:p>
      <w:pPr>
        <w:pStyle w:val="Heading1"/>
        <w:spacing w:after="160" w:before="360"/>
      </w:pPr>
      <w:r>
        <w:rPr>
          <w:rFonts w:ascii="Arial" w:cs="Arial" w:eastAsia="Arial" w:hAnsi="Arial"/>
          <w:b/>
          <w:bCs/>
          <w:color w:val="1A3A5C"/>
          <w:sz w:val="28"/>
          <w:szCs w:val="28"/>
        </w:rPr>
        <w:t xml:space="preserve">4. Information and Artefacts Provided for Review</w:t>
      </w:r>
    </w:p>
    <w:p>
      <w:pPr>
        <w:spacing w:after="160" w:before="0"/>
      </w:pPr>
      <w:r>
        <w:rPr>
          <w:rFonts w:ascii="Arial" w:cs="Arial" w:eastAsia="Arial" w:hAnsi="Arial"/>
          <w:color w:val="2C3E50"/>
          <w:sz w:val="22"/>
          <w:szCs w:val="22"/>
        </w:rPr>
        <w:t xml:space="preserve">The following documents and artefacts are provided alongside this query for the lawyer's review:</w:t>
      </w:r>
    </w:p>
    <w:p>
      <w:pPr>
        <w:pStyle w:val="ListParagraph"/>
        <w:numPr>
          <w:ilvl w:val="0"/>
          <w:numId w:val="3"/>
        </w:numPr>
        <w:spacing w:after="100" w:before="60"/>
      </w:pPr>
      <w:r>
        <w:rPr>
          <w:rFonts w:ascii="Arial" w:cs="Arial" w:eastAsia="Arial" w:hAnsi="Arial"/>
          <w:color w:val="2C3E50"/>
          <w:sz w:val="22"/>
          <w:szCs w:val="22"/>
        </w:rPr>
        <w:t xml:space="preserve">Platform requirements specification — the canonical source of truth for all platform features, operating phases, legal posture requirements, and user-facing language rules.</w:t>
      </w:r>
    </w:p>
    <w:p>
      <w:pPr>
        <w:pStyle w:val="ListParagraph"/>
        <w:numPr>
          <w:ilvl w:val="0"/>
          <w:numId w:val="3"/>
        </w:numPr>
        <w:spacing w:after="100" w:before="60"/>
      </w:pPr>
      <w:r>
        <w:rPr>
          <w:rFonts w:ascii="Arial" w:cs="Arial" w:eastAsia="Arial" w:hAnsi="Arial"/>
          <w:color w:val="2C3E50"/>
          <w:sz w:val="22"/>
          <w:szCs w:val="22"/>
        </w:rPr>
        <w:t xml:space="preserve">System architecture document — describes how the FYERS integration, RME, notification pipeline, and portfolio analytics interact.</w:t>
      </w:r>
    </w:p>
    <w:p>
      <w:pPr>
        <w:pStyle w:val="ListParagraph"/>
        <w:numPr>
          <w:ilvl w:val="0"/>
          <w:numId w:val="3"/>
        </w:numPr>
        <w:spacing w:after="100" w:before="60"/>
      </w:pPr>
      <w:r>
        <w:rPr>
          <w:rFonts w:ascii="Arial" w:cs="Arial" w:eastAsia="Arial" w:hAnsi="Arial"/>
          <w:color w:val="2C3E50"/>
          <w:sz w:val="22"/>
          <w:szCs w:val="22"/>
        </w:rPr>
        <w:t xml:space="preserve">Draft tester acknowledgement text (Phase A version) — the document every user must accept before accessing any protected feature.</w:t>
      </w:r>
    </w:p>
    <w:p>
      <w:pPr>
        <w:pStyle w:val="ListParagraph"/>
        <w:numPr>
          <w:ilvl w:val="0"/>
          <w:numId w:val="3"/>
        </w:numPr>
        <w:spacing w:after="100" w:before="60"/>
      </w:pPr>
      <w:r>
        <w:rPr>
          <w:rFonts w:ascii="Arial" w:cs="Arial" w:eastAsia="Arial" w:hAnsi="Arial"/>
          <w:color w:val="2C3E50"/>
          <w:sz w:val="22"/>
          <w:szCs w:val="22"/>
        </w:rPr>
        <w:t xml:space="preserve">Draft Terms of Service (Phase A version).</w:t>
      </w:r>
    </w:p>
    <w:p>
      <w:pPr>
        <w:pStyle w:val="ListParagraph"/>
        <w:numPr>
          <w:ilvl w:val="0"/>
          <w:numId w:val="3"/>
        </w:numPr>
        <w:spacing w:after="100" w:before="60"/>
      </w:pPr>
      <w:r>
        <w:rPr>
          <w:rFonts w:ascii="Arial" w:cs="Arial" w:eastAsia="Arial" w:hAnsi="Arial"/>
          <w:color w:val="2C3E50"/>
          <w:sz w:val="22"/>
          <w:szCs w:val="22"/>
        </w:rPr>
        <w:t xml:space="preserve">Draft Privacy Policy — includes the DPDP-aligned privacy notice, data categories, retention windows, and third-party processor list.</w:t>
      </w:r>
    </w:p>
    <w:p>
      <w:pPr>
        <w:pStyle w:val="ListParagraph"/>
        <w:numPr>
          <w:ilvl w:val="0"/>
          <w:numId w:val="3"/>
        </w:numPr>
        <w:spacing w:after="100" w:before="60"/>
      </w:pPr>
      <w:r>
        <w:rPr>
          <w:rFonts w:ascii="Arial" w:cs="Arial" w:eastAsia="Arial" w:hAnsi="Arial"/>
          <w:color w:val="2C3E50"/>
          <w:sz w:val="22"/>
          <w:szCs w:val="22"/>
        </w:rPr>
        <w:t xml:space="preserve">Internal Record of Processing Activities (RoPA) — covers data categories, purposes, lawful bases, third-party recipients, retention periods, and cross-border transfer disclosures.</w:t>
      </w:r>
    </w:p>
    <w:p>
      <w:pPr>
        <w:pStyle w:val="ListParagraph"/>
        <w:numPr>
          <w:ilvl w:val="0"/>
          <w:numId w:val="3"/>
        </w:numPr>
        <w:spacing w:after="100" w:before="60"/>
      </w:pPr>
      <w:r>
        <w:rPr>
          <w:rFonts w:ascii="Arial" w:cs="Arial" w:eastAsia="Arial" w:hAnsi="Arial"/>
          <w:color w:val="2C3E50"/>
          <w:sz w:val="22"/>
          <w:szCs w:val="22"/>
        </w:rPr>
        <w:t xml:space="preserve">Sample Telegram notification content — showing the self-directed language used in entry signal, stop alert, and advisory notifications, including the short-form disclaimer footer.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EF0E7" w:val="clear"/>
            <w:tcMar>
              <w:top w:type="dxa" w:w="120"/>
              <w:left w:type="dxa" w:w="160"/>
              <w:bottom w:type="dxa" w:w="120"/>
              <w:right w:type="dxa" w:w="120"/>
            </w:tcMar>
            <w:vAlign w:val="top"/>
          </w:tcPr>
          <w:p>
            <w:r>
              <w:rPr>
                <w:rFonts w:ascii="Arial" w:cs="Arial" w:eastAsia="Arial" w:hAnsi="Arial"/>
                <w:b/>
                <w:bCs/>
                <w:color w:val="E67E22"/>
                <w:sz w:val="20"/>
                <w:szCs w:val="20"/>
              </w:rPr>
              <w:t xml:space="preserve">NOTE</w:t>
            </w:r>
          </w:p>
        </w:tc>
        <w:tc>
          <w:tcPr>
            <w:tcW w:type="dxa" w:w="8160"/>
            <w:tcBorders>
              <w:top w:val="none" w:color="FFFFFF" w:sz="0"/>
              <w:left w:val="none" w:color="FFFFFF" w:sz="0"/>
              <w:bottom w:val="none" w:color="FFFFFF" w:sz="0"/>
              <w:right w:val="none" w:color="FFFFFF" w:sz="0"/>
            </w:tcBorders>
            <w:shd w:fill="FEF0E7" w:val="clear"/>
            <w:tcMar>
              <w:top w:type="dxa" w:w="120"/>
              <w:left w:type="dxa" w:w="120"/>
              <w:bottom w:type="dxa" w:w="120"/>
              <w:right w:type="dxa" w:w="160"/>
            </w:tcMar>
          </w:tcPr>
          <w:p>
            <w:pPr>
              <w:spacing w:after="80" w:before="0"/>
            </w:pPr>
            <w:r>
              <w:rPr>
                <w:rFonts w:ascii="Arial" w:cs="Arial" w:eastAsia="Arial" w:hAnsi="Arial"/>
                <w:color w:val="2C3E50"/>
                <w:sz w:val="20"/>
                <w:szCs w:val="20"/>
              </w:rPr>
              <w:t xml:space="preserve">Items 3–7 above are drafts. Where the lawyer's opinion requires changes to their content or structure,</w:t>
            </w:r>
          </w:p>
          <w:p>
            <w:pPr>
              <w:spacing w:after="80" w:before="0"/>
            </w:pPr>
            <w:r>
              <w:rPr>
                <w:rFonts w:ascii="Arial" w:cs="Arial" w:eastAsia="Arial" w:hAnsi="Arial"/>
                <w:color w:val="2C3E50"/>
                <w:sz w:val="20"/>
                <w:szCs w:val="20"/>
              </w:rPr>
              <w:t xml:space="preserve">the platform's documentation will be updated before any Phase A tester is onboarded.</w:t>
            </w:r>
          </w:p>
        </w:tc>
      </w:tr>
    </w:tbl>
    <w:p>
      <w:pPr>
        <w:spacing w:after="120" w:before="0"/>
      </w:pPr>
      <w:r>
        <w:t xml:space="preserve"/>
      </w:r>
    </w:p>
    <w:p>
      <w:pPr>
        <w:pBdr>
          <w:bottom w:val="single" w:color="1A3A5C" w:sz="4" w:space="1"/>
        </w:pBdr>
        <w:spacing w:after="120" w:before="120"/>
      </w:pPr>
      <w:r>
        <w:t xml:space="preserve"/>
      </w:r>
    </w:p>
    <w:p>
      <w:pPr>
        <w:pStyle w:val="Heading1"/>
        <w:spacing w:after="160" w:before="360"/>
      </w:pPr>
      <w:r>
        <w:rPr>
          <w:rFonts w:ascii="Arial" w:cs="Arial" w:eastAsia="Arial" w:hAnsi="Arial"/>
          <w:b/>
          <w:bCs/>
          <w:color w:val="1A3A5C"/>
          <w:sz w:val="28"/>
          <w:szCs w:val="28"/>
        </w:rPr>
        <w:t xml:space="preserve">5. Expected Deliverables from Legal Review</w:t>
      </w:r>
    </w:p>
    <w:p>
      <w:pPr>
        <w:spacing w:after="160" w:before="0"/>
      </w:pPr>
      <w:r>
        <w:rPr>
          <w:rFonts w:ascii="Arial" w:cs="Arial" w:eastAsia="Arial" w:hAnsi="Arial"/>
          <w:color w:val="2C3E50"/>
          <w:sz w:val="22"/>
          <w:szCs w:val="22"/>
        </w:rPr>
        <w:t xml:space="preserve">The platform operator requests the following deliverables, in writing, before proceeding to Phase A tester onboarding:</w:t>
      </w:r>
    </w:p>
    <w:p>
      <w:pPr>
        <w:pStyle w:val="ListParagraph"/>
        <w:numPr>
          <w:ilvl w:val="0"/>
          <w:numId w:val="3"/>
        </w:numPr>
        <w:spacing w:after="100" w:before="60"/>
      </w:pPr>
      <w:r>
        <w:rPr>
          <w:rFonts w:ascii="Arial" w:cs="Arial" w:eastAsia="Arial" w:hAnsi="Arial"/>
          <w:b/>
          <w:bCs/>
          <w:color w:val="2C3E50"/>
          <w:sz w:val="22"/>
          <w:szCs w:val="22"/>
        </w:rPr>
        <w:t xml:space="preserve">Written opinion</w:t>
      </w:r>
      <w:r>
        <w:rPr>
          <w:rFonts w:ascii="Arial" w:cs="Arial" w:eastAsia="Arial" w:hAnsi="Arial"/>
          <w:color w:val="2C3E50"/>
          <w:sz w:val="22"/>
          <w:szCs w:val="22"/>
        </w:rPr>
        <w:t xml:space="preserve"> on each of the seven questions in Section 3, with reference to the specific SEBI/NSE instruments, FYERS developer terms, or DPDP provisions applicable to each answer.</w:t>
      </w:r>
    </w:p>
    <w:p>
      <w:pPr>
        <w:pStyle w:val="ListParagraph"/>
        <w:numPr>
          <w:ilvl w:val="0"/>
          <w:numId w:val="3"/>
        </w:numPr>
        <w:spacing w:after="100" w:before="60"/>
      </w:pPr>
      <w:r>
        <w:rPr>
          <w:rFonts w:ascii="Arial" w:cs="Arial" w:eastAsia="Arial" w:hAnsi="Arial"/>
          <w:b/>
          <w:bCs/>
          <w:color w:val="2C3E50"/>
          <w:sz w:val="22"/>
          <w:szCs w:val="22"/>
        </w:rPr>
        <w:t xml:space="preserve">Recommended registration path</w:t>
      </w:r>
      <w:r>
        <w:rPr>
          <w:rFonts w:ascii="Arial" w:cs="Arial" w:eastAsia="Arial" w:hAnsi="Arial"/>
          <w:color w:val="2C3E50"/>
          <w:sz w:val="22"/>
          <w:szCs w:val="22"/>
        </w:rPr>
        <w:t xml:space="preserve"> — if SEBI registration is required, the recommended registration category, the timeline, key milestones, estimated cost, and the latest acceptable start date given the Phase A ceiling of 30 users and the platform's Phase B transition intent.</w:t>
      </w:r>
    </w:p>
    <w:p>
      <w:pPr>
        <w:pStyle w:val="ListParagraph"/>
        <w:numPr>
          <w:ilvl w:val="0"/>
          <w:numId w:val="3"/>
        </w:numPr>
        <w:spacing w:after="100" w:before="60"/>
      </w:pPr>
      <w:r>
        <w:rPr>
          <w:rFonts w:ascii="Arial" w:cs="Arial" w:eastAsia="Arial" w:hAnsi="Arial"/>
          <w:b/>
          <w:bCs/>
          <w:color w:val="2C3E50"/>
          <w:sz w:val="22"/>
          <w:szCs w:val="22"/>
        </w:rPr>
        <w:t xml:space="preserve">Document review outcome</w:t>
      </w:r>
      <w:r>
        <w:rPr>
          <w:rFonts w:ascii="Arial" w:cs="Arial" w:eastAsia="Arial" w:hAnsi="Arial"/>
          <w:color w:val="2C3E50"/>
          <w:sz w:val="22"/>
          <w:szCs w:val="22"/>
        </w:rPr>
        <w:t xml:space="preserve"> — a mark-up or summary of required changes to the tester acknowledgement, Terms of Service, Privacy Policy, and disclaimer documents provided in Section 4.</w:t>
      </w:r>
    </w:p>
    <w:p>
      <w:pPr>
        <w:pStyle w:val="ListParagraph"/>
        <w:numPr>
          <w:ilvl w:val="0"/>
          <w:numId w:val="3"/>
        </w:numPr>
        <w:spacing w:after="100" w:before="60"/>
      </w:pPr>
      <w:r>
        <w:rPr>
          <w:rFonts w:ascii="Arial" w:cs="Arial" w:eastAsia="Arial" w:hAnsi="Arial"/>
          <w:b/>
          <w:bCs/>
          <w:color w:val="2C3E50"/>
          <w:sz w:val="22"/>
          <w:szCs w:val="22"/>
        </w:rPr>
        <w:t xml:space="preserve">Phase A green light</w:t>
      </w:r>
      <w:r>
        <w:rPr>
          <w:rFonts w:ascii="Arial" w:cs="Arial" w:eastAsia="Arial" w:hAnsi="Arial"/>
          <w:color w:val="2C3E50"/>
          <w:sz w:val="22"/>
          <w:szCs w:val="22"/>
        </w:rPr>
        <w:t xml:space="preserve"> — an explicit statement of whether, in the lawyer's opinion, the platform may proceed to onboard Phase A testers with execution assistance enabled, or whether specific pre-conditions must be satisfied first, and what those pre-conditions are.</w:t>
      </w:r>
    </w:p>
    <w:p>
      <w:pPr>
        <w:pStyle w:val="ListParagraph"/>
        <w:numPr>
          <w:ilvl w:val="0"/>
          <w:numId w:val="3"/>
        </w:numPr>
        <w:spacing w:after="100" w:before="60"/>
      </w:pPr>
      <w:r>
        <w:rPr>
          <w:rFonts w:ascii="Arial" w:cs="Arial" w:eastAsia="Arial" w:hAnsi="Arial"/>
          <w:b/>
          <w:bCs/>
          <w:color w:val="2C3E50"/>
          <w:sz w:val="22"/>
          <w:szCs w:val="22"/>
        </w:rPr>
        <w:t xml:space="preserve">FYERS developer terms guidance</w:t>
      </w:r>
      <w:r>
        <w:rPr>
          <w:rFonts w:ascii="Arial" w:cs="Arial" w:eastAsia="Arial" w:hAnsi="Arial"/>
          <w:color w:val="2C3E50"/>
          <w:sz w:val="22"/>
          <w:szCs w:val="22"/>
        </w:rPr>
        <w:t xml:space="preserve"> — confirmation of whether the personal-app Phase A usage is permissible under FYERS's developer terms and, if not, the immediate corrective step required.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4F0" w:val="clear"/>
            <w:tcMar>
              <w:top w:type="dxa" w:w="120"/>
              <w:left w:type="dxa" w:w="160"/>
              <w:bottom w:type="dxa" w:w="120"/>
              <w:right w:type="dxa" w:w="120"/>
            </w:tcMar>
            <w:vAlign w:val="top"/>
          </w:tcPr>
          <w:p>
            <w:r>
              <w:rPr>
                <w:rFonts w:ascii="Arial" w:cs="Arial" w:eastAsia="Arial" w:hAnsi="Arial"/>
                <w:b/>
                <w:bCs/>
                <w:color w:val="1A3A5C"/>
                <w:sz w:val="20"/>
                <w:szCs w:val="20"/>
              </w:rPr>
              <w:t xml:space="preserve">TIMING</w:t>
            </w:r>
          </w:p>
        </w:tc>
        <w:tc>
          <w:tcPr>
            <w:tcW w:type="dxa" w:w="8160"/>
            <w:tcBorders>
              <w:top w:val="none" w:color="FFFFFF" w:sz="0"/>
              <w:left w:val="none" w:color="FFFFFF" w:sz="0"/>
              <w:bottom w:val="none" w:color="FFFFFF" w:sz="0"/>
              <w:right w:val="none" w:color="FFFFFF" w:sz="0"/>
            </w:tcBorders>
            <w:shd w:fill="D6E4F0" w:val="clear"/>
            <w:tcMar>
              <w:top w:type="dxa" w:w="120"/>
              <w:left w:type="dxa" w:w="120"/>
              <w:bottom w:type="dxa" w:w="120"/>
              <w:right w:type="dxa" w:w="160"/>
            </w:tcMar>
          </w:tcPr>
          <w:p>
            <w:pPr>
              <w:spacing w:after="80" w:before="0"/>
            </w:pPr>
            <w:r>
              <w:rPr>
                <w:rFonts w:ascii="Arial" w:cs="Arial" w:eastAsia="Arial" w:hAnsi="Arial"/>
                <w:color w:val="2C3E50"/>
                <w:sz w:val="20"/>
                <w:szCs w:val="20"/>
              </w:rPr>
              <w:t xml:space="preserve">The platform operator targets Phase A tester onboarding within 60 to 90 days of this query being issued.</w:t>
            </w:r>
          </w:p>
          <w:p>
            <w:pPr>
              <w:spacing w:after="80" w:before="0"/>
            </w:pPr>
            <w:r>
              <w:rPr>
                <w:rFonts w:ascii="Arial" w:cs="Arial" w:eastAsia="Arial" w:hAnsi="Arial"/>
                <w:color w:val="2C3E50"/>
                <w:sz w:val="20"/>
                <w:szCs w:val="20"/>
              </w:rPr>
              <w:t xml:space="preserve">Legal opinion is required before that deadline. Any pre-conditions that the lawyer identifies as blocking</w:t>
            </w:r>
          </w:p>
          <w:p>
            <w:pPr>
              <w:spacing w:after="80" w:before="0"/>
            </w:pPr>
            <w:r>
              <w:rPr>
                <w:rFonts w:ascii="Arial" w:cs="Arial" w:eastAsia="Arial" w:hAnsi="Arial"/>
                <w:color w:val="2C3E50"/>
                <w:sz w:val="20"/>
                <w:szCs w:val="20"/>
              </w:rPr>
              <w:t xml:space="preserve">tester onboarding must be communicated within 30 days so they can be addressed within the available window.</w:t>
            </w:r>
          </w:p>
        </w:tc>
      </w:tr>
    </w:tbl>
    <w:p>
      <w:pPr>
        <w:spacing w:after="120" w:before="0"/>
      </w:pPr>
      <w:r>
        <w:t xml:space="preserve"/>
      </w:r>
    </w:p>
    <w:p>
      <w:pPr>
        <w:pBdr>
          <w:bottom w:val="single" w:color="1A3A5C" w:sz="4" w:space="1"/>
        </w:pBdr>
        <w:spacing w:after="120" w:before="120"/>
      </w:pPr>
      <w:r>
        <w:t xml:space="preserve"/>
      </w:r>
    </w:p>
    <w:p>
      <w:pPr>
        <w:pStyle w:val="Heading1"/>
        <w:spacing w:after="160" w:before="360"/>
      </w:pPr>
      <w:r>
        <w:rPr>
          <w:rFonts w:ascii="Arial" w:cs="Arial" w:eastAsia="Arial" w:hAnsi="Arial"/>
          <w:b/>
          <w:bCs/>
          <w:color w:val="1A3A5C"/>
          <w:sz w:val="28"/>
          <w:szCs w:val="28"/>
        </w:rPr>
        <w:t xml:space="preserve">6. Platform Operator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gridSpan w:val="2"/>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A3A5C"/>
                <w:sz w:val="22"/>
                <w:szCs w:val="22"/>
              </w:rPr>
              <w:t xml:space="preserve">Contact Information</w:t>
            </w:r>
          </w:p>
        </w:tc>
      </w:tr>
      <w:tr>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1A3A5C"/>
                <w:sz w:val="20"/>
                <w:szCs w:val="20"/>
              </w:rPr>
              <w:t xml:space="preserve">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Arvind Bhairat</w:t>
            </w:r>
          </w:p>
        </w:tc>
      </w:tr>
      <w:tr>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1A3A5C"/>
                <w:sz w:val="20"/>
                <w:szCs w:val="20"/>
              </w:rPr>
              <w:t xml:space="preserve">Role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Platform Operator and Admin</w:t>
            </w:r>
          </w:p>
        </w:tc>
      </w:tr>
      <w:tr>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1A3A5C"/>
                <w:sz w:val="20"/>
                <w:szCs w:val="20"/>
              </w:rPr>
              <w:t xml:space="preserve">Email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arvindbhairat@gmail.com</w:t>
            </w:r>
          </w:p>
        </w:tc>
      </w:tr>
      <w:tr>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1A3A5C"/>
                <w:sz w:val="20"/>
                <w:szCs w:val="20"/>
              </w:rPr>
              <w:t xml:space="preserve">Platform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SignalStack (private, Phase A)</w:t>
            </w:r>
          </w:p>
        </w:tc>
      </w:tr>
      <w:tr>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1A3A5C"/>
                <w:sz w:val="20"/>
                <w:szCs w:val="20"/>
              </w:rPr>
              <w:t xml:space="preserve">Preferred response format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Written legal opinion document (PDF or Word), signed and dated, suitable for retention as a compliance record</w:t>
            </w:r>
          </w:p>
        </w:tc>
      </w:tr>
    </w:tbl>
    <w:p>
      <w:pPr>
        <w:spacing w:after="240" w:before="0"/>
      </w:pPr>
      <w:r>
        <w:t xml:space="preserve"/>
      </w:r>
    </w:p>
    <w:p>
      <w:pPr>
        <w:spacing w:after="160" w:before="0"/>
      </w:pPr>
      <w:r>
        <w:rPr>
          <w:rFonts w:ascii="Arial" w:cs="Arial" w:eastAsia="Arial" w:hAnsi="Arial"/>
          <w:i/>
          <w:iCs/>
          <w:color w:val="7F8C8D"/>
          <w:sz w:val="22"/>
          <w:szCs w:val="22"/>
        </w:rPr>
        <w:t xml:space="preserve">Please direct any clarifying questions about the platform's technical architecture or operational model to the contact above before providing the opinion, to ensure the review is based on accurate facts.</w:t>
      </w:r>
    </w:p>
    <w:p>
      <w:pPr>
        <w:spacing w:after="48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spacing w:before="80"/>
    </w:pPr>
    <w:r>
      <w:rPr>
        <w:rFonts w:ascii="Arial" w:cs="Arial" w:eastAsia="Arial" w:hAnsi="Arial"/>
        <w:color w:val="7F8C8D"/>
        <w:sz w:val="16"/>
        <w:szCs w:val="16"/>
      </w:rPr>
      <w:t xml:space="preserve">Prepared April 2026 — for lawyer review only — not for distribution</w:t>
    </w:r>
    <w:r>
      <w:rPr>
        <w:rFonts w:ascii="Arial" w:cs="Arial" w:eastAsia="Arial" w:hAnsi="Arial"/>
        <w:sz w:val="16"/>
        <w:szCs w:val="16"/>
      </w:rPr>
      <w:t xml:space="preserve">	</w:t>
    </w: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tabs>
        <w:tab w:val="right" w:pos="9026"/>
      </w:tabs>
      <w:spacing w:after="80"/>
    </w:pPr>
    <w:r>
      <w:rPr>
        <w:rFonts w:ascii="Arial" w:cs="Arial" w:eastAsia="Arial" w:hAnsi="Arial"/>
        <w:color w:val="7F8C8D"/>
        <w:sz w:val="18"/>
        <w:szCs w:val="18"/>
      </w:rPr>
      <w:t xml:space="preserve">SIGNALSTACK — Legal and Regulatory Query</w:t>
    </w:r>
    <w:r>
      <w:rPr>
        <w:rFonts w:ascii="Arial" w:cs="Arial" w:eastAsia="Arial" w:hAnsi="Arial"/>
        <w:sz w:val="18"/>
        <w:szCs w:val="18"/>
      </w:rPr>
      <w:t xml:space="preserve">	</w:t>
    </w:r>
    <w:r>
      <w:rPr>
        <w:rFonts w:ascii="Arial" w:cs="Arial" w:eastAsia="Arial" w:hAnsi="Arial"/>
        <w:b/>
        <w:bCs/>
        <w:color w:val="C0392B"/>
        <w:sz w:val="18"/>
        <w:szCs w:val="18"/>
      </w:rPr>
      <w:t xml:space="preserve">PRIVATE AND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2026-04-16T02:33:38.586Z</dcterms:created>
  <dcterms:modified xsi:type="dcterms:W3CDTF">2026-04-16T02:33:38.587Z</dcterms:modified>
</cp:coreProperties>
</file>

<file path=docProps/custom.xml><?xml version="1.0" encoding="utf-8"?>
<Properties xmlns="http://schemas.openxmlformats.org/officeDocument/2006/custom-properties" xmlns:vt="http://schemas.openxmlformats.org/officeDocument/2006/docPropsVTypes"/>
</file>