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Heidy bakery app feasibility and scope</w:t>
      </w:r>
    </w:p>
    <w:p>
      <w:r>
        <w:t>Prepared for Heidy and Arvind | September 6, 2026</w:t>
      </w:r>
    </w:p>
    <w:p>
      <w:pPr>
        <w:pStyle w:val="Heading1"/>
      </w:pPr>
      <w:r>
        <w:t>Decision</w:t>
      </w:r>
    </w:p>
    <w:p>
      <w:r>
        <w:t>We can start building the costing foundation. The wider app can support sales, business profitability, CPA extracts and seasonal planning, but these require additional records and features. The earlier design covered recipe costs and pricing; it did not yet establish a complete business profit model.</w:t>
      </w:r>
    </w:p>
    <w:p>
      <w:r>
        <w:t>Keep the first release useful on its own, while designing historical costs, sales channels and expense records now so later reporting does not require rebuilding it. All app capabilities below are proposed unless explicitly marked complete.</w:t>
      </w:r>
    </w:p>
    <w:p>
      <w:pPr>
        <w:pStyle w:val="Heading1"/>
      </w:pPr>
      <w:r>
        <w:t>Where we stand</w:t>
      </w:r>
    </w:p>
    <w:p>
      <w:r>
        <w:t>The two supplied workbooks were reviewed and costing defects identified. The receipt shortcut was created and its sharing link verified; the user confirms installation on Heidy’s phone. Successful receipt capture and transfer to her Mac remain unconfirmed. Interactive screens are concepts with sample data. No working Mac app, Square importer, reports or Excel export feature exists yet.</w:t>
      </w:r>
    </w:p>
    <w:tbl>
      <w:tblPr>
        <w:tblW w:type="auto" w:w="0"/>
        <w:jc w:val="center"/>
        <w:tblLayout w:type="fixed"/>
        <w:tblLook w:firstColumn="1" w:firstRow="1" w:lastColumn="0" w:lastRow="0" w:noHBand="0" w:noVBand="1" w:val="04A0"/>
      </w:tblPr>
      <w:tblGrid>
        <w:gridCol w:w="2952"/>
        <w:gridCol w:w="7128"/>
      </w:tblGrid>
      <w:tr>
        <w:trPr>
          <w:cantSplit/>
          <w:tblHeader/>
        </w:trPr>
        <w:tc>
          <w:tcPr>
            <w:tcW w:type="dxa" w:w="2952"/>
            <w:vAlign w:val="center"/>
            <w:tcBorders>
              <w:top w:val="single" w:sz="4" w:color="D9D9D9"/>
              <w:left w:val="single" w:sz="4" w:color="D9D9D9"/>
              <w:bottom w:val="single" w:sz="4" w:color="D9D9D9"/>
              <w:right w:val="single" w:sz="4" w:color="D9D9D9"/>
            </w:tcBorders>
            <w:shd w:fill="E8EDF0"/>
          </w:tcPr>
          <w:p>
            <w:pPr>
              <w:spacing w:after="100" w:before="100"/>
            </w:pPr>
            <w:r>
              <w:rPr>
                <w:b/>
                <w:sz w:val="20"/>
              </w:rPr>
              <w:t>Capability</w:t>
            </w:r>
          </w:p>
        </w:tc>
        <w:tc>
          <w:tcPr>
            <w:tcW w:type="dxa" w:w="7128"/>
            <w:vAlign w:val="center"/>
            <w:tcBorders>
              <w:top w:val="single" w:sz="4" w:color="D9D9D9"/>
              <w:left w:val="single" w:sz="4" w:color="D9D9D9"/>
              <w:bottom w:val="single" w:sz="4" w:color="D9D9D9"/>
              <w:right w:val="single" w:sz="4" w:color="D9D9D9"/>
            </w:tcBorders>
            <w:shd w:fill="E8EDF0"/>
          </w:tcPr>
          <w:p>
            <w:pPr>
              <w:spacing w:after="100" w:before="100"/>
            </w:pPr>
            <w:r>
              <w:rPr>
                <w:b/>
                <w:sz w:val="20"/>
              </w:rPr>
              <w:t>Readiness</w:t>
            </w:r>
          </w:p>
        </w:tc>
      </w:tr>
      <w:tr>
        <w:trPr>
          <w:cantSplit/>
        </w:trPr>
        <w:tc>
          <w:tcPr>
            <w:tcW w:type="dxa" w:w="2952"/>
            <w:vAlign w:val="center"/>
            <w:tcBorders>
              <w:top w:val="single" w:sz="4" w:color="D9D9D9"/>
              <w:left w:val="single" w:sz="4" w:color="D9D9D9"/>
              <w:bottom w:val="single" w:sz="4" w:color="D9D9D9"/>
              <w:right w:val="single" w:sz="4" w:color="D9D9D9"/>
            </w:tcBorders>
          </w:tcPr>
          <w:p>
            <w:pPr>
              <w:spacing w:after="100" w:before="100"/>
            </w:pPr>
            <w:r>
              <w:rPr>
                <w:b w:val="0"/>
                <w:sz w:val="20"/>
              </w:rPr>
              <w:t>Ingredients, recipes, packaging, labour and two price lists</w:t>
            </w:r>
          </w:p>
        </w:tc>
        <w:tc>
          <w:tcPr>
            <w:tcW w:type="dxa" w:w="7128"/>
            <w:vAlign w:val="center"/>
            <w:tcBorders>
              <w:top w:val="single" w:sz="4" w:color="D9D9D9"/>
              <w:left w:val="single" w:sz="4" w:color="D9D9D9"/>
              <w:bottom w:val="single" w:sz="4" w:color="D9D9D9"/>
              <w:right w:val="single" w:sz="4" w:color="D9D9D9"/>
            </w:tcBorders>
          </w:tcPr>
          <w:p>
            <w:pPr>
              <w:spacing w:after="100" w:before="100"/>
            </w:pPr>
            <w:r>
              <w:rPr>
                <w:b w:val="0"/>
                <w:sz w:val="20"/>
              </w:rPr>
              <w:t>Defined well enough to start, after agreeing initial import corrections</w:t>
            </w:r>
          </w:p>
        </w:tc>
      </w:tr>
      <w:tr>
        <w:trPr>
          <w:cantSplit/>
        </w:trPr>
        <w:tc>
          <w:tcPr>
            <w:tcW w:type="dxa" w:w="2952"/>
            <w:vAlign w:val="center"/>
            <w:tcBorders>
              <w:top w:val="single" w:sz="4" w:color="D9D9D9"/>
              <w:left w:val="single" w:sz="4" w:color="D9D9D9"/>
              <w:bottom w:val="single" w:sz="4" w:color="D9D9D9"/>
              <w:right w:val="single" w:sz="4" w:color="D9D9D9"/>
            </w:tcBorders>
          </w:tcPr>
          <w:p>
            <w:pPr>
              <w:spacing w:after="100" w:before="100"/>
            </w:pPr>
            <w:r>
              <w:rPr>
                <w:b w:val="0"/>
                <w:sz w:val="20"/>
              </w:rPr>
              <w:t>Receipt recognition and supplier matching</w:t>
            </w:r>
          </w:p>
        </w:tc>
        <w:tc>
          <w:tcPr>
            <w:tcW w:type="dxa" w:w="7128"/>
            <w:vAlign w:val="center"/>
            <w:tcBorders>
              <w:top w:val="single" w:sz="4" w:color="D9D9D9"/>
              <w:left w:val="single" w:sz="4" w:color="D9D9D9"/>
              <w:bottom w:val="single" w:sz="4" w:color="D9D9D9"/>
              <w:right w:val="single" w:sz="4" w:color="D9D9D9"/>
            </w:tcBorders>
          </w:tcPr>
          <w:p>
            <w:pPr>
              <w:spacing w:after="100" w:before="100"/>
            </w:pPr>
            <w:r>
              <w:rPr>
                <w:b w:val="0"/>
                <w:sz w:val="20"/>
              </w:rPr>
              <w:t>Needs real-receipt validation</w:t>
            </w:r>
          </w:p>
        </w:tc>
      </w:tr>
      <w:tr>
        <w:trPr>
          <w:cantSplit/>
        </w:trPr>
        <w:tc>
          <w:tcPr>
            <w:tcW w:type="dxa" w:w="2952"/>
            <w:vAlign w:val="center"/>
            <w:tcBorders>
              <w:top w:val="single" w:sz="4" w:color="D9D9D9"/>
              <w:left w:val="single" w:sz="4" w:color="D9D9D9"/>
              <w:bottom w:val="single" w:sz="4" w:color="D9D9D9"/>
              <w:right w:val="single" w:sz="4" w:color="D9D9D9"/>
            </w:tcBorders>
          </w:tcPr>
          <w:p>
            <w:pPr>
              <w:spacing w:after="100" w:before="100"/>
            </w:pPr>
            <w:r>
              <w:rPr>
                <w:b w:val="0"/>
                <w:sz w:val="20"/>
              </w:rPr>
              <w:t>Working Excel fallback</w:t>
            </w:r>
          </w:p>
        </w:tc>
        <w:tc>
          <w:tcPr>
            <w:tcW w:type="dxa" w:w="7128"/>
            <w:vAlign w:val="center"/>
            <w:tcBorders>
              <w:top w:val="single" w:sz="4" w:color="D9D9D9"/>
              <w:left w:val="single" w:sz="4" w:color="D9D9D9"/>
              <w:bottom w:val="single" w:sz="4" w:color="D9D9D9"/>
              <w:right w:val="single" w:sz="4" w:color="D9D9D9"/>
            </w:tcBorders>
          </w:tcPr>
          <w:p>
            <w:pPr>
              <w:spacing w:after="100" w:before="100"/>
            </w:pPr>
            <w:r>
              <w:rPr>
                <w:b w:val="0"/>
                <w:sz w:val="20"/>
              </w:rPr>
              <w:t>Feasible; add explicit export and verification requirements</w:t>
            </w:r>
          </w:p>
        </w:tc>
      </w:tr>
      <w:tr>
        <w:trPr>
          <w:cantSplit/>
        </w:trPr>
        <w:tc>
          <w:tcPr>
            <w:tcW w:type="dxa" w:w="2952"/>
            <w:vAlign w:val="center"/>
            <w:tcBorders>
              <w:top w:val="single" w:sz="4" w:color="D9D9D9"/>
              <w:left w:val="single" w:sz="4" w:color="D9D9D9"/>
              <w:bottom w:val="single" w:sz="4" w:color="D9D9D9"/>
              <w:right w:val="single" w:sz="4" w:color="D9D9D9"/>
            </w:tcBorders>
          </w:tcPr>
          <w:p>
            <w:pPr>
              <w:spacing w:after="100" w:before="100"/>
            </w:pPr>
            <w:r>
              <w:rPr>
                <w:b w:val="0"/>
                <w:sz w:val="20"/>
              </w:rPr>
              <w:t>Square sales import</w:t>
            </w:r>
          </w:p>
        </w:tc>
        <w:tc>
          <w:tcPr>
            <w:tcW w:type="dxa" w:w="7128"/>
            <w:vAlign w:val="center"/>
            <w:tcBorders>
              <w:top w:val="single" w:sz="4" w:color="D9D9D9"/>
              <w:left w:val="single" w:sz="4" w:color="D9D9D9"/>
              <w:bottom w:val="single" w:sz="4" w:color="D9D9D9"/>
              <w:right w:val="single" w:sz="4" w:color="D9D9D9"/>
            </w:tcBorders>
          </w:tcPr>
          <w:p>
            <w:pPr>
              <w:spacing w:after="100" w:before="100"/>
            </w:pPr>
            <w:r>
              <w:rPr>
                <w:b w:val="0"/>
                <w:sz w:val="20"/>
              </w:rPr>
              <w:t>Feasible; validate a real export before committing to field coverage</w:t>
            </w:r>
          </w:p>
        </w:tc>
      </w:tr>
      <w:tr>
        <w:trPr>
          <w:cantSplit/>
        </w:trPr>
        <w:tc>
          <w:tcPr>
            <w:tcW w:type="dxa" w:w="2952"/>
            <w:vAlign w:val="center"/>
            <w:tcBorders>
              <w:top w:val="single" w:sz="4" w:color="D9D9D9"/>
              <w:left w:val="single" w:sz="4" w:color="D9D9D9"/>
              <w:bottom w:val="single" w:sz="4" w:color="D9D9D9"/>
              <w:right w:val="single" w:sz="4" w:color="D9D9D9"/>
            </w:tcBorders>
          </w:tcPr>
          <w:p>
            <w:pPr>
              <w:spacing w:after="100" w:before="100"/>
            </w:pPr>
            <w:r>
              <w:rPr>
                <w:b w:val="0"/>
                <w:sz w:val="20"/>
              </w:rPr>
              <w:t>Market, wedding and B2B profitability</w:t>
            </w:r>
          </w:p>
        </w:tc>
        <w:tc>
          <w:tcPr>
            <w:tcW w:type="dxa" w:w="7128"/>
            <w:vAlign w:val="center"/>
            <w:tcBorders>
              <w:top w:val="single" w:sz="4" w:color="D9D9D9"/>
              <w:left w:val="single" w:sz="4" w:color="D9D9D9"/>
              <w:bottom w:val="single" w:sz="4" w:color="D9D9D9"/>
              <w:right w:val="single" w:sz="4" w:color="D9D9D9"/>
            </w:tcBorders>
          </w:tcPr>
          <w:p>
            <w:pPr>
              <w:spacing w:after="100" w:before="100"/>
            </w:pPr>
            <w:r>
              <w:rPr>
                <w:b w:val="0"/>
                <w:sz w:val="20"/>
              </w:rPr>
              <w:t>Needs event/order, expense, time and waste records</w:t>
            </w:r>
          </w:p>
        </w:tc>
      </w:tr>
      <w:tr>
        <w:trPr>
          <w:cantSplit/>
        </w:trPr>
        <w:tc>
          <w:tcPr>
            <w:tcW w:type="dxa" w:w="2952"/>
            <w:vAlign w:val="center"/>
            <w:tcBorders>
              <w:top w:val="single" w:sz="4" w:color="D9D9D9"/>
              <w:left w:val="single" w:sz="4" w:color="D9D9D9"/>
              <w:bottom w:val="single" w:sz="4" w:color="D9D9D9"/>
              <w:right w:val="single" w:sz="4" w:color="D9D9D9"/>
            </w:tcBorders>
          </w:tcPr>
          <w:p>
            <w:pPr>
              <w:spacing w:after="100" w:before="100"/>
            </w:pPr>
            <w:r>
              <w:rPr>
                <w:b w:val="0"/>
                <w:sz w:val="20"/>
              </w:rPr>
              <w:t>CPA extract</w:t>
            </w:r>
          </w:p>
        </w:tc>
        <w:tc>
          <w:tcPr>
            <w:tcW w:type="dxa" w:w="7128"/>
            <w:vAlign w:val="center"/>
            <w:tcBorders>
              <w:top w:val="single" w:sz="4" w:color="D9D9D9"/>
              <w:left w:val="single" w:sz="4" w:color="D9D9D9"/>
              <w:bottom w:val="single" w:sz="4" w:color="D9D9D9"/>
              <w:right w:val="single" w:sz="4" w:color="D9D9D9"/>
            </w:tcBorders>
          </w:tcPr>
          <w:p>
            <w:pPr>
              <w:spacing w:after="100" w:before="100"/>
            </w:pPr>
            <w:r>
              <w:rPr>
                <w:b w:val="0"/>
                <w:sz w:val="20"/>
              </w:rPr>
              <w:t>Feasible working pack; agree format with her CPA</w:t>
            </w:r>
          </w:p>
        </w:tc>
      </w:tr>
      <w:tr>
        <w:trPr>
          <w:cantSplit/>
        </w:trPr>
        <w:tc>
          <w:tcPr>
            <w:tcW w:type="dxa" w:w="2952"/>
            <w:vAlign w:val="center"/>
            <w:tcBorders>
              <w:top w:val="single" w:sz="4" w:color="D9D9D9"/>
              <w:left w:val="single" w:sz="4" w:color="D9D9D9"/>
              <w:bottom w:val="single" w:sz="4" w:color="D9D9D9"/>
              <w:right w:val="single" w:sz="4" w:color="D9D9D9"/>
            </w:tcBorders>
          </w:tcPr>
          <w:p>
            <w:pPr>
              <w:spacing w:after="100" w:before="100"/>
            </w:pPr>
            <w:r>
              <w:rPr>
                <w:b w:val="0"/>
                <w:sz w:val="20"/>
              </w:rPr>
              <w:t>Six-month income planning</w:t>
            </w:r>
          </w:p>
        </w:tc>
        <w:tc>
          <w:tcPr>
            <w:tcW w:type="dxa" w:w="7128"/>
            <w:vAlign w:val="center"/>
            <w:tcBorders>
              <w:top w:val="single" w:sz="4" w:color="D9D9D9"/>
              <w:left w:val="single" w:sz="4" w:color="D9D9D9"/>
              <w:bottom w:val="single" w:sz="4" w:color="D9D9D9"/>
              <w:right w:val="single" w:sz="4" w:color="D9D9D9"/>
            </w:tcBorders>
          </w:tcPr>
          <w:p>
            <w:pPr>
              <w:spacing w:after="100" w:before="100"/>
            </w:pPr>
            <w:r>
              <w:rPr>
                <w:b w:val="0"/>
                <w:sz w:val="20"/>
              </w:rPr>
              <w:t>Feasible scenario model; needs sales history or explicit assumptions</w:t>
            </w:r>
          </w:p>
        </w:tc>
      </w:tr>
    </w:tbl>
    <w:p>
      <w:pPr>
        <w:spacing w:after="0"/>
      </w:pPr>
    </w:p>
    <w:p>
      <w:pPr>
        <w:pStyle w:val="Heading1"/>
      </w:pPr>
      <w:r>
        <w:t>Recommendation</w:t>
      </w:r>
    </w:p>
    <w:p>
      <w:r>
        <w:t>Build recipe costing and Excel independence first. Add Square file import, simple event records and expense capture next. Release profitability reports only when data completeness is visible and totals reconcile. Add forecasting and optional direct Square sync after real trading periods have been validated. The old delivery estimates do not cover this expanded scope.</w:t>
      </w:r>
    </w:p>
    <w:p>
      <w:r>
        <w:br w:type="page"/>
      </w:r>
    </w:p>
    <w:p>
      <w:pPr>
        <w:pStyle w:val="Heading1"/>
      </w:pPr>
      <w:r>
        <w:t>Square sales and all the ways Heidy sells</w:t>
      </w:r>
    </w:p>
    <w:p>
      <w:r>
        <w:t xml:space="preserve">Square officially supports CSV report exports. A first importer can accept those files through a review screen rather than requiring a live connection. Export availability varies by report; a generic sales summary alone is not enough to match products to recipes. </w:t>
      </w:r>
      <w:hyperlink r:id="rId9">
        <w:r>
          <w:rPr>
            <w:color w:val="215A79"/>
          </w:rPr>
          <w:t>Square report exports</w:t>
        </w:r>
      </w:hyperlink>
      <w:r/>
    </w:p>
    <w:p>
      <w:r>
        <w:t>Request a representative period’s transaction data, item-level detail and fee/refund information where available. Inspect their real columns, identifiers and totals. Map Square item or variation IDs to recipe IDs and pack sizes; retain names as descriptions. A box of six must map to six pieces, not one. Unnamed custom-amount sales can contribute to total revenue but need manual classification before claiming product profitability.</w:t>
      </w:r>
    </w:p>
    <w:p>
      <w:r>
        <w:t>The importer should preview additions, unmatched items, refunds and duplicates; preserve raw files; remember mappings; and be safe to repeat for overlapping dates. Link imported sales to payments and any manually entered orders. A wedding deposit already in Square must match the wedding order, not create another sale. Use actual sale prices and discounts, not today’s price list.</w:t>
      </w:r>
    </w:p>
    <w:p>
      <w:r>
        <w:t xml:space="preserve">Direct sync is a later option: Square provides orders with line items, adjustments and payment associations, plus payout data for reconciling transfers. Its desktop-compatible authorization flow does not inherently require a secure backend server. A connection still needs engineering for consent, token renewal, failed syncs and offline use. Prefer read-only access and sync when the app opens; test production authorization before promising server-free integration. Existing Square fees remain separate from app costs. </w:t>
      </w:r>
      <w:hyperlink r:id="rId10">
        <w:r>
          <w:rPr>
            <w:color w:val="215A79"/>
          </w:rPr>
          <w:t>Square Orders API</w:t>
        </w:r>
      </w:hyperlink>
      <w:r>
        <w:t xml:space="preserve"> · </w:t>
      </w:r>
      <w:hyperlink r:id="rId11">
        <w:r>
          <w:rPr>
            <w:color w:val="215A79"/>
          </w:rPr>
          <w:t>Square Payouts API</w:t>
        </w:r>
      </w:hyperlink>
      <w:r>
        <w:t xml:space="preserve"> · </w:t>
      </w:r>
      <w:hyperlink r:id="rId12">
        <w:r>
          <w:rPr>
            <w:color w:val="215A79"/>
          </w:rPr>
          <w:t>Square authorization</w:t>
        </w:r>
      </w:hyperlink>
      <w:r/>
    </w:p>
    <w:p>
      <w:pPr>
        <w:pStyle w:val="Heading1"/>
      </w:pPr>
      <w:r>
        <w:t>One sales record with a channel and an event or order</w:t>
      </w:r>
    </w:p>
    <w:p>
      <w:pPr>
        <w:pStyle w:val="ListBullet"/>
      </w:pPr>
      <w:r>
        <w:t>Saturday market: date and market, imported sales, cash not already recorded, batches made, leftovers, waste, stall fee, travel, paid help and Heidy’s hours. Offer a reusable Saturday template.</w:t>
      </w:r>
    </w:p>
    <w:p>
      <w:pPr>
        <w:pStyle w:val="ListBullet"/>
      </w:pPr>
      <w:r>
        <w:t>Weddings and parties: customer/order reference, fulfilment date, quoted price, recipe quantities, decorations and other custom costs, owner/staff time, delivery, deposit, balance and payment dates.</w:t>
      </w:r>
    </w:p>
    <w:p>
      <w:pPr>
        <w:pStyle w:val="ListBullet"/>
      </w:pPr>
      <w:r>
        <w:t>Bookstores and other B2B customers: customer, quantities, agreed price, delivery, payment due date and returns. Confirm outright wholesale versus consignment; delivery on consignment is not automatically a completed sale.</w:t>
      </w:r>
    </w:p>
    <w:p>
      <w:r>
        <w:t>Channel, pricing tier and payment method are separate: a wedding may use retail pricing and be paid by bank transfer. Saturday alone should not automatically classify every sale as a farmers-market sale. Outside-Square sales can be entered manually or imported through a template.</w:t>
      </w:r>
    </w:p>
    <w:p>
      <w:r>
        <w:br w:type="page"/>
      </w:r>
    </w:p>
    <w:p>
      <w:pPr>
        <w:pStyle w:val="Heading1"/>
      </w:pPr>
      <w:r>
        <w:t>What she is actually making</w:t>
      </w:r>
    </w:p>
    <w:p>
      <w:r>
        <w:t xml:space="preserve">The app should show three distinct views: operating result before personal taxes, result after valuing Heidy’s own time, and cash movement. A Square bank transfer is a payment settlement, not profit. Square’s payout records link transfers to component transactions and fees. </w:t>
      </w:r>
      <w:hyperlink r:id="rId11">
        <w:r>
          <w:rPr>
            <w:color w:val="215A79"/>
          </w:rPr>
          <w:t>Square payout reconciliation</w:t>
        </w:r>
      </w:hyperlink>
      <w:r/>
    </w:p>
    <w:p>
      <w:r>
        <w:t xml:space="preserve">For the management report, begin with sales after discounts and refunds, keeping collected sales tax and tips separate. Subtract ingredients consumed, packaging, paid labour, payment fees and operating expenses. Show Heidy’s unpaid owner-time allowance separately. Her entity and accounting method determine tax treatment; for example, IRS Schedule C cost-of-goods guidance excludes payments to oneself from labour. </w:t>
      </w:r>
      <w:hyperlink r:id="rId13">
        <w:r>
          <w:rPr>
            <w:color w:val="215A79"/>
          </w:rPr>
          <w:t>IRS small business guidance</w:t>
        </w:r>
      </w:hyperlink>
      <w:r/>
    </w:p>
    <w:p>
      <w:pPr>
        <w:pStyle w:val="Heading1"/>
      </w:pPr>
      <w:r>
        <w:t>Costs that must be recorded</w:t>
      </w:r>
    </w:p>
    <w:p>
      <w:pPr>
        <w:pStyle w:val="ListBullet"/>
      </w:pPr>
      <w:r>
        <w:t>Product costs: ingredients, packaging, actual batch yields, substitutions, spoilage, samples and discarded finished goods.</w:t>
      </w:r>
    </w:p>
    <w:p>
      <w:pPr>
        <w:pStyle w:val="ListBullet"/>
      </w:pPr>
      <w:r>
        <w:t>Event/order costs: booth rental, market registration, electricity or ice, delivery, decorations, parking, travel and hired assistance.</w:t>
      </w:r>
    </w:p>
    <w:p>
      <w:pPr>
        <w:pStyle w:val="ListBullet"/>
      </w:pPr>
      <w:r>
        <w:t>Ongoing costs: kitchen/storage rent, insurance, permits, subscriptions, cleaning, utilities and advertising. Indicate whether each continues during inactive months.</w:t>
      </w:r>
    </w:p>
    <w:p>
      <w:pPr>
        <w:pStyle w:val="ListBullet"/>
      </w:pPr>
      <w:r>
        <w:t>Separate cash records: equipment, loans, owner contributions/withdrawals and customer deposits. These must not all be treated as ordinary operating expenses or earned sales.</w:t>
      </w:r>
    </w:p>
    <w:p>
      <w:r>
        <w:t>Use recurring templates and attach each direct expense to its event/order. Keep business and personal portions separate. Shared overhead may be allocated to channels for comparison, but deduct the real expense only once in the total business report.</w:t>
      </w:r>
    </w:p>
    <w:p>
      <w:pPr>
        <w:pStyle w:val="Heading1"/>
      </w:pPr>
      <w:r>
        <w:t>Prevent misleading profit</w:t>
      </w:r>
    </w:p>
    <w:p>
      <w:r>
        <w:t>Historical reports must retain the recipe version and cost snapshot used for each batch or sale. Today’s egg price changes today’s suggestions, not last month’s recorded margin. Missing historical prices produce a labelled estimate, never invented historical accuracy.</w:t>
      </w:r>
    </w:p>
    <w:p>
      <w:r>
        <w:t>Purchases and consumption are different. Buying a sack of flour does not mean using it all that week. Start with recipe-based consumption estimates and simple production/leftover adjustments; use inventory checks if she wants more reliable actual results. Do not subtract both purchase spending and the same recipe ingredient consumption in one profit view. Do not count paid wages again when already included in batch costs.</w:t>
      </w:r>
    </w:p>
    <w:p>
      <w:r>
        <w:t xml:space="preserve">For travel, record trip date, purpose and miles alongside actual expense evidence. Keep a planning travel allowance distinct from real fuel payments. In US tax-oriented outputs, standard mileage and the same vehicle’s operating expenses must not be added together indiscriminately. Let her CPA choose the applicable treatment. </w:t>
      </w:r>
      <w:hyperlink r:id="rId14">
        <w:r>
          <w:rPr>
            <w:color w:val="215A79"/>
          </w:rPr>
          <w:t>IRS vehicle expense guidance</w:t>
        </w:r>
      </w:hyperlink>
      <w:r/>
    </w:p>
    <w:p>
      <w:r>
        <w:br w:type="page"/>
      </w:r>
    </w:p>
    <w:p>
      <w:pPr>
        <w:pStyle w:val="Heading1"/>
      </w:pPr>
      <w:r>
        <w:t>Excel independence and useful reports</w:t>
      </w:r>
    </w:p>
    <w:p>
      <w:r>
        <w:t>Yes: export one recipe, selected recipes or the whole library. A recipe export should contain editable quantities, batch yield, package costs, labour assumptions, current costing prices, retail/B2B targets, actual selling prices and Excel formulas. Include instructions if recorded.</w:t>
      </w:r>
    </w:p>
    <w:p>
      <w:r>
        <w:t>A true fallback must be a self-contained workbook, with its ingredient master, packaging and settings included. It must recalculate in Excel without the Mac app, external workbook links or a paid service. Test changing an ingredient price and checking every affected recipe. Preserve her original files separately; the fallback recreates the corrected model, not its existing defects.</w:t>
      </w:r>
    </w:p>
    <w:p>
      <w:r>
        <w:t>Also provide a full data export and a backup archive with original receipts. An Excel export is not a complete app backup. Reviewed reimport should use stable IDs, a defined template and a change preview. If Heidy decides to return to Excel, she should choose it as the master rather than maintaining two conflicting copies. Exact compatibility with the original workbook layout requires an agreed mapping; arbitrary altered Excel formulas cannot be assumed safely importable.</w:t>
      </w:r>
    </w:p>
    <w:p>
      <w:pPr>
        <w:pStyle w:val="Heading1"/>
      </w:pPr>
      <w:r>
        <w:t>Reports to include after sales and expenses are captured</w:t>
      </w:r>
    </w:p>
    <w:tbl>
      <w:tblPr>
        <w:tblW w:type="auto" w:w="0"/>
        <w:jc w:val="center"/>
        <w:tblLayout w:type="fixed"/>
        <w:tblLook w:firstColumn="1" w:firstRow="1" w:lastColumn="0" w:lastRow="0" w:noHBand="0" w:noVBand="1" w:val="04A0"/>
      </w:tblPr>
      <w:tblGrid>
        <w:gridCol w:w="2952"/>
        <w:gridCol w:w="7128"/>
      </w:tblGrid>
      <w:tr>
        <w:trPr>
          <w:cantSplit/>
          <w:tblHeader/>
        </w:trPr>
        <w:tc>
          <w:tcPr>
            <w:tcW w:type="dxa" w:w="2952"/>
            <w:vAlign w:val="center"/>
            <w:tcBorders>
              <w:top w:val="single" w:sz="4" w:color="D9D9D9"/>
              <w:left w:val="single" w:sz="4" w:color="D9D9D9"/>
              <w:bottom w:val="single" w:sz="4" w:color="D9D9D9"/>
              <w:right w:val="single" w:sz="4" w:color="D9D9D9"/>
            </w:tcBorders>
            <w:shd w:fill="E8EDF0"/>
          </w:tcPr>
          <w:p>
            <w:pPr>
              <w:spacing w:after="100" w:before="100"/>
            </w:pPr>
            <w:r>
              <w:rPr>
                <w:b/>
                <w:sz w:val="20"/>
              </w:rPr>
              <w:t>Report</w:t>
            </w:r>
          </w:p>
        </w:tc>
        <w:tc>
          <w:tcPr>
            <w:tcW w:type="dxa" w:w="7128"/>
            <w:vAlign w:val="center"/>
            <w:tcBorders>
              <w:top w:val="single" w:sz="4" w:color="D9D9D9"/>
              <w:left w:val="single" w:sz="4" w:color="D9D9D9"/>
              <w:bottom w:val="single" w:sz="4" w:color="D9D9D9"/>
              <w:right w:val="single" w:sz="4" w:color="D9D9D9"/>
            </w:tcBorders>
            <w:shd w:fill="E8EDF0"/>
          </w:tcPr>
          <w:p>
            <w:pPr>
              <w:spacing w:after="100" w:before="100"/>
            </w:pPr>
            <w:r>
              <w:rPr>
                <w:b/>
                <w:sz w:val="20"/>
              </w:rPr>
              <w:t>Question answered</w:t>
            </w:r>
          </w:p>
        </w:tc>
      </w:tr>
      <w:tr>
        <w:trPr>
          <w:cantSplit/>
        </w:trPr>
        <w:tc>
          <w:tcPr>
            <w:tcW w:type="dxa" w:w="2952"/>
            <w:vAlign w:val="center"/>
            <w:tcBorders>
              <w:top w:val="single" w:sz="4" w:color="D9D9D9"/>
              <w:left w:val="single" w:sz="4" w:color="D9D9D9"/>
              <w:bottom w:val="single" w:sz="4" w:color="D9D9D9"/>
              <w:right w:val="single" w:sz="4" w:color="D9D9D9"/>
            </w:tcBorders>
          </w:tcPr>
          <w:p>
            <w:pPr>
              <w:spacing w:after="100" w:before="100"/>
            </w:pPr>
            <w:r>
              <w:rPr>
                <w:b w:val="0"/>
                <w:sz w:val="20"/>
              </w:rPr>
              <w:t>Product and channel margin</w:t>
            </w:r>
          </w:p>
        </w:tc>
        <w:tc>
          <w:tcPr>
            <w:tcW w:type="dxa" w:w="7128"/>
            <w:vAlign w:val="center"/>
            <w:tcBorders>
              <w:top w:val="single" w:sz="4" w:color="D9D9D9"/>
              <w:left w:val="single" w:sz="4" w:color="D9D9D9"/>
              <w:bottom w:val="single" w:sz="4" w:color="D9D9D9"/>
              <w:right w:val="single" w:sz="4" w:color="D9D9D9"/>
            </w:tcBorders>
          </w:tcPr>
          <w:p>
            <w:pPr>
              <w:spacing w:after="100" w:before="100"/>
            </w:pPr>
            <w:r>
              <w:rPr>
                <w:b w:val="0"/>
                <w:sz w:val="20"/>
              </w:rPr>
              <w:t>Which products and channels earn the most?</w:t>
            </w:r>
          </w:p>
        </w:tc>
      </w:tr>
      <w:tr>
        <w:trPr>
          <w:cantSplit/>
        </w:trPr>
        <w:tc>
          <w:tcPr>
            <w:tcW w:type="dxa" w:w="2952"/>
            <w:vAlign w:val="center"/>
            <w:tcBorders>
              <w:top w:val="single" w:sz="4" w:color="D9D9D9"/>
              <w:left w:val="single" w:sz="4" w:color="D9D9D9"/>
              <w:bottom w:val="single" w:sz="4" w:color="D9D9D9"/>
              <w:right w:val="single" w:sz="4" w:color="D9D9D9"/>
            </w:tcBorders>
          </w:tcPr>
          <w:p>
            <w:pPr>
              <w:spacing w:after="100" w:before="100"/>
            </w:pPr>
            <w:r>
              <w:rPr>
                <w:b w:val="0"/>
                <w:sz w:val="20"/>
              </w:rPr>
              <w:t>Saturday market result</w:t>
            </w:r>
          </w:p>
        </w:tc>
        <w:tc>
          <w:tcPr>
            <w:tcW w:type="dxa" w:w="7128"/>
            <w:vAlign w:val="center"/>
            <w:tcBorders>
              <w:top w:val="single" w:sz="4" w:color="D9D9D9"/>
              <w:left w:val="single" w:sz="4" w:color="D9D9D9"/>
              <w:bottom w:val="single" w:sz="4" w:color="D9D9D9"/>
              <w:right w:val="single" w:sz="4" w:color="D9D9D9"/>
            </w:tcBorders>
          </w:tcPr>
          <w:p>
            <w:pPr>
              <w:spacing w:after="100" w:before="100"/>
            </w:pPr>
            <w:r>
              <w:rPr>
                <w:b w:val="0"/>
                <w:sz w:val="20"/>
              </w:rPr>
              <w:t>Was this market worth attending after direct costs and time?</w:t>
            </w:r>
          </w:p>
        </w:tc>
      </w:tr>
      <w:tr>
        <w:trPr>
          <w:cantSplit/>
        </w:trPr>
        <w:tc>
          <w:tcPr>
            <w:tcW w:type="dxa" w:w="2952"/>
            <w:vAlign w:val="center"/>
            <w:tcBorders>
              <w:top w:val="single" w:sz="4" w:color="D9D9D9"/>
              <w:left w:val="single" w:sz="4" w:color="D9D9D9"/>
              <w:bottom w:val="single" w:sz="4" w:color="D9D9D9"/>
              <w:right w:val="single" w:sz="4" w:color="D9D9D9"/>
            </w:tcBorders>
          </w:tcPr>
          <w:p>
            <w:pPr>
              <w:spacing w:after="100" w:before="100"/>
            </w:pPr>
            <w:r>
              <w:rPr>
                <w:b w:val="0"/>
                <w:sz w:val="20"/>
              </w:rPr>
              <w:t>Custom order result</w:t>
            </w:r>
          </w:p>
        </w:tc>
        <w:tc>
          <w:tcPr>
            <w:tcW w:type="dxa" w:w="7128"/>
            <w:vAlign w:val="center"/>
            <w:tcBorders>
              <w:top w:val="single" w:sz="4" w:color="D9D9D9"/>
              <w:left w:val="single" w:sz="4" w:color="D9D9D9"/>
              <w:bottom w:val="single" w:sz="4" w:color="D9D9D9"/>
              <w:right w:val="single" w:sz="4" w:color="D9D9D9"/>
            </w:tcBorders>
          </w:tcPr>
          <w:p>
            <w:pPr>
              <w:spacing w:after="100" w:before="100"/>
            </w:pPr>
            <w:r>
              <w:rPr>
                <w:b w:val="0"/>
                <w:sz w:val="20"/>
              </w:rPr>
              <w:t>Did the wedding or party price cover the extra work?</w:t>
            </w:r>
          </w:p>
        </w:tc>
      </w:tr>
      <w:tr>
        <w:trPr>
          <w:cantSplit/>
        </w:trPr>
        <w:tc>
          <w:tcPr>
            <w:tcW w:type="dxa" w:w="2952"/>
            <w:vAlign w:val="center"/>
            <w:tcBorders>
              <w:top w:val="single" w:sz="4" w:color="D9D9D9"/>
              <w:left w:val="single" w:sz="4" w:color="D9D9D9"/>
              <w:bottom w:val="single" w:sz="4" w:color="D9D9D9"/>
              <w:right w:val="single" w:sz="4" w:color="D9D9D9"/>
            </w:tcBorders>
          </w:tcPr>
          <w:p>
            <w:pPr>
              <w:spacing w:after="100" w:before="100"/>
            </w:pPr>
            <w:r>
              <w:rPr>
                <w:b w:val="0"/>
                <w:sz w:val="20"/>
              </w:rPr>
              <w:t>B2B customer result and balances</w:t>
            </w:r>
          </w:p>
        </w:tc>
        <w:tc>
          <w:tcPr>
            <w:tcW w:type="dxa" w:w="7128"/>
            <w:vAlign w:val="center"/>
            <w:tcBorders>
              <w:top w:val="single" w:sz="4" w:color="D9D9D9"/>
              <w:left w:val="single" w:sz="4" w:color="D9D9D9"/>
              <w:bottom w:val="single" w:sz="4" w:color="D9D9D9"/>
              <w:right w:val="single" w:sz="4" w:color="D9D9D9"/>
            </w:tcBorders>
          </w:tcPr>
          <w:p>
            <w:pPr>
              <w:spacing w:after="100" w:before="100"/>
            </w:pPr>
            <w:r>
              <w:rPr>
                <w:b w:val="0"/>
                <w:sz w:val="20"/>
              </w:rPr>
              <w:t>Is the account worthwhile and has it paid?</w:t>
            </w:r>
          </w:p>
        </w:tc>
      </w:tr>
      <w:tr>
        <w:trPr>
          <w:cantSplit/>
        </w:trPr>
        <w:tc>
          <w:tcPr>
            <w:tcW w:type="dxa" w:w="2952"/>
            <w:vAlign w:val="center"/>
            <w:tcBorders>
              <w:top w:val="single" w:sz="4" w:color="D9D9D9"/>
              <w:left w:val="single" w:sz="4" w:color="D9D9D9"/>
              <w:bottom w:val="single" w:sz="4" w:color="D9D9D9"/>
              <w:right w:val="single" w:sz="4" w:color="D9D9D9"/>
            </w:tcBorders>
          </w:tcPr>
          <w:p>
            <w:pPr>
              <w:spacing w:after="100" w:before="100"/>
            </w:pPr>
            <w:r>
              <w:rPr>
                <w:b w:val="0"/>
                <w:sz w:val="20"/>
              </w:rPr>
              <w:t>Monthly operating result and cash summary</w:t>
            </w:r>
          </w:p>
        </w:tc>
        <w:tc>
          <w:tcPr>
            <w:tcW w:type="dxa" w:w="7128"/>
            <w:vAlign w:val="center"/>
            <w:tcBorders>
              <w:top w:val="single" w:sz="4" w:color="D9D9D9"/>
              <w:left w:val="single" w:sz="4" w:color="D9D9D9"/>
              <w:bottom w:val="single" w:sz="4" w:color="D9D9D9"/>
              <w:right w:val="single" w:sz="4" w:color="D9D9D9"/>
            </w:tcBorders>
          </w:tcPr>
          <w:p>
            <w:pPr>
              <w:spacing w:after="100" w:before="100"/>
            </w:pPr>
            <w:r>
              <w:rPr>
                <w:b w:val="0"/>
                <w:sz w:val="20"/>
              </w:rPr>
              <w:t>What did the business earn and what cash moved?</w:t>
            </w:r>
          </w:p>
        </w:tc>
      </w:tr>
      <w:tr>
        <w:trPr>
          <w:cantSplit/>
        </w:trPr>
        <w:tc>
          <w:tcPr>
            <w:tcW w:type="dxa" w:w="2952"/>
            <w:vAlign w:val="center"/>
            <w:tcBorders>
              <w:top w:val="single" w:sz="4" w:color="D9D9D9"/>
              <w:left w:val="single" w:sz="4" w:color="D9D9D9"/>
              <w:bottom w:val="single" w:sz="4" w:color="D9D9D9"/>
              <w:right w:val="single" w:sz="4" w:color="D9D9D9"/>
            </w:tcBorders>
          </w:tcPr>
          <w:p>
            <w:pPr>
              <w:spacing w:after="100" w:before="100"/>
            </w:pPr>
            <w:r>
              <w:rPr>
                <w:b w:val="0"/>
                <w:sz w:val="20"/>
              </w:rPr>
              <w:t>Price review and waste</w:t>
            </w:r>
          </w:p>
        </w:tc>
        <w:tc>
          <w:tcPr>
            <w:tcW w:type="dxa" w:w="7128"/>
            <w:vAlign w:val="center"/>
            <w:tcBorders>
              <w:top w:val="single" w:sz="4" w:color="D9D9D9"/>
              <w:left w:val="single" w:sz="4" w:color="D9D9D9"/>
              <w:bottom w:val="single" w:sz="4" w:color="D9D9D9"/>
              <w:right w:val="single" w:sz="4" w:color="D9D9D9"/>
            </w:tcBorders>
          </w:tcPr>
          <w:p>
            <w:pPr>
              <w:spacing w:after="100" w:before="100"/>
            </w:pPr>
            <w:r>
              <w:rPr>
                <w:b w:val="0"/>
                <w:sz w:val="20"/>
              </w:rPr>
              <w:t>Which prices or production quantities need attention?</w:t>
            </w:r>
          </w:p>
        </w:tc>
      </w:tr>
    </w:tbl>
    <w:p>
      <w:pPr>
        <w:spacing w:after="0"/>
      </w:pPr>
    </w:p>
    <w:p>
      <w:r>
        <w:t>Report filters: date range, channel, event, customer and product. Show actual average selling price per comparable unit as net item revenue divided by net units sold. Do not average a whole wedding cake and an individual slice without a defined common unit.</w:t>
      </w:r>
    </w:p>
    <w:p>
      <w:pPr>
        <w:pStyle w:val="Heading1"/>
      </w:pPr>
      <w:r>
        <w:t>CPA working pack</w:t>
      </w:r>
    </w:p>
    <w:p>
      <w:r>
        <w:t>Export dated sales, refunds, collected taxes, fees, payments and outstanding balances; expenses with vendor/category/business portion; purchases and inventory adjustments; mileage; assets; and owner transactions. Include monthly totals, source IDs, the accounting basis, missing/unmatched items and reconciliation differences. Receipt images should accompany an index with usable file references.</w:t>
      </w:r>
    </w:p>
    <w:p>
      <w:r>
        <w:t xml:space="preserve">IRS guidance calls for orderly records of income and expenses supported by receipts, invoices and other transaction documents. A report alone does not replace that evidence. Ask the CPA for preferred categories and file format; do not promise direct import into unspecified accounting software. </w:t>
      </w:r>
      <w:hyperlink r:id="rId15">
        <w:r>
          <w:rPr>
            <w:color w:val="215A79"/>
          </w:rPr>
          <w:t>IRS recordkeeping</w:t>
        </w:r>
      </w:hyperlink>
      <w:r/>
    </w:p>
    <w:p>
      <w:r>
        <w:br w:type="page"/>
      </w:r>
    </w:p>
    <w:p>
      <w:pPr>
        <w:pStyle w:val="Heading1"/>
      </w:pPr>
      <w:r>
        <w:t>Planning to work only six months</w:t>
      </w:r>
    </w:p>
    <w:p>
      <w:r>
        <w:t>The app can estimate this, but it cannot produce a credible personal-income answer from recipe prices alone. Provide a scenario planner with conservative, expected and optimistic assumptions, clearly separate from actual results.</w:t>
      </w:r>
    </w:p>
    <w:p>
      <w:pPr>
        <w:pStyle w:val="Heading1"/>
      </w:pPr>
      <w:r>
        <w:t>The controls</w:t>
      </w:r>
    </w:p>
    <w:p>
      <w:pPr>
        <w:pStyle w:val="ListBullet"/>
      </w:pPr>
      <w:r>
        <w:t>Choose the actual six months and planned market dates; account for holidays, closures and weather cancellations.</w:t>
      </w:r>
    </w:p>
    <w:p>
      <w:pPr>
        <w:pStyle w:val="ListBullet"/>
      </w:pPr>
      <w:r>
        <w:t>Set expected units or revenue by product and channel, custom orders per month, recurring B2B orders and actual proposed selling prices.</w:t>
      </w:r>
    </w:p>
    <w:p>
      <w:pPr>
        <w:pStyle w:val="ListBullet"/>
      </w:pPr>
      <w:r>
        <w:t>Set sell-through/waste, ingredient-price changes, paid staffing and available owner hours. Include preparation, shopping, travel, setup, selling, decorating and administration.</w:t>
      </w:r>
    </w:p>
    <w:p>
      <w:pPr>
        <w:pStyle w:val="ListBullet"/>
      </w:pPr>
      <w:r>
        <w:t>Enter per-event costs, seasonal commitments and ongoing annual bills. Costs that continue all year remain in the full-year result even when she sells for only six months.</w:t>
      </w:r>
    </w:p>
    <w:p>
      <w:pPr>
        <w:pStyle w:val="ListBullet"/>
      </w:pPr>
      <w:r>
        <w:t>Enter payment timing for deposits, B2B credit and major purchases. Working fewer months does not guarantee all cash arrives within those months.</w:t>
      </w:r>
    </w:p>
    <w:p>
      <w:pPr>
        <w:pStyle w:val="Heading1"/>
      </w:pPr>
      <w:r>
        <w:t>The answers</w:t>
      </w:r>
    </w:p>
    <w:p>
      <w:r>
        <w:t>Show projected sales, operating result before personal taxes, owner hours, operating result per owner hour, result after her chosen time allowance, cash needs and break-even activity. Show monthly and full-year results side by side, plus the number of extra markets/orders needed to reach her chosen target.</w:t>
      </w:r>
    </w:p>
    <w:p>
      <w:r>
        <w:t xml:space="preserve">The operating model adds each channel’s revenue less variable/direct costs, then subtracts the remaining fixed costs. Break-even planning relies on selling prices, variable costs and fixed costs; the SBA uses these same drivers. For mixed products, use a stated sales mix instead of pretending one unit has a universal margin. </w:t>
      </w:r>
      <w:hyperlink r:id="rId16">
        <w:r>
          <w:rPr>
            <w:color w:val="215A79"/>
          </w:rPr>
          <w:t>SBA break-even guidance</w:t>
        </w:r>
      </w:hyperlink>
      <w:r/>
    </w:p>
    <w:p>
      <w:pPr>
        <w:pStyle w:val="Heading1"/>
      </w:pPr>
      <w:r>
        <w:t>What makes the forecast trustworthy</w:t>
      </w:r>
    </w:p>
    <w:p>
      <w:r>
        <w:t>Use the same months from prior years when possible, rather than dividing annual sales in half. Display how much history supports the assumption. Compare forecast hours and equipment capacity with her available hours so the app does not suggest physically impossible order volumes.</w:t>
      </w:r>
    </w:p>
    <w:p>
      <w:r>
        <w:t>If Heidy does not track sales or expenses, this section remains a what-if calculator with assumptions she enters. If records are incomplete, label results accordingly. Personal take-home after taxes needs additional household/entity information and CPA input; the first planner should report before personal taxes.</w:t>
      </w:r>
    </w:p>
    <w:p>
      <w:r>
        <w:t>Illustration of scope: fewer markets might increase profit per hour if she replaces them with higher-value wedding orders, but this must account for decorating time, delivery, sales effort and whether sufficient orders exist. The app should compare those tradeoffs, not simply multiply a recipe margin by hoped-for sales.</w:t>
      </w:r>
    </w:p>
    <w:p>
      <w:r>
        <w:br w:type="page"/>
      </w:r>
    </w:p>
    <w:p>
      <w:pPr>
        <w:pStyle w:val="Heading1"/>
      </w:pPr>
      <w:r>
        <w:t>A simple app with room to grow</w:t>
      </w:r>
    </w:p>
    <w:p>
      <w:r>
        <w:t>Keep five main areas and reveal optional features only when needed:</w:t>
      </w:r>
    </w:p>
    <w:p>
      <w:pPr>
        <w:pStyle w:val="ListBullet"/>
      </w:pPr>
      <w:r>
        <w:t>Today: new receipts, incomplete costs, unmatched sales and meaningful price-review alerts.</w:t>
      </w:r>
    </w:p>
    <w:p>
      <w:pPr>
        <w:pStyle w:val="ListBullet"/>
      </w:pPr>
      <w:r>
        <w:t>Products: ingredients, packaging, recipes and separate suggested/actual retail and B2B prices.</w:t>
      </w:r>
    </w:p>
    <w:p>
      <w:pPr>
        <w:pStyle w:val="ListBullet"/>
      </w:pPr>
      <w:r>
        <w:t>Sales and events: Square import, Saturday templates, custom orders, B2B accounts and simple production closeout.</w:t>
      </w:r>
    </w:p>
    <w:p>
      <w:pPr>
        <w:pStyle w:val="ListBullet"/>
      </w:pPr>
      <w:r>
        <w:t>Expenses: receipt-linked costs, recurring bills and mileage.</w:t>
      </w:r>
    </w:p>
    <w:p>
      <w:pPr>
        <w:pStyle w:val="ListBullet"/>
      </w:pPr>
      <w:r>
        <w:t>Reports: product/event/monthly results, CPA export and later seasonal planning.</w:t>
      </w:r>
    </w:p>
    <w:p>
      <w:r>
        <w:t>Settings hold labour rates, pricing targets, rounding, alert thresholds, recurring defaults, backup/export and optional modules. Heidy can use costing alone; profit claims become available only with adequate sales and cost coverage. No AI chat interface is required for these calculations.</w:t>
      </w:r>
    </w:p>
    <w:p>
      <w:pPr>
        <w:pStyle w:val="Heading1"/>
      </w:pPr>
      <w:r>
        <w:t>Build in three releases</w:t>
      </w:r>
    </w:p>
    <w:p>
      <w:r>
        <w:t>1. Costing foundation: corrected imports, growing recipe library, history, duplication/editing, retail/B2B price lists, alerts, self-contained Excel export and restore-tested backups. Trial receipt recognition alongside this work.</w:t>
      </w:r>
    </w:p>
    <w:p>
      <w:r>
        <w:t>2. Business results: validated Square file import, manual outside-Square sales, event/order records, expenses, owner/paid time, production/waste, historical cost snapshots, reconciliation and CPA working pack. A verified weekly market closeout is the pilot.</w:t>
      </w:r>
    </w:p>
    <w:p>
      <w:r>
        <w:t>3. Planning and convenience: seasonal scenarios, capacity and cash projections, optional read-only direct Square sync, and customer-specific B2B arrangements where needed.</w:t>
      </w:r>
    </w:p>
    <w:p>
      <w:r>
        <w:t>Local data and file imports preserve the low-ownership-cost approach. Direct integration adds maintenance even when a hosted backend is unnecessary. Authentication, software distribution and backups must be tested on Heidy’s actual Mac; no implementation budget or schedule is validated yet.</w:t>
      </w:r>
    </w:p>
    <w:p>
      <w:pPr>
        <w:pStyle w:val="Heading1"/>
      </w:pPr>
      <w:r>
        <w:t>What we need next</w:t>
      </w:r>
    </w:p>
    <w:p>
      <w:r>
        <w:t>Start with a representative Square export period and one completed Saturday’s production, sales, fees, expenses and time. Then sample one wedding/party order and one bookstore order. Confirm whether all sales enter Square, whether recipe labour is owner time or paid staff, and whether B2B is wholesale or consignment. Later, confirm year-round costs, preferred months, jurisdiction/entity and CPA format. Her two supplied workbooks do not contain all 50-plus recipes; obtain the rest before a full migration.</w:t>
      </w:r>
    </w:p>
    <w:p>
      <w:pPr>
        <w:pStyle w:val="Heading1"/>
      </w:pPr>
      <w:r>
        <w:t>Acceptance checks</w:t>
      </w:r>
    </w:p>
    <w:p>
      <w:r>
        <w:t>Reimporting the same Square period adds no duplicate revenue. A deposit and final payment reconcile to one order. A new purchase price never silently changes historical reports. Market totals include waste and direct costs once. Unmatched products and missing expenses are visible. Exports recalculate independently and backups restore originals. Forecasts include off-season bills and capacity limits. Heidy can complete the agreed weekly review with little repeated entry; measure the actual time before setting a promise.</w:t>
      </w:r>
    </w:p>
    <w:p>
      <w:r>
        <w:t>Research used current Square documentation and US IRS/SBA references, accessed September 6, 2026. US tax context is provisional; jurisdiction, business structure, Square export contents and accounting preferences require confirmation. No Square account or private sales data was accessed. Feature choices are design recommendations, not existing functions or guaranteed financial results.</w:t>
      </w:r>
    </w:p>
    <w:sectPr w:rsidR="00FC693F" w:rsidRPr="0006063C" w:rsidSect="00034616">
      <w:footerReference w:type="default" r:id="rId17"/>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Heidy bakery app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quareup.com/help/us/en/article/8362-print-export-or-email-your-reports" TargetMode="External"/><Relationship Id="rId10" Type="http://schemas.openxmlformats.org/officeDocument/2006/relationships/hyperlink" Target="https://developer.squareup.com/docs/orders-api/what-it-does" TargetMode="External"/><Relationship Id="rId11" Type="http://schemas.openxmlformats.org/officeDocument/2006/relationships/hyperlink" Target="https://developer.squareup.com/docs/payouts-api/overview" TargetMode="External"/><Relationship Id="rId12" Type="http://schemas.openxmlformats.org/officeDocument/2006/relationships/hyperlink" Target="https://developer.squareup.com/docs/oauth-api/overview" TargetMode="External"/><Relationship Id="rId13" Type="http://schemas.openxmlformats.org/officeDocument/2006/relationships/hyperlink" Target="https://www.irs.gov/publications/p334" TargetMode="External"/><Relationship Id="rId14" Type="http://schemas.openxmlformats.org/officeDocument/2006/relationships/hyperlink" Target="https://www.irs.gov/publications/p463" TargetMode="External"/><Relationship Id="rId15" Type="http://schemas.openxmlformats.org/officeDocument/2006/relationships/hyperlink" Target="https://www.irs.gov/businesses/small-businesses-self-employed/what-kind-of-records-should-i-keep" TargetMode="External"/><Relationship Id="rId16" Type="http://schemas.openxmlformats.org/officeDocument/2006/relationships/hyperlink" Target="https://legacy.sba.gov/business-guide/plan-your-business/calculate-your-startup-costs/break-even-point"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Heidy bakery app feasibility and scope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