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Presentation 1</w:t>
      </w:r>
    </w:p>
    <w:p w:rsidR="00000000" w:rsidDel="00000000" w:rsidP="00000000" w:rsidRDefault="00000000" w:rsidRPr="00000000" w14:paraId="00000002">
      <w:pPr>
        <w:rPr>
          <w:b w:val="1"/>
          <w:bCs w:val="1"/>
        </w:rPr>
      </w:pPr>
      <w:r w:rsidDel="00000000" w:rsidR="00000000" w:rsidRPr="00000000">
        <w:rPr>
          <w:b w:val="1"/>
          <w:bCs w:val="1"/>
          <w:rtl w:val="0"/>
        </w:rPr>
        <w:t xml:space="preserve">What did each of the team members do?</w:t>
      </w:r>
    </w:p>
    <w:p w:rsidR="00000000" w:rsidDel="00000000" w:rsidP="00000000" w:rsidRDefault="00000000" w:rsidRPr="00000000" w14:paraId="00000003">
      <w:pPr>
        <w:rPr>
          <w:i w:val="1"/>
          <w:iCs w:val="1"/>
        </w:rPr>
      </w:pPr>
      <w:r w:rsidDel="00000000" w:rsidR="00000000" w:rsidRPr="00000000">
        <w:rPr>
          <w:i w:val="1"/>
          <w:iCs w:val="1"/>
          <w:rtl w:val="0"/>
        </w:rPr>
        <w:t xml:space="preserve">Note that multiple team members can work together on the same task. In that case, you may write the same task for all of them. For example,</w:t>
      </w:r>
    </w:p>
    <w:p w:rsidR="00000000" w:rsidDel="00000000" w:rsidP="00000000" w:rsidRDefault="00000000" w:rsidRPr="00000000" w14:paraId="00000004">
      <w:pPr>
        <w:rPr>
          <w:color w:val="ff0000"/>
        </w:rPr>
      </w:pPr>
      <w:r w:rsidDel="00000000" w:rsidR="00000000" w:rsidRPr="00000000">
        <w:rPr>
          <w:rtl w:val="0"/>
        </w:rPr>
        <w:t xml:space="preserve">Person 1:</w:t>
      </w:r>
      <w:r w:rsidDel="00000000" w:rsidR="00000000" w:rsidRPr="00000000">
        <w:rPr>
          <w:color w:val="ff0000"/>
          <w:rtl w:val="0"/>
        </w:rPr>
        <w:t xml:space="preserve"> Ben worked in the programmer role. He provided an in-depth analysis of the model architecture and ran through the steps of the code execution (initialization/setup, data preparation, model preparation, training infrastructure, etc.). Additionally, he reviewed the performance of the model and suggested potential improvements that could be made to the code.</w:t>
      </w:r>
    </w:p>
    <w:p w:rsidR="00000000" w:rsidDel="00000000" w:rsidP="00000000" w:rsidRDefault="00000000" w:rsidRPr="00000000" w14:paraId="00000005">
      <w:pPr>
        <w:rPr>
          <w:color w:val="ff0000"/>
        </w:rPr>
      </w:pPr>
      <w:r w:rsidDel="00000000" w:rsidR="00000000" w:rsidRPr="00000000">
        <w:rPr>
          <w:rtl w:val="0"/>
        </w:rPr>
        <w:t xml:space="preserve">Person 2: </w:t>
      </w:r>
      <w:r w:rsidDel="00000000" w:rsidR="00000000" w:rsidRPr="00000000">
        <w:rPr>
          <w:color w:val="ff0000"/>
          <w:rtl w:val="0"/>
        </w:rPr>
        <w:t xml:space="preserve">Akshay worked in the math czar role and reviewed the code. In particular he focused on the following concepts: [1] The attention weighting system, [2] Data Augmentation, and [3] Hyperparameters. He explained the concepts of a hierarchical MIL attention model and looked to see if there were any mathematical deficiencies + ideas that could  be tweaked going forward. </w:t>
      </w:r>
    </w:p>
    <w:p w:rsidR="00000000" w:rsidDel="00000000" w:rsidP="00000000" w:rsidRDefault="00000000" w:rsidRPr="00000000" w14:paraId="00000006">
      <w:pPr>
        <w:rPr>
          <w:color w:val="ff0000"/>
        </w:rPr>
      </w:pPr>
      <w:r w:rsidDel="00000000" w:rsidR="00000000" w:rsidRPr="00000000">
        <w:rPr>
          <w:rtl w:val="0"/>
        </w:rPr>
        <w:t xml:space="preserve">Person 3 &amp; 4: </w:t>
      </w:r>
      <w:r w:rsidDel="00000000" w:rsidR="00000000" w:rsidRPr="00000000">
        <w:rPr>
          <w:color w:val="ff0000"/>
          <w:rtl w:val="0"/>
        </w:rPr>
        <w:t xml:space="preserve">Zoe worked in the consultant role and she worked on the background information for the practical applications of the study. She also explained the data preprocessing and surface-level model architecture. Isabella also worked in the consultant role and summarized the problem statement for the project. Additionally, she worked on both the generalized and targeted limitations of the project. She also discussed future steps the group may take to further their work and obtain better model performance.</w:t>
      </w:r>
    </w:p>
    <w:p w:rsidR="00000000" w:rsidDel="00000000" w:rsidP="00000000" w:rsidRDefault="00000000" w:rsidRPr="00000000" w14:paraId="00000007">
      <w:pPr>
        <w:rPr>
          <w:b w:val="1"/>
          <w:bCs w:val="1"/>
        </w:rPr>
      </w:pPr>
      <w:r w:rsidDel="00000000" w:rsidR="00000000" w:rsidRPr="00000000">
        <w:rPr>
          <w:b w:val="1"/>
          <w:bCs w:val="1"/>
          <w:rtl w:val="0"/>
        </w:rPr>
        <w:t xml:space="preserve">How does it help the project?</w:t>
      </w:r>
    </w:p>
    <w:p w:rsidR="00000000" w:rsidDel="00000000" w:rsidP="00000000" w:rsidRDefault="00000000" w:rsidRPr="00000000" w14:paraId="00000008">
      <w:pPr>
        <w:ind w:firstLine="720"/>
        <w:rPr>
          <w:color w:val="ff0000"/>
        </w:rPr>
      </w:pPr>
      <w:r w:rsidDel="00000000" w:rsidR="00000000" w:rsidRPr="00000000">
        <w:rPr>
          <w:color w:val="ff0000"/>
          <w:rtl w:val="0"/>
        </w:rPr>
        <w:t xml:space="preserve">By reviewing the problem statement and taking the time to understand the intricacies of this project, we can work to provide a better solution to this project as a team. Math lies at the root of data science and model building, so it is essential that we understand the “whys” of what this project seeks to achieve. If there are mathematical applications that are holding the model back currently, it is imperative to note such things and make adjustments down the line. Programming allows us to bring these mathematical principles to life, providing the logistical “hows” on how our models actually work. Finally, interpretability is key in helping others to understand the findings of our project. Without being well informed on the real-world applications of our mathematical and programming work, we would not be able to properly communicate our output to others and the project would become useless. By explaining the objectives and background of this project through each of these lenses, Presentation #1 becomes the perfect first step in improving this model. </w:t>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Issues faced that haven’t been resolved:</w:t>
      </w:r>
    </w:p>
    <w:p w:rsidR="00000000" w:rsidDel="00000000" w:rsidP="00000000" w:rsidRDefault="00000000" w:rsidRPr="00000000" w14:paraId="0000000A">
      <w:pPr>
        <w:numPr>
          <w:ilvl w:val="0"/>
          <w:numId w:val="2"/>
        </w:numPr>
        <w:ind w:left="720" w:hanging="360"/>
        <w:rPr>
          <w:color w:val="ff0000"/>
        </w:rPr>
      </w:pPr>
      <w:r w:rsidDel="00000000" w:rsidR="00000000" w:rsidRPr="00000000">
        <w:rPr>
          <w:color w:val="ff0000"/>
          <w:rtl w:val="0"/>
        </w:rPr>
        <w:t xml:space="preserve">If time permits, we want to take a deeper dive into model regularization (as there were many different avenues for improvement)</w:t>
      </w:r>
    </w:p>
    <w:p w:rsidR="00000000" w:rsidDel="00000000" w:rsidP="00000000" w:rsidRDefault="00000000" w:rsidRPr="00000000" w14:paraId="0000000B">
      <w:pPr>
        <w:rPr>
          <w:b w:val="1"/>
          <w:bCs w:val="1"/>
        </w:rPr>
      </w:pPr>
      <w:r w:rsidDel="00000000" w:rsidR="00000000" w:rsidRPr="00000000">
        <w:rPr>
          <w:b w:val="1"/>
          <w:bCs w:val="1"/>
          <w:rtl w:val="0"/>
        </w:rPr>
        <w:t xml:space="preserve">Proposed next steps:</w:t>
      </w:r>
    </w:p>
    <w:p w:rsidR="00000000" w:rsidDel="00000000" w:rsidP="00000000" w:rsidRDefault="00000000" w:rsidRPr="00000000" w14:paraId="0000000C">
      <w:pPr>
        <w:rPr>
          <w:color w:val="ff0000"/>
        </w:rPr>
      </w:pPr>
      <w:r w:rsidDel="00000000" w:rsidR="00000000" w:rsidRPr="00000000">
        <w:rPr>
          <w:b w:val="1"/>
          <w:bCs w:val="1"/>
          <w:color w:val="ff0000"/>
          <w:rtl w:val="0"/>
        </w:rPr>
        <w:tab/>
      </w:r>
      <w:r w:rsidDel="00000000" w:rsidR="00000000" w:rsidRPr="00000000">
        <w:rPr>
          <w:color w:val="ff0000"/>
          <w:rtl w:val="0"/>
        </w:rPr>
        <w:t xml:space="preserve">The next step is to decide what direction we want to take the project in this quarter and pick a singular objective that our team can work towards in order to improve the model. Some ideas include:</w:t>
      </w:r>
    </w:p>
    <w:p w:rsidR="00000000" w:rsidDel="00000000" w:rsidP="00000000" w:rsidRDefault="00000000" w:rsidRPr="00000000" w14:paraId="0000000D">
      <w:pPr>
        <w:numPr>
          <w:ilvl w:val="0"/>
          <w:numId w:val="1"/>
        </w:numPr>
        <w:spacing w:after="0" w:afterAutospacing="0"/>
        <w:ind w:left="720" w:hanging="360"/>
        <w:rPr>
          <w:color w:val="ff0000"/>
          <w:u w:val="none"/>
        </w:rPr>
      </w:pPr>
      <w:r w:rsidDel="00000000" w:rsidR="00000000" w:rsidRPr="00000000">
        <w:rPr>
          <w:color w:val="ff0000"/>
          <w:rtl w:val="0"/>
        </w:rPr>
        <w:t xml:space="preserve">Using available data more</w:t>
      </w:r>
    </w:p>
    <w:p w:rsidR="00000000" w:rsidDel="00000000" w:rsidP="00000000" w:rsidRDefault="00000000" w:rsidRPr="00000000" w14:paraId="0000000E">
      <w:pPr>
        <w:numPr>
          <w:ilvl w:val="0"/>
          <w:numId w:val="1"/>
        </w:numPr>
        <w:spacing w:after="0" w:afterAutospacing="0"/>
        <w:ind w:left="720" w:hanging="360"/>
        <w:rPr>
          <w:color w:val="ff0000"/>
          <w:u w:val="none"/>
        </w:rPr>
      </w:pPr>
      <w:r w:rsidDel="00000000" w:rsidR="00000000" w:rsidRPr="00000000">
        <w:rPr>
          <w:color w:val="ff0000"/>
          <w:rtl w:val="0"/>
        </w:rPr>
        <w:t xml:space="preserve">Improving model interpretability</w:t>
      </w:r>
    </w:p>
    <w:p w:rsidR="00000000" w:rsidDel="00000000" w:rsidP="00000000" w:rsidRDefault="00000000" w:rsidRPr="00000000" w14:paraId="0000000F">
      <w:pPr>
        <w:numPr>
          <w:ilvl w:val="0"/>
          <w:numId w:val="1"/>
        </w:numPr>
        <w:spacing w:after="0" w:afterAutospacing="0"/>
        <w:ind w:left="720" w:hanging="360"/>
        <w:rPr>
          <w:color w:val="ff0000"/>
          <w:u w:val="none"/>
        </w:rPr>
      </w:pPr>
      <w:r w:rsidDel="00000000" w:rsidR="00000000" w:rsidRPr="00000000">
        <w:rPr>
          <w:color w:val="ff0000"/>
          <w:rtl w:val="0"/>
        </w:rPr>
        <w:t xml:space="preserve">Strengthening regularization</w:t>
      </w:r>
    </w:p>
    <w:p w:rsidR="00000000" w:rsidDel="00000000" w:rsidP="00000000" w:rsidRDefault="00000000" w:rsidRPr="00000000" w14:paraId="00000010">
      <w:pPr>
        <w:numPr>
          <w:ilvl w:val="0"/>
          <w:numId w:val="1"/>
        </w:numPr>
        <w:ind w:left="720" w:hanging="360"/>
        <w:rPr>
          <w:color w:val="ff0000"/>
          <w:u w:val="none"/>
        </w:rPr>
      </w:pPr>
      <w:r w:rsidDel="00000000" w:rsidR="00000000" w:rsidRPr="00000000">
        <w:rPr>
          <w:color w:val="ff0000"/>
          <w:rtl w:val="0"/>
        </w:rPr>
        <w:t xml:space="preserve">Optimizing hyperparameter selection</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References</w:t>
      </w:r>
    </w:p>
    <w:p w:rsidR="00000000" w:rsidDel="00000000" w:rsidP="00000000" w:rsidRDefault="00000000" w:rsidRPr="00000000" w14:paraId="00000012">
      <w:pPr>
        <w:rPr>
          <w:color w:val="ff0000"/>
        </w:rPr>
      </w:pPr>
      <w:r w:rsidDel="00000000" w:rsidR="00000000" w:rsidRPr="00000000">
        <w:rPr>
          <w:color w:val="ff0000"/>
          <w:rtl w:val="0"/>
        </w:rPr>
        <w:t xml:space="preserve">Final_presentation_Fall2025.pdf</w:t>
      </w:r>
    </w:p>
    <w:p w:rsidR="00000000" w:rsidDel="00000000" w:rsidP="00000000" w:rsidRDefault="00000000" w:rsidRPr="00000000" w14:paraId="00000013">
      <w:pPr>
        <w:rPr>
          <w:color w:val="ff0000"/>
        </w:rPr>
      </w:pPr>
      <w:r w:rsidDel="00000000" w:rsidR="00000000" w:rsidRPr="00000000">
        <w:rPr>
          <w:color w:val="ff0000"/>
          <w:rtl w:val="0"/>
        </w:rPr>
        <w:t xml:space="preserve">CMIL_classification_Problem_statement_and_Data_Winter2026.pdf</w:t>
      </w:r>
    </w:p>
    <w:p w:rsidR="00000000" w:rsidDel="00000000" w:rsidP="00000000" w:rsidRDefault="00000000" w:rsidRPr="00000000" w14:paraId="00000014">
      <w:pPr>
        <w:ind w:left="720" w:hanging="720"/>
        <w:rPr>
          <w:color w:val="ff0000"/>
        </w:rPr>
      </w:pPr>
      <w:r w:rsidDel="00000000" w:rsidR="00000000" w:rsidRPr="00000000">
        <w:rPr>
          <w:color w:val="ff0000"/>
          <w:rtl w:val="0"/>
        </w:rPr>
        <w:t xml:space="preserve">Cheng, Yating, et al. “Synergistic H&amp;E and IHC image analysis by AI predicts cancer biomarkers and survival outcomes in colorectal and breast cancer.” Communications Medicine, vol. 5, no. 1, 24 Oct. 2025, </w:t>
      </w:r>
      <w:hyperlink r:id="rId6">
        <w:r w:rsidDel="00000000" w:rsidR="00000000" w:rsidRPr="00000000">
          <w:rPr>
            <w:color w:val="1155cc"/>
            <w:u w:val="single"/>
            <w:rtl w:val="0"/>
          </w:rPr>
          <w:t xml:space="preserve">https://doi.org/10.1038/s43856-025-01045-9</w:t>
        </w:r>
      </w:hyperlink>
      <w:r w:rsidDel="00000000" w:rsidR="00000000" w:rsidRPr="00000000">
        <w:rPr>
          <w:color w:val="ff0000"/>
          <w:rtl w:val="0"/>
        </w:rPr>
        <w:t xml:space="preserve">. </w:t>
      </w:r>
    </w:p>
    <w:p w:rsidR="00000000" w:rsidDel="00000000" w:rsidP="00000000" w:rsidRDefault="00000000" w:rsidRPr="00000000" w14:paraId="00000015">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s43856-025-0104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