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49" w:rsidRDefault="00754649" w:rsidP="00754649">
      <w:pPr>
        <w:tabs>
          <w:tab w:val="left" w:pos="360"/>
          <w:tab w:val="left" w:pos="900"/>
        </w:tabs>
        <w:ind w:left="90"/>
        <w:jc w:val="right"/>
      </w:pPr>
      <w:r>
        <w:t>ARDC No.:  6296022</w:t>
      </w:r>
    </w:p>
    <w:p w:rsidR="00754649" w:rsidRDefault="00754649" w:rsidP="00754649">
      <w:pPr>
        <w:tabs>
          <w:tab w:val="left" w:pos="360"/>
          <w:tab w:val="left" w:pos="900"/>
        </w:tabs>
        <w:ind w:left="90"/>
      </w:pPr>
    </w:p>
    <w:p w:rsidR="00754649" w:rsidRDefault="00754649" w:rsidP="00754649">
      <w:pPr>
        <w:tabs>
          <w:tab w:val="left" w:pos="360"/>
          <w:tab w:val="left" w:pos="900"/>
        </w:tabs>
        <w:ind w:left="90"/>
        <w:jc w:val="center"/>
      </w:pPr>
      <w:r>
        <w:t xml:space="preserve">IN THE CIRCUIT COURT OF THE 19TH JUDICIAL CIRCUIT </w:t>
      </w:r>
    </w:p>
    <w:p w:rsidR="00754649" w:rsidRDefault="00754649" w:rsidP="00754649">
      <w:pPr>
        <w:tabs>
          <w:tab w:val="left" w:pos="360"/>
          <w:tab w:val="left" w:pos="900"/>
        </w:tabs>
        <w:ind w:left="90"/>
        <w:jc w:val="center"/>
      </w:pPr>
      <w:r>
        <w:t xml:space="preserve">LAKE COUNTY, WAUKEGAN, ILLINOIS </w:t>
      </w:r>
    </w:p>
    <w:p w:rsidR="00754649" w:rsidRDefault="00754649" w:rsidP="00754649">
      <w:pPr>
        <w:tabs>
          <w:tab w:val="left" w:pos="360"/>
          <w:tab w:val="left" w:pos="900"/>
        </w:tabs>
        <w:ind w:left="90"/>
      </w:pPr>
    </w:p>
    <w:p w:rsidR="00754649" w:rsidRDefault="00754649" w:rsidP="00754649">
      <w:pPr>
        <w:tabs>
          <w:tab w:val="left" w:pos="360"/>
          <w:tab w:val="left" w:pos="900"/>
        </w:tabs>
        <w:ind w:left="90"/>
      </w:pPr>
    </w:p>
    <w:tbl>
      <w:tblPr>
        <w:tblW w:w="11647" w:type="dxa"/>
        <w:tblLayout w:type="fixed"/>
        <w:tblLook w:val="0000" w:firstRow="0" w:lastRow="0" w:firstColumn="0" w:lastColumn="0" w:noHBand="0" w:noVBand="0"/>
      </w:tblPr>
      <w:tblGrid>
        <w:gridCol w:w="7452"/>
        <w:gridCol w:w="4195"/>
      </w:tblGrid>
      <w:tr w:rsidR="00754649" w:rsidTr="00DA1DDC">
        <w:trPr>
          <w:trHeight w:val="222"/>
        </w:trPr>
        <w:tc>
          <w:tcPr>
            <w:tcW w:w="7452" w:type="dxa"/>
            <w:shd w:val="clear" w:color="auto" w:fill="FFFFFF"/>
            <w:vAlign w:val="bottom"/>
          </w:tcPr>
          <w:p w:rsidR="00754649" w:rsidRDefault="00754649" w:rsidP="00754649">
            <w:pPr>
              <w:ind w:left="90"/>
            </w:pPr>
            <w:r>
              <w:t xml:space="preserve">QUICKEN LOANS INC., </w:t>
            </w:r>
          </w:p>
        </w:tc>
        <w:tc>
          <w:tcPr>
            <w:tcW w:w="4195" w:type="dxa"/>
            <w:tcBorders>
              <w:left w:val="single" w:sz="20" w:space="0" w:color="000000"/>
            </w:tcBorders>
            <w:shd w:val="clear" w:color="auto" w:fill="FFFFFF"/>
          </w:tcPr>
          <w:p w:rsidR="00754649" w:rsidRDefault="00754649" w:rsidP="00754649">
            <w:pPr>
              <w:snapToGrid w:val="0"/>
              <w:ind w:left="90"/>
            </w:pPr>
          </w:p>
        </w:tc>
      </w:tr>
      <w:tr w:rsidR="00754649" w:rsidTr="00DA1DDC">
        <w:trPr>
          <w:trHeight w:val="54"/>
        </w:trPr>
        <w:tc>
          <w:tcPr>
            <w:tcW w:w="7452" w:type="dxa"/>
            <w:shd w:val="clear" w:color="auto" w:fill="FFFFFF"/>
            <w:vAlign w:val="bottom"/>
          </w:tcPr>
          <w:p w:rsidR="00754649" w:rsidRDefault="00754649" w:rsidP="00754649">
            <w:pPr>
              <w:ind w:left="90"/>
              <w:jc w:val="center"/>
            </w:pPr>
            <w:r>
              <w:t>Plaintiff,</w:t>
            </w:r>
          </w:p>
        </w:tc>
        <w:tc>
          <w:tcPr>
            <w:tcW w:w="4195" w:type="dxa"/>
            <w:tcBorders>
              <w:left w:val="single" w:sz="20" w:space="0" w:color="000000"/>
            </w:tcBorders>
            <w:shd w:val="clear" w:color="auto" w:fill="FFFFFF"/>
          </w:tcPr>
          <w:p w:rsidR="00754649" w:rsidRDefault="00754649" w:rsidP="00754649">
            <w:pPr>
              <w:ind w:left="90"/>
            </w:pPr>
            <w:r>
              <w:t>Case No. 17-CH-1634</w:t>
            </w:r>
          </w:p>
        </w:tc>
      </w:tr>
      <w:tr w:rsidR="00754649" w:rsidTr="00DA1DDC">
        <w:trPr>
          <w:trHeight w:val="117"/>
        </w:trPr>
        <w:tc>
          <w:tcPr>
            <w:tcW w:w="7452" w:type="dxa"/>
            <w:vMerge w:val="restart"/>
            <w:shd w:val="clear" w:color="auto" w:fill="FFFFFF"/>
            <w:vAlign w:val="center"/>
          </w:tcPr>
          <w:p w:rsidR="00754649" w:rsidRDefault="00754649" w:rsidP="00754649">
            <w:pPr>
              <w:ind w:left="90"/>
              <w:jc w:val="center"/>
            </w:pPr>
            <w:r>
              <w:t>vs.</w:t>
            </w:r>
          </w:p>
        </w:tc>
        <w:tc>
          <w:tcPr>
            <w:tcW w:w="4195" w:type="dxa"/>
            <w:tcBorders>
              <w:left w:val="single" w:sz="20" w:space="0" w:color="000000"/>
            </w:tcBorders>
            <w:shd w:val="clear" w:color="auto" w:fill="FFFFFF"/>
          </w:tcPr>
          <w:p w:rsidR="00754649" w:rsidRDefault="00754649" w:rsidP="00754649">
            <w:pPr>
              <w:snapToGrid w:val="0"/>
              <w:ind w:left="90"/>
            </w:pPr>
          </w:p>
        </w:tc>
      </w:tr>
      <w:tr w:rsidR="00754649" w:rsidTr="00DA1DDC">
        <w:trPr>
          <w:trHeight w:val="28"/>
        </w:trPr>
        <w:tc>
          <w:tcPr>
            <w:tcW w:w="7452" w:type="dxa"/>
            <w:vMerge/>
            <w:shd w:val="clear" w:color="auto" w:fill="FFFFFF"/>
            <w:vAlign w:val="center"/>
          </w:tcPr>
          <w:p w:rsidR="00754649" w:rsidRDefault="00754649" w:rsidP="00754649">
            <w:pPr>
              <w:ind w:left="90"/>
            </w:pPr>
          </w:p>
        </w:tc>
        <w:tc>
          <w:tcPr>
            <w:tcW w:w="4195" w:type="dxa"/>
            <w:tcBorders>
              <w:left w:val="single" w:sz="20" w:space="0" w:color="000000"/>
            </w:tcBorders>
            <w:shd w:val="clear" w:color="auto" w:fill="FFFFFF"/>
          </w:tcPr>
          <w:p w:rsidR="00754649" w:rsidRDefault="00754649" w:rsidP="00754649">
            <w:pPr>
              <w:ind w:left="90"/>
            </w:pPr>
            <w:r>
              <w:t>Property Address:</w:t>
            </w:r>
          </w:p>
          <w:p w:rsidR="00754649" w:rsidRDefault="00754649" w:rsidP="00754649">
            <w:pPr>
              <w:ind w:left="90"/>
            </w:pPr>
            <w:r>
              <w:t>2101 33</w:t>
            </w:r>
            <w:r w:rsidRPr="00592195">
              <w:rPr>
                <w:vertAlign w:val="superscript"/>
              </w:rPr>
              <w:t>rd</w:t>
            </w:r>
            <w:r>
              <w:t xml:space="preserve"> STREET</w:t>
            </w:r>
          </w:p>
          <w:p w:rsidR="00754649" w:rsidRDefault="00754649" w:rsidP="00754649">
            <w:pPr>
              <w:ind w:left="90"/>
            </w:pPr>
            <w:r>
              <w:t xml:space="preserve">ZION, ILLINOIS 60099 </w:t>
            </w:r>
          </w:p>
        </w:tc>
      </w:tr>
      <w:tr w:rsidR="00754649" w:rsidTr="00DA1DDC">
        <w:trPr>
          <w:trHeight w:val="165"/>
        </w:trPr>
        <w:tc>
          <w:tcPr>
            <w:tcW w:w="7452" w:type="dxa"/>
            <w:shd w:val="clear" w:color="auto" w:fill="FFFFFF"/>
            <w:vAlign w:val="bottom"/>
          </w:tcPr>
          <w:p w:rsidR="00754649" w:rsidRDefault="00754649" w:rsidP="00754649">
            <w:pPr>
              <w:ind w:left="90" w:right="612"/>
            </w:pPr>
            <w:r>
              <w:t>JUNAYD LATIF; SURIYYA LATIF; MORTGAGE ELECTRONIC REGISTRATION SYSTEMS, INC., SOLELY AS NOMINEE FOR AMERICAN HOME MORTGAGE; UNKNOWN OWNER AND NON-RECORD CLAIMANTS,</w:t>
            </w:r>
          </w:p>
        </w:tc>
        <w:tc>
          <w:tcPr>
            <w:tcW w:w="4195" w:type="dxa"/>
            <w:tcBorders>
              <w:left w:val="single" w:sz="20" w:space="0" w:color="000000"/>
            </w:tcBorders>
            <w:shd w:val="clear" w:color="auto" w:fill="FFFFFF"/>
          </w:tcPr>
          <w:p w:rsidR="00754649" w:rsidRDefault="00754649" w:rsidP="00754649">
            <w:pPr>
              <w:snapToGrid w:val="0"/>
              <w:ind w:left="90"/>
            </w:pPr>
          </w:p>
        </w:tc>
      </w:tr>
      <w:tr w:rsidR="00754649" w:rsidTr="00DA1DDC">
        <w:trPr>
          <w:trHeight w:val="57"/>
        </w:trPr>
        <w:tc>
          <w:tcPr>
            <w:tcW w:w="7452" w:type="dxa"/>
            <w:shd w:val="clear" w:color="auto" w:fill="FFFFFF"/>
            <w:vAlign w:val="bottom"/>
          </w:tcPr>
          <w:p w:rsidR="00754649" w:rsidRDefault="00754649" w:rsidP="00754649">
            <w:pPr>
              <w:ind w:left="90"/>
              <w:jc w:val="center"/>
            </w:pPr>
            <w:r>
              <w:t>Defendant(s).</w:t>
            </w:r>
          </w:p>
        </w:tc>
        <w:tc>
          <w:tcPr>
            <w:tcW w:w="4195" w:type="dxa"/>
            <w:tcBorders>
              <w:left w:val="single" w:sz="20" w:space="0" w:color="000000"/>
            </w:tcBorders>
            <w:shd w:val="clear" w:color="auto" w:fill="FFFFFF"/>
          </w:tcPr>
          <w:p w:rsidR="00754649" w:rsidRDefault="00754649" w:rsidP="00754649">
            <w:pPr>
              <w:snapToGrid w:val="0"/>
              <w:ind w:left="90"/>
            </w:pPr>
          </w:p>
        </w:tc>
      </w:tr>
    </w:tbl>
    <w:p w:rsidR="00D87BC4" w:rsidRDefault="00D87BC4" w:rsidP="00754649">
      <w:pPr>
        <w:ind w:left="90"/>
      </w:pPr>
    </w:p>
    <w:p w:rsidR="00754649" w:rsidRDefault="00754649" w:rsidP="00754649">
      <w:pPr>
        <w:ind w:left="90"/>
        <w:jc w:val="center"/>
      </w:pPr>
    </w:p>
    <w:p w:rsidR="00754649" w:rsidRDefault="00754649" w:rsidP="00754649">
      <w:pPr>
        <w:ind w:left="90"/>
        <w:jc w:val="center"/>
        <w:rPr>
          <w:b/>
          <w:u w:val="single"/>
        </w:rPr>
      </w:pPr>
      <w:r>
        <w:rPr>
          <w:b/>
          <w:u w:val="single"/>
        </w:rPr>
        <w:t>PETITION OF BANK OF AMERICA, N.A. FOR LEAVE TO INTERVENE AND FILE ITS APPEARANCE AND ANSWER</w:t>
      </w:r>
    </w:p>
    <w:p w:rsidR="00754649" w:rsidRDefault="00754649" w:rsidP="00754649">
      <w:pPr>
        <w:ind w:left="90"/>
        <w:jc w:val="center"/>
        <w:rPr>
          <w:b/>
          <w:u w:val="single"/>
        </w:rPr>
      </w:pPr>
    </w:p>
    <w:p w:rsidR="00754649" w:rsidRDefault="00754649" w:rsidP="00754649">
      <w:pPr>
        <w:spacing w:line="480" w:lineRule="auto"/>
        <w:ind w:firstLine="720"/>
        <w:rPr>
          <w:rFonts w:eastAsia="Calibri"/>
        </w:rPr>
      </w:pPr>
      <w:r>
        <w:rPr>
          <w:rFonts w:eastAsia="Calibri"/>
        </w:rPr>
        <w:t>NOW COMES Petitioner</w:t>
      </w:r>
      <w:r>
        <w:rPr>
          <w:rFonts w:eastAsia="Calibri"/>
        </w:rPr>
        <w:t xml:space="preserve">, </w:t>
      </w:r>
      <w:r>
        <w:t>BANK OF AMERICA, N.A.</w:t>
      </w:r>
      <w:r>
        <w:rPr>
          <w:rFonts w:eastAsia="Calibri"/>
        </w:rPr>
        <w:t xml:space="preserve">, by and through its attorneys, MARINOSCI LAW GROUP, P.C. and </w:t>
      </w:r>
      <w:r>
        <w:rPr>
          <w:rFonts w:eastAsia="Calibri"/>
        </w:rPr>
        <w:t>petitions</w:t>
      </w:r>
      <w:r>
        <w:rPr>
          <w:rFonts w:eastAsia="Calibri"/>
        </w:rPr>
        <w:t xml:space="preserve"> the court for leave </w:t>
      </w:r>
      <w:r>
        <w:rPr>
          <w:rFonts w:eastAsia="Calibri"/>
        </w:rPr>
        <w:t xml:space="preserve">to intervene and </w:t>
      </w:r>
      <w:r>
        <w:rPr>
          <w:rFonts w:eastAsia="Calibri"/>
        </w:rPr>
        <w:t>to file its appearance and answer, and in support thereof, states as follows:</w:t>
      </w:r>
    </w:p>
    <w:p w:rsidR="00754649" w:rsidRDefault="00754649" w:rsidP="00754649">
      <w:pPr>
        <w:pStyle w:val="ListParagraph"/>
        <w:numPr>
          <w:ilvl w:val="0"/>
          <w:numId w:val="2"/>
        </w:numPr>
        <w:spacing w:line="480" w:lineRule="auto"/>
        <w:rPr>
          <w:rFonts w:eastAsia="Calibri"/>
        </w:rPr>
      </w:pPr>
      <w:r>
        <w:rPr>
          <w:rFonts w:eastAsia="Calibri"/>
        </w:rPr>
        <w:t>Plaintiff filed its Complaint to Foreclose Mortgage on or about December 11, 2017.</w:t>
      </w:r>
    </w:p>
    <w:p w:rsidR="00754649" w:rsidRDefault="00754649" w:rsidP="00754649">
      <w:pPr>
        <w:pStyle w:val="ListParagraph"/>
        <w:numPr>
          <w:ilvl w:val="0"/>
          <w:numId w:val="2"/>
        </w:numPr>
        <w:spacing w:line="480" w:lineRule="auto"/>
        <w:rPr>
          <w:rFonts w:eastAsia="Calibri"/>
        </w:rPr>
      </w:pPr>
      <w:r>
        <w:rPr>
          <w:rFonts w:eastAsia="Calibri"/>
        </w:rPr>
        <w:t xml:space="preserve">In Plaintiff’s Complaint, it named as a party Defendant Mortgage Electronic Registration Systems, Inc., solely as nominee for American Home Mortgage (hereinafter referred to as “MERS”) </w:t>
      </w:r>
      <w:r w:rsidR="000855DC">
        <w:rPr>
          <w:rFonts w:eastAsia="Calibri"/>
        </w:rPr>
        <w:t>pursuant to</w:t>
      </w:r>
      <w:r>
        <w:rPr>
          <w:rFonts w:eastAsia="Calibri"/>
        </w:rPr>
        <w:t xml:space="preserve"> a mortgage recorded December 21, 2006 as Document 6109928. This mortgage was subordinated to Plaintiff’s mortgage by way of a Subordination Agreement recorded March 1, 2016 as Document 7272320.</w:t>
      </w:r>
    </w:p>
    <w:p w:rsidR="00754649" w:rsidRDefault="00754649" w:rsidP="00754649">
      <w:pPr>
        <w:pStyle w:val="ListParagraph"/>
        <w:numPr>
          <w:ilvl w:val="0"/>
          <w:numId w:val="2"/>
        </w:numPr>
        <w:spacing w:line="480" w:lineRule="auto"/>
        <w:rPr>
          <w:rFonts w:eastAsia="Calibri"/>
        </w:rPr>
      </w:pPr>
      <w:r>
        <w:rPr>
          <w:rFonts w:eastAsia="Calibri"/>
        </w:rPr>
        <w:t xml:space="preserve">On September 18, 2017, MERS executed an assignment of the aforementioned mortgage recorded as Document 6109928, assigning its interests to petitioner BANK OF </w:t>
      </w:r>
      <w:r>
        <w:rPr>
          <w:rFonts w:eastAsia="Calibri"/>
        </w:rPr>
        <w:lastRenderedPageBreak/>
        <w:t>AMERICA, N.A. Said assignment was recorded on September 25, 2017 as Document 7430126.</w:t>
      </w:r>
      <w:r w:rsidR="000855DC">
        <w:rPr>
          <w:rFonts w:eastAsia="Calibri"/>
        </w:rPr>
        <w:t xml:space="preserve"> See attached </w:t>
      </w:r>
      <w:r w:rsidR="000855DC" w:rsidRPr="000855DC">
        <w:rPr>
          <w:rFonts w:eastAsia="Calibri"/>
          <w:b/>
        </w:rPr>
        <w:t>Exhibit A</w:t>
      </w:r>
      <w:r w:rsidR="000855DC">
        <w:rPr>
          <w:rFonts w:eastAsia="Calibri"/>
        </w:rPr>
        <w:t>.</w:t>
      </w:r>
      <w:bookmarkStart w:id="0" w:name="_GoBack"/>
      <w:bookmarkEnd w:id="0"/>
    </w:p>
    <w:p w:rsidR="00754649" w:rsidRDefault="00754649" w:rsidP="00754649">
      <w:pPr>
        <w:pStyle w:val="ListParagraph"/>
        <w:numPr>
          <w:ilvl w:val="0"/>
          <w:numId w:val="2"/>
        </w:numPr>
        <w:spacing w:line="480" w:lineRule="auto"/>
        <w:rPr>
          <w:rFonts w:eastAsia="Calibri"/>
        </w:rPr>
      </w:pPr>
      <w:r>
        <w:rPr>
          <w:rFonts w:eastAsia="Calibri"/>
        </w:rPr>
        <w:t>As a result of the aforementioned assignment, BANK OF AMERICA, N.A., and not MERS, is the correct party defendant in interest in the above captioned case.</w:t>
      </w:r>
    </w:p>
    <w:p w:rsidR="00754649" w:rsidRDefault="00754649" w:rsidP="00754649">
      <w:pPr>
        <w:pStyle w:val="ListParagraph"/>
        <w:numPr>
          <w:ilvl w:val="0"/>
          <w:numId w:val="2"/>
        </w:numPr>
        <w:spacing w:line="480" w:lineRule="auto"/>
        <w:rPr>
          <w:rFonts w:eastAsia="Calibri"/>
        </w:rPr>
      </w:pPr>
      <w:r>
        <w:rPr>
          <w:rFonts w:eastAsia="Calibri"/>
        </w:rPr>
        <w:t>Pursuant to 735 ILCS 5/2-408,</w:t>
      </w:r>
    </w:p>
    <w:p w:rsidR="00754649" w:rsidRDefault="00754649" w:rsidP="001A5347">
      <w:pPr>
        <w:pStyle w:val="ListParagraph"/>
        <w:numPr>
          <w:ilvl w:val="0"/>
          <w:numId w:val="3"/>
        </w:numPr>
        <w:spacing w:line="480" w:lineRule="auto"/>
        <w:rPr>
          <w:rFonts w:eastAsia="Calibri"/>
        </w:rPr>
      </w:pPr>
      <w:r>
        <w:rPr>
          <w:rFonts w:eastAsia="Calibri"/>
        </w:rPr>
        <w:t xml:space="preserve">Upon </w:t>
      </w:r>
      <w:r w:rsidR="001A5347">
        <w:rPr>
          <w:rFonts w:eastAsia="Calibri"/>
        </w:rPr>
        <w:t xml:space="preserve">timely application anyone shall be permitted as of right to intervene in an action; (1) when a statute confers an unconditional right to intervene; or (2) </w:t>
      </w:r>
      <w:r w:rsidR="001A5347" w:rsidRPr="001A5347">
        <w:rPr>
          <w:rFonts w:eastAsia="Calibri"/>
        </w:rPr>
        <w:t>when the representation of the applicant's interest by existing parties is or may be inadequate and the applicant will or may be bound by an order or judgment in the action; or (3) when the applicant is so situated as to be adversely affected by a distribution or other disposition of property in the custody or subject to the control or disposition of the court or a court officer.</w:t>
      </w:r>
    </w:p>
    <w:p w:rsidR="001A5347" w:rsidRDefault="001A5347" w:rsidP="001A5347">
      <w:pPr>
        <w:pStyle w:val="ListParagraph"/>
        <w:numPr>
          <w:ilvl w:val="0"/>
          <w:numId w:val="2"/>
        </w:numPr>
        <w:spacing w:line="480" w:lineRule="auto"/>
        <w:rPr>
          <w:rFonts w:eastAsia="Calibri"/>
        </w:rPr>
      </w:pPr>
      <w:r>
        <w:rPr>
          <w:rFonts w:eastAsia="Calibri"/>
        </w:rPr>
        <w:t>Pursuant to 735 ILCS 5/15-1501(d),</w:t>
      </w:r>
    </w:p>
    <w:p w:rsidR="001A5347" w:rsidRDefault="001A5347" w:rsidP="001A5347">
      <w:pPr>
        <w:pStyle w:val="ListParagraph"/>
        <w:spacing w:line="480" w:lineRule="auto"/>
        <w:ind w:left="1170" w:hanging="450"/>
        <w:rPr>
          <w:rFonts w:eastAsia="Calibri"/>
        </w:rPr>
      </w:pPr>
      <w:r>
        <w:rPr>
          <w:rFonts w:eastAsia="Calibri"/>
        </w:rPr>
        <w:t xml:space="preserve">(d) </w:t>
      </w:r>
      <w:r>
        <w:rPr>
          <w:rFonts w:eastAsia="Calibri"/>
        </w:rPr>
        <w:tab/>
      </w:r>
      <w:r w:rsidRPr="001A5347">
        <w:rPr>
          <w:rFonts w:eastAsia="Calibri"/>
        </w:rPr>
        <w:t>Right to Become Party. Any person who has or claims an interest in real estate which is the subject of a foreclosure or an interest in any debt secured by the mortgage shall have an unconditional right to appear and become a party in such foreclosure in accordance with subsection (e) of Section 15-1501</w:t>
      </w:r>
      <w:r>
        <w:rPr>
          <w:rFonts w:eastAsia="Calibri"/>
        </w:rPr>
        <w:t>….</w:t>
      </w:r>
    </w:p>
    <w:p w:rsidR="001A5347" w:rsidRDefault="001A5347" w:rsidP="001A5347">
      <w:pPr>
        <w:pStyle w:val="ListParagraph"/>
        <w:numPr>
          <w:ilvl w:val="0"/>
          <w:numId w:val="2"/>
        </w:numPr>
        <w:spacing w:line="480" w:lineRule="auto"/>
        <w:rPr>
          <w:rFonts w:eastAsia="Calibri"/>
        </w:rPr>
      </w:pPr>
      <w:r>
        <w:rPr>
          <w:rFonts w:eastAsia="Calibri"/>
        </w:rPr>
        <w:t>Furthermore, 735 ILCS 5/15-1501(e)(1) states:</w:t>
      </w:r>
    </w:p>
    <w:p w:rsidR="001A5347" w:rsidRDefault="001A5347" w:rsidP="001A5347">
      <w:pPr>
        <w:pStyle w:val="ListParagraph"/>
        <w:numPr>
          <w:ilvl w:val="0"/>
          <w:numId w:val="9"/>
        </w:numPr>
        <w:spacing w:line="480" w:lineRule="auto"/>
        <w:rPr>
          <w:rFonts w:eastAsia="Calibri"/>
        </w:rPr>
      </w:pPr>
      <w:r w:rsidRPr="001A5347">
        <w:rPr>
          <w:rFonts w:eastAsia="Calibri"/>
        </w:rPr>
        <w:t xml:space="preserve">Of Right. A person not a party, other than a </w:t>
      </w:r>
      <w:proofErr w:type="spellStart"/>
      <w:r w:rsidRPr="001A5347">
        <w:rPr>
          <w:rFonts w:eastAsia="Calibri"/>
        </w:rPr>
        <w:t>nonrecord</w:t>
      </w:r>
      <w:proofErr w:type="spellEnd"/>
      <w:r w:rsidRPr="001A5347">
        <w:rPr>
          <w:rFonts w:eastAsia="Calibri"/>
        </w:rPr>
        <w:t xml:space="preserve"> claimant given notice in accordance with paragraph (2) of subsection (c) of Section 15-1502, who has or claims an interest in</w:t>
      </w:r>
      <w:r>
        <w:rPr>
          <w:rFonts w:eastAsia="Calibri"/>
        </w:rPr>
        <w:t xml:space="preserve"> the mortgaged real estate may </w:t>
      </w:r>
      <w:r w:rsidRPr="001A5347">
        <w:rPr>
          <w:rFonts w:eastAsia="Calibri"/>
        </w:rPr>
        <w:t>appear and become a party at any time prior to the e</w:t>
      </w:r>
      <w:r>
        <w:rPr>
          <w:rFonts w:eastAsia="Calibri"/>
        </w:rPr>
        <w:t>ntry of judgment of foreclosure.</w:t>
      </w:r>
    </w:p>
    <w:p w:rsidR="001A5347" w:rsidRDefault="001A5347" w:rsidP="001A5347">
      <w:pPr>
        <w:pStyle w:val="ListParagraph"/>
        <w:spacing w:line="480" w:lineRule="auto"/>
        <w:ind w:left="1080"/>
        <w:rPr>
          <w:rFonts w:eastAsia="Calibri"/>
        </w:rPr>
      </w:pPr>
    </w:p>
    <w:p w:rsidR="001A5347" w:rsidRDefault="001A5347" w:rsidP="001A5347">
      <w:pPr>
        <w:pStyle w:val="ListParagraph"/>
        <w:spacing w:line="480" w:lineRule="auto"/>
        <w:rPr>
          <w:rFonts w:eastAsia="Calibri"/>
        </w:rPr>
      </w:pPr>
    </w:p>
    <w:p w:rsidR="001A5347" w:rsidRDefault="001A5347" w:rsidP="001A5347">
      <w:pPr>
        <w:pStyle w:val="ListParagraph"/>
        <w:numPr>
          <w:ilvl w:val="0"/>
          <w:numId w:val="2"/>
        </w:numPr>
        <w:spacing w:line="480" w:lineRule="auto"/>
        <w:rPr>
          <w:rFonts w:eastAsia="Calibri"/>
        </w:rPr>
      </w:pPr>
      <w:r>
        <w:rPr>
          <w:rFonts w:eastAsia="Calibri"/>
        </w:rPr>
        <w:t xml:space="preserve">In the </w:t>
      </w:r>
      <w:r w:rsidR="00B92955">
        <w:rPr>
          <w:rFonts w:eastAsia="Calibri"/>
        </w:rPr>
        <w:t>instant case, on information and belief, no judgment of foreclosure has entered.</w:t>
      </w:r>
    </w:p>
    <w:p w:rsidR="00B92955" w:rsidRDefault="00B92955" w:rsidP="001A5347">
      <w:pPr>
        <w:pStyle w:val="ListParagraph"/>
        <w:numPr>
          <w:ilvl w:val="0"/>
          <w:numId w:val="2"/>
        </w:numPr>
        <w:spacing w:line="480" w:lineRule="auto"/>
        <w:rPr>
          <w:rFonts w:eastAsia="Calibri"/>
        </w:rPr>
      </w:pPr>
      <w:r>
        <w:rPr>
          <w:rFonts w:eastAsia="Calibri"/>
        </w:rPr>
        <w:t>BANK OF AMERICA, N.A. has a valid interest</w:t>
      </w:r>
      <w:r w:rsidR="000855DC">
        <w:rPr>
          <w:rFonts w:eastAsia="Calibri"/>
        </w:rPr>
        <w:t xml:space="preserve"> in the subject property and thus has a right to become a party to the case.</w:t>
      </w:r>
    </w:p>
    <w:p w:rsidR="000855DC" w:rsidRDefault="000855DC" w:rsidP="000855DC">
      <w:pPr>
        <w:spacing w:line="480" w:lineRule="auto"/>
        <w:ind w:left="720"/>
        <w:rPr>
          <w:rFonts w:eastAsia="Calibri"/>
        </w:rPr>
      </w:pPr>
      <w:r>
        <w:rPr>
          <w:rFonts w:eastAsia="Calibri"/>
        </w:rPr>
        <w:t>WHEREFORE, Petitioner BANK OF AMERICA, N.A. prays that this Honorable Court:</w:t>
      </w:r>
    </w:p>
    <w:p w:rsidR="000855DC" w:rsidRDefault="000855DC" w:rsidP="000855DC">
      <w:pPr>
        <w:pStyle w:val="ListParagraph"/>
        <w:numPr>
          <w:ilvl w:val="0"/>
          <w:numId w:val="10"/>
        </w:numPr>
        <w:spacing w:line="480" w:lineRule="auto"/>
        <w:rPr>
          <w:rFonts w:eastAsia="Calibri"/>
        </w:rPr>
      </w:pPr>
      <w:r>
        <w:rPr>
          <w:rFonts w:eastAsia="Calibri"/>
        </w:rPr>
        <w:t>Grant its Petition to Intervene; and</w:t>
      </w:r>
    </w:p>
    <w:p w:rsidR="000855DC" w:rsidRDefault="000855DC" w:rsidP="000855DC">
      <w:pPr>
        <w:pStyle w:val="ListParagraph"/>
        <w:numPr>
          <w:ilvl w:val="0"/>
          <w:numId w:val="10"/>
        </w:numPr>
        <w:spacing w:line="480" w:lineRule="auto"/>
        <w:rPr>
          <w:rFonts w:eastAsia="Calibri"/>
        </w:rPr>
      </w:pPr>
      <w:r>
        <w:rPr>
          <w:rFonts w:eastAsia="Calibri"/>
        </w:rPr>
        <w:t xml:space="preserve">Substitute BANK OF AMERICA, N.A. for party defendant </w:t>
      </w:r>
      <w:r>
        <w:rPr>
          <w:rFonts w:eastAsia="Calibri"/>
        </w:rPr>
        <w:t>Mortgage Electronic Registration Systems, Inc., solely as nominee for American Home Mortgage</w:t>
      </w:r>
      <w:r>
        <w:rPr>
          <w:rFonts w:eastAsia="Calibri"/>
        </w:rPr>
        <w:t>; and</w:t>
      </w:r>
    </w:p>
    <w:p w:rsidR="000855DC" w:rsidRDefault="000855DC" w:rsidP="000855DC">
      <w:pPr>
        <w:pStyle w:val="ListParagraph"/>
        <w:numPr>
          <w:ilvl w:val="0"/>
          <w:numId w:val="10"/>
        </w:numPr>
        <w:spacing w:line="480" w:lineRule="auto"/>
        <w:rPr>
          <w:rFonts w:eastAsia="Calibri"/>
        </w:rPr>
      </w:pPr>
      <w:r>
        <w:rPr>
          <w:rFonts w:eastAsia="Calibri"/>
        </w:rPr>
        <w:t>Grant BANK OF AMERICA, N.A. twenty-eight days to file its Appearance and Answer; and</w:t>
      </w:r>
    </w:p>
    <w:p w:rsidR="000855DC" w:rsidRDefault="000855DC" w:rsidP="000855DC">
      <w:pPr>
        <w:pStyle w:val="ListParagraph"/>
        <w:numPr>
          <w:ilvl w:val="0"/>
          <w:numId w:val="10"/>
        </w:numPr>
        <w:spacing w:line="480" w:lineRule="auto"/>
        <w:rPr>
          <w:rFonts w:eastAsia="Calibri"/>
        </w:rPr>
      </w:pPr>
      <w:r>
        <w:rPr>
          <w:rFonts w:eastAsia="Calibri"/>
        </w:rPr>
        <w:t>For any other relief this court finds just.</w:t>
      </w:r>
    </w:p>
    <w:p w:rsidR="000855DC" w:rsidRDefault="000855DC" w:rsidP="000855DC">
      <w:pPr>
        <w:spacing w:line="480" w:lineRule="auto"/>
        <w:rPr>
          <w:rFonts w:eastAsia="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10"/>
        <w:gridCol w:w="5400"/>
      </w:tblGrid>
      <w:tr w:rsidR="000855DC" w:rsidRPr="00E62494" w:rsidTr="00DA1DDC">
        <w:trPr>
          <w:cantSplit/>
        </w:trPr>
        <w:tc>
          <w:tcPr>
            <w:tcW w:w="3510" w:type="dxa"/>
            <w:shd w:val="clear" w:color="auto" w:fill="auto"/>
          </w:tcPr>
          <w:p w:rsidR="000855DC" w:rsidRDefault="000855DC" w:rsidP="00DA1DDC">
            <w:pPr>
              <w:pStyle w:val="TableContents"/>
            </w:pPr>
          </w:p>
          <w:p w:rsidR="000855DC" w:rsidRDefault="000855DC" w:rsidP="00DA1DDC">
            <w:pPr>
              <w:pStyle w:val="TableContents"/>
            </w:pPr>
          </w:p>
          <w:p w:rsidR="000855DC" w:rsidRDefault="000855DC" w:rsidP="00DA1DDC">
            <w:pPr>
              <w:pStyle w:val="TableContents"/>
            </w:pPr>
          </w:p>
          <w:p w:rsidR="000855DC" w:rsidRDefault="000855DC" w:rsidP="00DA1DDC">
            <w:pPr>
              <w:pStyle w:val="TableContents"/>
            </w:pPr>
            <w:r>
              <w:t>Dated:  ______________</w:t>
            </w:r>
          </w:p>
        </w:tc>
        <w:tc>
          <w:tcPr>
            <w:tcW w:w="5400" w:type="dxa"/>
            <w:shd w:val="clear" w:color="auto" w:fill="auto"/>
          </w:tcPr>
          <w:p w:rsidR="000855DC" w:rsidRDefault="000855DC" w:rsidP="00DA1DDC">
            <w:pPr>
              <w:pStyle w:val="TableContents"/>
            </w:pPr>
            <w:r>
              <w:t>Respectfully submitted,</w:t>
            </w:r>
          </w:p>
          <w:p w:rsidR="000855DC" w:rsidRDefault="000855DC" w:rsidP="00DA1DDC">
            <w:pPr>
              <w:pStyle w:val="TableContents"/>
            </w:pPr>
          </w:p>
          <w:p w:rsidR="000855DC" w:rsidRDefault="000855DC" w:rsidP="00DA1DDC">
            <w:pPr>
              <w:pStyle w:val="TableContents"/>
            </w:pPr>
          </w:p>
          <w:p w:rsidR="000855DC" w:rsidRDefault="000855DC" w:rsidP="00DA1DDC">
            <w:pPr>
              <w:pStyle w:val="TableContents"/>
            </w:pPr>
            <w:r>
              <w:t xml:space="preserve">By:  ___________________________________ </w:t>
            </w:r>
          </w:p>
          <w:p w:rsidR="000855DC" w:rsidRDefault="000855DC" w:rsidP="00DA1DDC">
            <w:pPr>
              <w:pStyle w:val="TableContents"/>
              <w:ind w:left="525" w:right="60"/>
            </w:pPr>
            <w:r>
              <w:t>Shaun Callahan</w:t>
            </w:r>
          </w:p>
          <w:p w:rsidR="000855DC" w:rsidRDefault="000855DC" w:rsidP="00DA1DDC">
            <w:pPr>
              <w:pStyle w:val="TableContents"/>
              <w:ind w:left="525" w:right="60"/>
            </w:pPr>
            <w:r>
              <w:t xml:space="preserve">Attorney, </w:t>
            </w:r>
            <w:proofErr w:type="spellStart"/>
            <w:r>
              <w:t>Marinosci</w:t>
            </w:r>
            <w:proofErr w:type="spellEnd"/>
            <w:r>
              <w:t xml:space="preserve"> Law Group, P.C. </w:t>
            </w:r>
          </w:p>
          <w:p w:rsidR="000855DC" w:rsidRPr="00E62494" w:rsidRDefault="000855DC" w:rsidP="00DA1DDC">
            <w:pPr>
              <w:pStyle w:val="TableContents"/>
              <w:ind w:left="525" w:right="60"/>
              <w:rPr>
                <w:lang w:val="es-ES"/>
              </w:rPr>
            </w:pPr>
            <w:r w:rsidRPr="00E62494">
              <w:rPr>
                <w:lang w:val="es-ES"/>
              </w:rPr>
              <w:t>ARDC No.:</w:t>
            </w:r>
            <w:r>
              <w:rPr>
                <w:lang w:val="es-ES"/>
              </w:rPr>
              <w:t xml:space="preserve"> 6296022</w:t>
            </w:r>
            <w:r w:rsidRPr="00E62494">
              <w:rPr>
                <w:lang w:val="es-ES"/>
              </w:rPr>
              <w:t xml:space="preserve"> </w:t>
            </w:r>
          </w:p>
        </w:tc>
      </w:tr>
    </w:tbl>
    <w:p w:rsidR="000855DC" w:rsidRDefault="000855DC" w:rsidP="000855DC">
      <w:r>
        <w:t xml:space="preserve">MARINOSCI LAW GROUP, P.C. </w:t>
      </w:r>
    </w:p>
    <w:p w:rsidR="000855DC" w:rsidRDefault="000855DC" w:rsidP="000855DC">
      <w:r>
        <w:t>134 N. LaSalle Street</w:t>
      </w:r>
    </w:p>
    <w:p w:rsidR="000855DC" w:rsidRDefault="000855DC" w:rsidP="000855DC">
      <w:r>
        <w:t>Suite 1900</w:t>
      </w:r>
    </w:p>
    <w:p w:rsidR="000855DC" w:rsidRDefault="000855DC" w:rsidP="000855DC">
      <w:r>
        <w:t xml:space="preserve">Chicago, IL 60602 </w:t>
      </w:r>
    </w:p>
    <w:p w:rsidR="000855DC" w:rsidRDefault="000855DC" w:rsidP="000855DC">
      <w:r>
        <w:t xml:space="preserve">Telephone:  312-940-8580 </w:t>
      </w:r>
    </w:p>
    <w:p w:rsidR="000855DC" w:rsidRDefault="000855DC" w:rsidP="000855DC">
      <w:pPr>
        <w:rPr>
          <w:rFonts w:eastAsia="Calibri"/>
        </w:rPr>
      </w:pPr>
      <w:r>
        <w:t xml:space="preserve">Fax:  401-234-5130 </w:t>
      </w:r>
    </w:p>
    <w:p w:rsidR="000855DC" w:rsidRDefault="000855DC" w:rsidP="000855DC">
      <w:r>
        <w:rPr>
          <w:rFonts w:eastAsia="Calibri"/>
        </w:rPr>
        <w:t>ARDC No.:  6296022</w:t>
      </w:r>
    </w:p>
    <w:p w:rsidR="000855DC" w:rsidRDefault="000855DC" w:rsidP="000855DC">
      <w:pPr>
        <w:rPr>
          <w:rFonts w:eastAsia="Calibri"/>
        </w:rPr>
      </w:pPr>
      <w:hyperlink r:id="rId7" w:history="1">
        <w:r>
          <w:rPr>
            <w:rStyle w:val="Hyperlink"/>
            <w:rFonts w:eastAsia="Calibri"/>
          </w:rPr>
          <w:t>mlgil@mlg-defaultlaw.com</w:t>
        </w:r>
      </w:hyperlink>
      <w:r>
        <w:rPr>
          <w:rFonts w:eastAsia="Calibri"/>
        </w:rPr>
        <w:t xml:space="preserve"> </w:t>
      </w:r>
    </w:p>
    <w:p w:rsidR="000855DC" w:rsidRPr="000855DC" w:rsidRDefault="000855DC" w:rsidP="000855DC">
      <w:pPr>
        <w:spacing w:line="480" w:lineRule="auto"/>
        <w:rPr>
          <w:rFonts w:eastAsia="Calibri"/>
        </w:rPr>
      </w:pPr>
    </w:p>
    <w:p w:rsidR="001A5347" w:rsidRPr="001A5347" w:rsidRDefault="001A5347" w:rsidP="001A5347">
      <w:pPr>
        <w:pStyle w:val="ListParagraph"/>
        <w:spacing w:line="480" w:lineRule="auto"/>
        <w:ind w:left="1080"/>
        <w:rPr>
          <w:rFonts w:eastAsia="Calibri"/>
        </w:rPr>
      </w:pPr>
    </w:p>
    <w:p w:rsidR="00754649" w:rsidRPr="00754649" w:rsidRDefault="00754649" w:rsidP="00754649">
      <w:pPr>
        <w:jc w:val="center"/>
        <w:rPr>
          <w:b/>
          <w:u w:val="single"/>
        </w:rPr>
      </w:pPr>
    </w:p>
    <w:sectPr w:rsidR="00754649" w:rsidRPr="007546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549" w:rsidRDefault="00026549" w:rsidP="000855DC">
      <w:pPr>
        <w:spacing w:line="240" w:lineRule="auto"/>
      </w:pPr>
      <w:r>
        <w:separator/>
      </w:r>
    </w:p>
  </w:endnote>
  <w:endnote w:type="continuationSeparator" w:id="0">
    <w:p w:rsidR="00026549" w:rsidRDefault="00026549" w:rsidP="00085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DC" w:rsidRDefault="000855DC">
    <w:pPr>
      <w:pStyle w:val="Footer"/>
    </w:pPr>
    <w:r>
      <w:t>17-19698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549" w:rsidRDefault="00026549" w:rsidP="000855DC">
      <w:pPr>
        <w:spacing w:line="240" w:lineRule="auto"/>
      </w:pPr>
      <w:r>
        <w:separator/>
      </w:r>
    </w:p>
  </w:footnote>
  <w:footnote w:type="continuationSeparator" w:id="0">
    <w:p w:rsidR="00026549" w:rsidRDefault="00026549" w:rsidP="000855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70F"/>
    <w:multiLevelType w:val="hybridMultilevel"/>
    <w:tmpl w:val="15EA33B2"/>
    <w:lvl w:ilvl="0" w:tplc="71B0F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42342B"/>
    <w:multiLevelType w:val="hybridMultilevel"/>
    <w:tmpl w:val="1226786E"/>
    <w:lvl w:ilvl="0" w:tplc="1E424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367813"/>
    <w:multiLevelType w:val="hybridMultilevel"/>
    <w:tmpl w:val="FF16AA76"/>
    <w:lvl w:ilvl="0" w:tplc="71B0F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E47ACB"/>
    <w:multiLevelType w:val="hybridMultilevel"/>
    <w:tmpl w:val="28CC8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B6347A"/>
    <w:multiLevelType w:val="hybridMultilevel"/>
    <w:tmpl w:val="D40A1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07633"/>
    <w:multiLevelType w:val="hybridMultilevel"/>
    <w:tmpl w:val="B7E202FC"/>
    <w:lvl w:ilvl="0" w:tplc="71B0F7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894D43"/>
    <w:multiLevelType w:val="hybridMultilevel"/>
    <w:tmpl w:val="63366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F1CCC"/>
    <w:multiLevelType w:val="hybridMultilevel"/>
    <w:tmpl w:val="FF16AA76"/>
    <w:lvl w:ilvl="0" w:tplc="71B0F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E43863"/>
    <w:multiLevelType w:val="hybridMultilevel"/>
    <w:tmpl w:val="B56A5586"/>
    <w:lvl w:ilvl="0" w:tplc="7324B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A64AFA"/>
    <w:multiLevelType w:val="hybridMultilevel"/>
    <w:tmpl w:val="80FE35A4"/>
    <w:lvl w:ilvl="0" w:tplc="71B0F7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4"/>
  </w:num>
  <w:num w:numId="5">
    <w:abstractNumId w:val="8"/>
  </w:num>
  <w:num w:numId="6">
    <w:abstractNumId w:val="9"/>
  </w:num>
  <w:num w:numId="7">
    <w:abstractNumId w:val="5"/>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49"/>
    <w:rsid w:val="00026549"/>
    <w:rsid w:val="000855DC"/>
    <w:rsid w:val="001A5347"/>
    <w:rsid w:val="00754649"/>
    <w:rsid w:val="00B92955"/>
    <w:rsid w:val="00D8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52A7"/>
  <w15:chartTrackingRefBased/>
  <w15:docId w15:val="{50D022BB-7597-406F-8AD2-C4204533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4649"/>
    <w:pPr>
      <w:suppressAutoHyphens/>
      <w:spacing w:after="0" w:line="100" w:lineRule="atLeast"/>
    </w:pPr>
    <w:rPr>
      <w:rFonts w:ascii="Times New Roman" w:eastAsia="Times New Roman" w:hAnsi="Times New Roman" w:cs="Times New Roman"/>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49"/>
    <w:pPr>
      <w:ind w:left="720"/>
      <w:contextualSpacing/>
    </w:pPr>
  </w:style>
  <w:style w:type="character" w:styleId="Hyperlink">
    <w:name w:val="Hyperlink"/>
    <w:rsid w:val="000855DC"/>
    <w:rPr>
      <w:color w:val="000080"/>
      <w:u w:val="single"/>
      <w:lang/>
    </w:rPr>
  </w:style>
  <w:style w:type="paragraph" w:customStyle="1" w:styleId="TableContents">
    <w:name w:val="Table Contents"/>
    <w:basedOn w:val="Normal"/>
    <w:rsid w:val="000855DC"/>
    <w:pPr>
      <w:suppressLineNumbers/>
    </w:pPr>
  </w:style>
  <w:style w:type="paragraph" w:styleId="Header">
    <w:name w:val="header"/>
    <w:basedOn w:val="Normal"/>
    <w:link w:val="HeaderChar"/>
    <w:uiPriority w:val="99"/>
    <w:unhideWhenUsed/>
    <w:rsid w:val="000855DC"/>
    <w:pPr>
      <w:tabs>
        <w:tab w:val="center" w:pos="4680"/>
        <w:tab w:val="right" w:pos="9360"/>
      </w:tabs>
      <w:spacing w:line="240" w:lineRule="auto"/>
    </w:pPr>
  </w:style>
  <w:style w:type="character" w:customStyle="1" w:styleId="HeaderChar">
    <w:name w:val="Header Char"/>
    <w:basedOn w:val="DefaultParagraphFont"/>
    <w:link w:val="Header"/>
    <w:uiPriority w:val="99"/>
    <w:rsid w:val="000855DC"/>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855DC"/>
    <w:pPr>
      <w:tabs>
        <w:tab w:val="center" w:pos="4680"/>
        <w:tab w:val="right" w:pos="9360"/>
      </w:tabs>
      <w:spacing w:line="240" w:lineRule="auto"/>
    </w:pPr>
  </w:style>
  <w:style w:type="character" w:customStyle="1" w:styleId="FooterChar">
    <w:name w:val="Footer Char"/>
    <w:basedOn w:val="DefaultParagraphFont"/>
    <w:link w:val="Footer"/>
    <w:uiPriority w:val="99"/>
    <w:rsid w:val="000855DC"/>
    <w:rPr>
      <w:rFonts w:ascii="Times New Roman" w:eastAsia="Times New Roman"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9024">
      <w:bodyDiv w:val="1"/>
      <w:marLeft w:val="0"/>
      <w:marRight w:val="0"/>
      <w:marTop w:val="0"/>
      <w:marBottom w:val="0"/>
      <w:divBdr>
        <w:top w:val="none" w:sz="0" w:space="0" w:color="auto"/>
        <w:left w:val="none" w:sz="0" w:space="0" w:color="auto"/>
        <w:bottom w:val="none" w:sz="0" w:space="0" w:color="auto"/>
        <w:right w:val="none" w:sz="0" w:space="0" w:color="auto"/>
      </w:divBdr>
      <w:divsChild>
        <w:div w:id="1950307236">
          <w:marLeft w:val="0"/>
          <w:marRight w:val="0"/>
          <w:marTop w:val="0"/>
          <w:marBottom w:val="0"/>
          <w:divBdr>
            <w:top w:val="none" w:sz="0" w:space="0" w:color="auto"/>
            <w:left w:val="none" w:sz="0" w:space="0" w:color="auto"/>
            <w:bottom w:val="none" w:sz="0" w:space="0" w:color="auto"/>
            <w:right w:val="none" w:sz="0" w:space="0" w:color="auto"/>
          </w:divBdr>
        </w:div>
        <w:div w:id="1222061724">
          <w:marLeft w:val="0"/>
          <w:marRight w:val="0"/>
          <w:marTop w:val="0"/>
          <w:marBottom w:val="0"/>
          <w:divBdr>
            <w:top w:val="none" w:sz="0" w:space="0" w:color="auto"/>
            <w:left w:val="none" w:sz="0" w:space="0" w:color="auto"/>
            <w:bottom w:val="none" w:sz="0" w:space="0" w:color="auto"/>
            <w:right w:val="none" w:sz="0" w:space="0" w:color="auto"/>
          </w:divBdr>
        </w:div>
      </w:divsChild>
    </w:div>
    <w:div w:id="1686710364">
      <w:bodyDiv w:val="1"/>
      <w:marLeft w:val="0"/>
      <w:marRight w:val="0"/>
      <w:marTop w:val="0"/>
      <w:marBottom w:val="0"/>
      <w:divBdr>
        <w:top w:val="none" w:sz="0" w:space="0" w:color="auto"/>
        <w:left w:val="none" w:sz="0" w:space="0" w:color="auto"/>
        <w:bottom w:val="none" w:sz="0" w:space="0" w:color="auto"/>
        <w:right w:val="none" w:sz="0" w:space="0" w:color="auto"/>
      </w:divBdr>
      <w:divsChild>
        <w:div w:id="1408962441">
          <w:marLeft w:val="0"/>
          <w:marRight w:val="0"/>
          <w:marTop w:val="0"/>
          <w:marBottom w:val="0"/>
          <w:divBdr>
            <w:top w:val="none" w:sz="0" w:space="0" w:color="auto"/>
            <w:left w:val="none" w:sz="0" w:space="0" w:color="auto"/>
            <w:bottom w:val="none" w:sz="0" w:space="0" w:color="auto"/>
            <w:right w:val="none" w:sz="0" w:space="0" w:color="auto"/>
          </w:divBdr>
        </w:div>
        <w:div w:id="27664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lgil@mlg-default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Callahan</dc:creator>
  <cp:keywords/>
  <dc:description/>
  <cp:lastModifiedBy>Shaun Callahan</cp:lastModifiedBy>
  <cp:revision>2</cp:revision>
  <dcterms:created xsi:type="dcterms:W3CDTF">2018-01-25T21:07:00Z</dcterms:created>
  <dcterms:modified xsi:type="dcterms:W3CDTF">2018-01-25T21:32:00Z</dcterms:modified>
</cp:coreProperties>
</file>