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DB1" w:rsidRDefault="00E12DB1" w:rsidP="00E12DB1">
      <w:r>
        <w:t>STATE OF ILLINOIS</w:t>
      </w:r>
      <w:r>
        <w:tab/>
      </w:r>
      <w:r>
        <w:tab/>
      </w:r>
      <w:r>
        <w:tab/>
      </w:r>
      <w:r>
        <w:tab/>
      </w:r>
      <w:r>
        <w:tab/>
      </w:r>
      <w:r>
        <w:tab/>
      </w:r>
      <w:r>
        <w:tab/>
      </w:r>
      <w:r>
        <w:tab/>
        <w:t xml:space="preserve">ARDC No.:  6311207 </w:t>
      </w:r>
    </w:p>
    <w:p w:rsidR="00E12DB1" w:rsidRDefault="00E12DB1" w:rsidP="00E12DB1">
      <w:r>
        <w:t xml:space="preserve">COUNTY OF ROCK ISLAND </w:t>
      </w:r>
    </w:p>
    <w:p w:rsidR="00E12DB1" w:rsidRDefault="00E12DB1" w:rsidP="00E12DB1"/>
    <w:p w:rsidR="00E12DB1" w:rsidRDefault="00E12DB1" w:rsidP="00E12DB1">
      <w:pPr>
        <w:jc w:val="center"/>
      </w:pPr>
      <w:r>
        <w:t xml:space="preserve">IN THE CIRCUIT COURT OF THE 14TH JUDICIAL CIRCUIT, </w:t>
      </w:r>
    </w:p>
    <w:p w:rsidR="00E12DB1" w:rsidRDefault="00E12DB1" w:rsidP="00E12DB1">
      <w:pPr>
        <w:jc w:val="center"/>
      </w:pPr>
      <w:r>
        <w:t xml:space="preserve">ROCK ISLAND COUNTY, ROCK ISLAND, ILLINOIS </w:t>
      </w:r>
    </w:p>
    <w:p w:rsidR="00E12DB1" w:rsidRDefault="00E12DB1" w:rsidP="00E12DB1"/>
    <w:tbl>
      <w:tblPr>
        <w:tblW w:w="11227" w:type="dxa"/>
        <w:tblLayout w:type="fixed"/>
        <w:tblLook w:val="0000" w:firstRow="0" w:lastRow="0" w:firstColumn="0" w:lastColumn="0" w:noHBand="0" w:noVBand="0"/>
      </w:tblPr>
      <w:tblGrid>
        <w:gridCol w:w="7183"/>
        <w:gridCol w:w="4044"/>
      </w:tblGrid>
      <w:tr w:rsidR="00E12DB1" w:rsidTr="0084211E">
        <w:trPr>
          <w:trHeight w:val="131"/>
        </w:trPr>
        <w:tc>
          <w:tcPr>
            <w:tcW w:w="7183" w:type="dxa"/>
            <w:shd w:val="clear" w:color="auto" w:fill="FFFFFF"/>
            <w:vAlign w:val="bottom"/>
          </w:tcPr>
          <w:p w:rsidR="00E12DB1" w:rsidRDefault="00E12DB1" w:rsidP="0084211E">
            <w:r>
              <w:t xml:space="preserve">U.S. BANK NATIONAL ASSOCIATION </w:t>
            </w:r>
          </w:p>
        </w:tc>
        <w:tc>
          <w:tcPr>
            <w:tcW w:w="4044" w:type="dxa"/>
            <w:tcBorders>
              <w:left w:val="single" w:sz="20" w:space="0" w:color="000000"/>
            </w:tcBorders>
            <w:shd w:val="clear" w:color="auto" w:fill="FFFFFF"/>
          </w:tcPr>
          <w:p w:rsidR="00E12DB1" w:rsidRDefault="00E12DB1" w:rsidP="0084211E">
            <w:pPr>
              <w:snapToGrid w:val="0"/>
            </w:pPr>
          </w:p>
        </w:tc>
      </w:tr>
      <w:tr w:rsidR="00E12DB1" w:rsidTr="0084211E">
        <w:trPr>
          <w:trHeight w:val="138"/>
        </w:trPr>
        <w:tc>
          <w:tcPr>
            <w:tcW w:w="7183" w:type="dxa"/>
            <w:shd w:val="clear" w:color="auto" w:fill="FFFFFF"/>
            <w:vAlign w:val="bottom"/>
          </w:tcPr>
          <w:p w:rsidR="00E12DB1" w:rsidRDefault="00E12DB1" w:rsidP="0084211E">
            <w:pPr>
              <w:jc w:val="center"/>
            </w:pPr>
            <w:r>
              <w:t>Plaintiff,</w:t>
            </w:r>
          </w:p>
        </w:tc>
        <w:tc>
          <w:tcPr>
            <w:tcW w:w="4044" w:type="dxa"/>
            <w:tcBorders>
              <w:left w:val="single" w:sz="20" w:space="0" w:color="000000"/>
            </w:tcBorders>
            <w:shd w:val="clear" w:color="auto" w:fill="FFFFFF"/>
          </w:tcPr>
          <w:p w:rsidR="00E12DB1" w:rsidRDefault="00E12DB1" w:rsidP="0084211E">
            <w:pPr>
              <w:ind w:firstLine="0"/>
            </w:pPr>
            <w:r>
              <w:t xml:space="preserve">Case No. 16 CH 295 </w:t>
            </w:r>
          </w:p>
        </w:tc>
      </w:tr>
      <w:tr w:rsidR="00E12DB1" w:rsidTr="0084211E">
        <w:trPr>
          <w:trHeight w:val="284"/>
        </w:trPr>
        <w:tc>
          <w:tcPr>
            <w:tcW w:w="7183" w:type="dxa"/>
            <w:vMerge w:val="restart"/>
            <w:shd w:val="clear" w:color="auto" w:fill="FFFFFF"/>
            <w:vAlign w:val="center"/>
          </w:tcPr>
          <w:p w:rsidR="00E12DB1" w:rsidRDefault="00E12DB1" w:rsidP="0084211E">
            <w:pPr>
              <w:jc w:val="center"/>
            </w:pPr>
            <w:r>
              <w:t>vs.</w:t>
            </w:r>
          </w:p>
        </w:tc>
        <w:tc>
          <w:tcPr>
            <w:tcW w:w="4044" w:type="dxa"/>
            <w:tcBorders>
              <w:left w:val="single" w:sz="20" w:space="0" w:color="000000"/>
            </w:tcBorders>
            <w:shd w:val="clear" w:color="auto" w:fill="FFFFFF"/>
          </w:tcPr>
          <w:p w:rsidR="00E12DB1" w:rsidRDefault="00E12DB1" w:rsidP="0084211E">
            <w:pPr>
              <w:snapToGrid w:val="0"/>
              <w:ind w:left="0" w:firstLine="0"/>
            </w:pPr>
          </w:p>
        </w:tc>
      </w:tr>
      <w:tr w:rsidR="00E12DB1" w:rsidTr="0084211E">
        <w:trPr>
          <w:trHeight w:val="68"/>
        </w:trPr>
        <w:tc>
          <w:tcPr>
            <w:tcW w:w="7183" w:type="dxa"/>
            <w:vMerge/>
            <w:shd w:val="clear" w:color="auto" w:fill="FFFFFF"/>
            <w:vAlign w:val="center"/>
          </w:tcPr>
          <w:p w:rsidR="00E12DB1" w:rsidRDefault="00E12DB1" w:rsidP="0084211E"/>
        </w:tc>
        <w:tc>
          <w:tcPr>
            <w:tcW w:w="4044" w:type="dxa"/>
            <w:tcBorders>
              <w:left w:val="single" w:sz="20" w:space="0" w:color="000000"/>
            </w:tcBorders>
            <w:shd w:val="clear" w:color="auto" w:fill="FFFFFF"/>
          </w:tcPr>
          <w:p w:rsidR="00E12DB1" w:rsidRDefault="00E12DB1" w:rsidP="0084211E">
            <w:pPr>
              <w:ind w:firstLine="0"/>
            </w:pPr>
            <w:r>
              <w:t>Property Address:</w:t>
            </w:r>
          </w:p>
          <w:p w:rsidR="00E12DB1" w:rsidRDefault="00E12DB1" w:rsidP="0084211E">
            <w:pPr>
              <w:ind w:firstLine="0"/>
            </w:pPr>
            <w:r>
              <w:t>514 E 22ND AVE A</w:t>
            </w:r>
          </w:p>
          <w:p w:rsidR="00E12DB1" w:rsidRDefault="00E12DB1" w:rsidP="0084211E">
            <w:pPr>
              <w:ind w:firstLine="0"/>
            </w:pPr>
            <w:r>
              <w:t xml:space="preserve">COAL VALLEY, IL 61240 </w:t>
            </w:r>
          </w:p>
        </w:tc>
      </w:tr>
      <w:tr w:rsidR="00E12DB1" w:rsidTr="0084211E">
        <w:trPr>
          <w:trHeight w:val="539"/>
        </w:trPr>
        <w:tc>
          <w:tcPr>
            <w:tcW w:w="7183" w:type="dxa"/>
            <w:shd w:val="clear" w:color="auto" w:fill="FFFFFF"/>
            <w:vAlign w:val="bottom"/>
          </w:tcPr>
          <w:p w:rsidR="00E12DB1" w:rsidRDefault="00E12DB1" w:rsidP="0084211E">
            <w:pPr>
              <w:ind w:left="0" w:right="612" w:firstLine="0"/>
            </w:pPr>
            <w:r>
              <w:t>TODD CAULKINS A/K/A TODD W. CAULKINS, VALERIE CAULKINS A/K/A VALERIE M. CAULKINS, UNKNOWN OWNERS AND NON-RECORD CLAIMANTS</w:t>
            </w:r>
          </w:p>
        </w:tc>
        <w:tc>
          <w:tcPr>
            <w:tcW w:w="4044" w:type="dxa"/>
            <w:tcBorders>
              <w:left w:val="single" w:sz="20" w:space="0" w:color="000000"/>
            </w:tcBorders>
            <w:shd w:val="clear" w:color="auto" w:fill="FFFFFF"/>
          </w:tcPr>
          <w:p w:rsidR="00E12DB1" w:rsidRDefault="00E12DB1" w:rsidP="0084211E">
            <w:pPr>
              <w:snapToGrid w:val="0"/>
              <w:ind w:firstLine="0"/>
            </w:pPr>
          </w:p>
        </w:tc>
      </w:tr>
      <w:tr w:rsidR="00E12DB1" w:rsidTr="0084211E">
        <w:trPr>
          <w:trHeight w:val="261"/>
        </w:trPr>
        <w:tc>
          <w:tcPr>
            <w:tcW w:w="7183" w:type="dxa"/>
            <w:shd w:val="clear" w:color="auto" w:fill="FFFFFF"/>
            <w:vAlign w:val="bottom"/>
          </w:tcPr>
          <w:p w:rsidR="00E12DB1" w:rsidRDefault="00E12DB1" w:rsidP="0084211E">
            <w:pPr>
              <w:jc w:val="center"/>
            </w:pPr>
            <w:r>
              <w:t>Defendant(s).</w:t>
            </w:r>
          </w:p>
        </w:tc>
        <w:tc>
          <w:tcPr>
            <w:tcW w:w="4044" w:type="dxa"/>
            <w:tcBorders>
              <w:left w:val="single" w:sz="20" w:space="0" w:color="000000"/>
            </w:tcBorders>
            <w:shd w:val="clear" w:color="auto" w:fill="FFFFFF"/>
          </w:tcPr>
          <w:p w:rsidR="00E12DB1" w:rsidRDefault="00E12DB1" w:rsidP="0084211E">
            <w:pPr>
              <w:snapToGrid w:val="0"/>
              <w:ind w:firstLine="0"/>
            </w:pPr>
          </w:p>
        </w:tc>
      </w:tr>
    </w:tbl>
    <w:p w:rsidR="00350C34" w:rsidRDefault="00350C34" w:rsidP="00E12DB1">
      <w:pPr>
        <w:numPr>
          <w:ilvl w:val="0"/>
          <w:numId w:val="0"/>
        </w:numPr>
        <w:jc w:val="center"/>
        <w:rPr>
          <w:b/>
          <w:u w:val="single"/>
        </w:rPr>
      </w:pPr>
    </w:p>
    <w:p w:rsidR="00E12DB1" w:rsidRDefault="00E12DB1" w:rsidP="00E12DB1">
      <w:pPr>
        <w:numPr>
          <w:ilvl w:val="0"/>
          <w:numId w:val="0"/>
        </w:numPr>
        <w:jc w:val="center"/>
        <w:rPr>
          <w:b/>
          <w:i/>
          <w:u w:val="single"/>
        </w:rPr>
      </w:pPr>
      <w:bookmarkStart w:id="0" w:name="_GoBack"/>
      <w:bookmarkEnd w:id="0"/>
      <w:r>
        <w:rPr>
          <w:b/>
          <w:u w:val="single"/>
        </w:rPr>
        <w:t xml:space="preserve">PLAINTIFF’S MOTION TO AMEND THE ORDER APPROVING SALE ENTERED DECEMBER 7, 2017, </w:t>
      </w:r>
      <w:r>
        <w:rPr>
          <w:b/>
          <w:i/>
          <w:u w:val="single"/>
        </w:rPr>
        <w:t>NUNC PRO TUNC</w:t>
      </w:r>
    </w:p>
    <w:p w:rsidR="00E12DB1" w:rsidRDefault="00E12DB1" w:rsidP="00E12DB1">
      <w:pPr>
        <w:numPr>
          <w:ilvl w:val="0"/>
          <w:numId w:val="0"/>
        </w:numPr>
        <w:jc w:val="center"/>
        <w:rPr>
          <w:b/>
          <w:i/>
          <w:u w:val="single"/>
        </w:rPr>
      </w:pPr>
    </w:p>
    <w:p w:rsidR="00E12DB1" w:rsidRDefault="00E12DB1" w:rsidP="00E12DB1">
      <w:pPr>
        <w:numPr>
          <w:ilvl w:val="0"/>
          <w:numId w:val="0"/>
        </w:numPr>
        <w:spacing w:line="480" w:lineRule="auto"/>
      </w:pPr>
      <w:r>
        <w:tab/>
        <w:t xml:space="preserve">NOW COMES the Plaintiff, U.S. BANK NATIONAL ASSOCIATION, by and through its attorney, MARINOSCI LAW GROUP, P.C., and moves this Court to amend the Order Approving Report of Sale and Distribution, Confirming Sale and Order of Possession entered on December 7, 2017, </w:t>
      </w:r>
      <w:proofErr w:type="spellStart"/>
      <w:r>
        <w:rPr>
          <w:i/>
        </w:rPr>
        <w:t>nunc</w:t>
      </w:r>
      <w:proofErr w:type="spellEnd"/>
      <w:r>
        <w:rPr>
          <w:i/>
        </w:rPr>
        <w:t xml:space="preserve"> pro </w:t>
      </w:r>
      <w:proofErr w:type="spellStart"/>
      <w:r>
        <w:rPr>
          <w:i/>
        </w:rPr>
        <w:t>tunc</w:t>
      </w:r>
      <w:proofErr w:type="spellEnd"/>
      <w:r>
        <w:t>, and in support thereof, states as follows:</w:t>
      </w:r>
    </w:p>
    <w:p w:rsidR="00E12DB1" w:rsidRDefault="00E12DB1" w:rsidP="00E12DB1">
      <w:pPr>
        <w:numPr>
          <w:ilvl w:val="0"/>
          <w:numId w:val="0"/>
        </w:numPr>
        <w:spacing w:line="480" w:lineRule="auto"/>
      </w:pPr>
    </w:p>
    <w:p w:rsidR="00E12DB1" w:rsidRPr="0011116C" w:rsidRDefault="00E12DB1" w:rsidP="00E12DB1">
      <w:pPr>
        <w:numPr>
          <w:ilvl w:val="0"/>
          <w:numId w:val="0"/>
        </w:numPr>
        <w:spacing w:line="480" w:lineRule="auto"/>
        <w:jc w:val="center"/>
        <w:rPr>
          <w:b/>
          <w:u w:val="single"/>
        </w:rPr>
      </w:pPr>
      <w:r w:rsidRPr="0011116C">
        <w:rPr>
          <w:b/>
          <w:u w:val="single"/>
        </w:rPr>
        <w:t>BACKGROUND</w:t>
      </w:r>
    </w:p>
    <w:p w:rsidR="00E12DB1" w:rsidRDefault="00E12DB1" w:rsidP="00E12DB1">
      <w:pPr>
        <w:pStyle w:val="ListParagraph"/>
        <w:numPr>
          <w:ilvl w:val="0"/>
          <w:numId w:val="3"/>
        </w:numPr>
        <w:spacing w:line="480" w:lineRule="auto"/>
      </w:pPr>
      <w:r>
        <w:t>Plaintiff obtained a judgment for foreclosure in the above captioned action on August 14, 2017.</w:t>
      </w:r>
    </w:p>
    <w:p w:rsidR="00E12DB1" w:rsidRDefault="00E12DB1" w:rsidP="00E12DB1">
      <w:pPr>
        <w:pStyle w:val="ListParagraph"/>
        <w:numPr>
          <w:ilvl w:val="0"/>
          <w:numId w:val="3"/>
        </w:numPr>
        <w:spacing w:line="480" w:lineRule="auto"/>
      </w:pPr>
      <w:r>
        <w:t xml:space="preserve">Subsequently, Plaintiff held a judicial sale on November 14, 2017. </w:t>
      </w:r>
    </w:p>
    <w:p w:rsidR="00E12DB1" w:rsidRDefault="00E12DB1" w:rsidP="00E12DB1">
      <w:pPr>
        <w:pStyle w:val="ListParagraph"/>
        <w:numPr>
          <w:ilvl w:val="0"/>
          <w:numId w:val="3"/>
        </w:numPr>
        <w:spacing w:line="480" w:lineRule="auto"/>
      </w:pPr>
      <w:r>
        <w:t>Said sale resulted in the highest bidder being a third party, to wit, First Financial Group, LLC for the winning bid of $69,763.00.</w:t>
      </w:r>
    </w:p>
    <w:p w:rsidR="00E12DB1" w:rsidRDefault="00E12DB1" w:rsidP="00E12DB1">
      <w:pPr>
        <w:pStyle w:val="ListParagraph"/>
        <w:numPr>
          <w:ilvl w:val="0"/>
          <w:numId w:val="3"/>
        </w:numPr>
        <w:spacing w:line="480" w:lineRule="auto"/>
      </w:pPr>
      <w:r>
        <w:t xml:space="preserve">A report of sale evidencing the same was presented to the court for its approval when Plaintiff presented its motion to confirm sale on September 14, 2017. </w:t>
      </w:r>
    </w:p>
    <w:p w:rsidR="00E12DB1" w:rsidRDefault="00E12DB1" w:rsidP="00E12DB1">
      <w:pPr>
        <w:pStyle w:val="ListParagraph"/>
        <w:numPr>
          <w:ilvl w:val="0"/>
          <w:numId w:val="3"/>
        </w:numPr>
        <w:spacing w:line="480" w:lineRule="auto"/>
      </w:pPr>
      <w:r>
        <w:lastRenderedPageBreak/>
        <w:t>Through inadvertence, the order that was presented for the court to execute on December 7, 2017 incorrectly recited that the winning bidder was Plaintiff, not the highest bidder First Financial Group, LLC, as was supported by the Report of Sale. Furthermore, because the order presented incorrectly listed the Plaintiff as the winning bidder, the order omitted language that the proceeds of the sale should be remitted to Plaintiff, in accordance with the Report of Sale.</w:t>
      </w:r>
    </w:p>
    <w:p w:rsidR="00E12DB1" w:rsidRDefault="00E12DB1" w:rsidP="00E12DB1">
      <w:pPr>
        <w:numPr>
          <w:ilvl w:val="0"/>
          <w:numId w:val="0"/>
        </w:numPr>
      </w:pPr>
    </w:p>
    <w:p w:rsidR="00E12DB1" w:rsidRDefault="00E12DB1" w:rsidP="00E12DB1">
      <w:pPr>
        <w:numPr>
          <w:ilvl w:val="0"/>
          <w:numId w:val="0"/>
        </w:numPr>
        <w:jc w:val="center"/>
        <w:rPr>
          <w:b/>
          <w:u w:val="single"/>
        </w:rPr>
      </w:pPr>
      <w:r>
        <w:rPr>
          <w:b/>
          <w:u w:val="single"/>
        </w:rPr>
        <w:t>ARGUMENT</w:t>
      </w:r>
    </w:p>
    <w:p w:rsidR="00E12DB1" w:rsidRDefault="00E12DB1" w:rsidP="00E12DB1">
      <w:pPr>
        <w:numPr>
          <w:ilvl w:val="0"/>
          <w:numId w:val="0"/>
        </w:numPr>
        <w:jc w:val="center"/>
        <w:rPr>
          <w:b/>
          <w:u w:val="single"/>
        </w:rPr>
      </w:pPr>
    </w:p>
    <w:p w:rsidR="00E12DB1" w:rsidRDefault="00E12DB1" w:rsidP="00E12DB1">
      <w:pPr>
        <w:numPr>
          <w:ilvl w:val="0"/>
          <w:numId w:val="0"/>
        </w:numPr>
        <w:spacing w:line="480" w:lineRule="auto"/>
      </w:pPr>
      <w:r>
        <w:tab/>
        <w:t xml:space="preserve">Plaintiff seeks for this court to amend its order confirming sale, </w:t>
      </w:r>
      <w:proofErr w:type="spellStart"/>
      <w:r>
        <w:t>nunc</w:t>
      </w:r>
      <w:proofErr w:type="spellEnd"/>
      <w:r>
        <w:t xml:space="preserve"> pro </w:t>
      </w:r>
      <w:proofErr w:type="spellStart"/>
      <w:r>
        <w:t>tunc</w:t>
      </w:r>
      <w:proofErr w:type="spellEnd"/>
      <w:r>
        <w:t xml:space="preserve">, to conform its order to the proofs presented to the Court. </w:t>
      </w:r>
      <w:r w:rsidRPr="008534BF">
        <w:t xml:space="preserve">The purpose of a </w:t>
      </w:r>
      <w:proofErr w:type="spellStart"/>
      <w:r w:rsidRPr="008534BF">
        <w:t>nunc</w:t>
      </w:r>
      <w:proofErr w:type="spellEnd"/>
      <w:r w:rsidRPr="008534BF">
        <w:t xml:space="preserve"> pro </w:t>
      </w:r>
      <w:proofErr w:type="spellStart"/>
      <w:r w:rsidRPr="008534BF">
        <w:t>tunc</w:t>
      </w:r>
      <w:proofErr w:type="spellEnd"/>
      <w:r w:rsidRPr="008534BF">
        <w:t xml:space="preserve"> order is to correct the record of judgment, not to alter the actual judgment of the court. </w:t>
      </w:r>
      <w:r w:rsidRPr="008534BF">
        <w:rPr>
          <w:i/>
        </w:rPr>
        <w:t>Beck v. Stepp</w:t>
      </w:r>
      <w:r>
        <w:t xml:space="preserve">, </w:t>
      </w:r>
      <w:r w:rsidRPr="008534BF">
        <w:t>144 Ill.2d 232</w:t>
      </w:r>
      <w:r>
        <w:t xml:space="preserve"> (1991). </w:t>
      </w:r>
      <w:r w:rsidRPr="008534BF">
        <w:t xml:space="preserve">A </w:t>
      </w:r>
      <w:proofErr w:type="spellStart"/>
      <w:r w:rsidRPr="008534BF">
        <w:t>nunc</w:t>
      </w:r>
      <w:proofErr w:type="spellEnd"/>
      <w:r w:rsidRPr="008534BF">
        <w:t xml:space="preserve"> pro </w:t>
      </w:r>
      <w:proofErr w:type="spellStart"/>
      <w:r w:rsidRPr="008534BF">
        <w:t>tunc</w:t>
      </w:r>
      <w:proofErr w:type="spellEnd"/>
      <w:r w:rsidRPr="008534BF">
        <w:t xml:space="preserve"> order may not be used to supply omitted judicial action, to correct judicial errors under the pretense of correcting clerical errors, or to cure a jurisdictional defect.</w:t>
      </w:r>
      <w:r>
        <w:t xml:space="preserve"> </w:t>
      </w:r>
      <w:r>
        <w:rPr>
          <w:i/>
        </w:rPr>
        <w:t>Id</w:t>
      </w:r>
      <w:r>
        <w:t xml:space="preserve">. </w:t>
      </w:r>
      <w:r w:rsidRPr="008534BF">
        <w:t xml:space="preserve">Nunc pro </w:t>
      </w:r>
      <w:proofErr w:type="spellStart"/>
      <w:r w:rsidRPr="008534BF">
        <w:t>tunc</w:t>
      </w:r>
      <w:proofErr w:type="spellEnd"/>
      <w:r w:rsidRPr="008534BF">
        <w:t xml:space="preserve"> orders must be based upon definite and precise evidence in the record.</w:t>
      </w:r>
      <w:r>
        <w:t xml:space="preserve"> </w:t>
      </w:r>
      <w:r>
        <w:rPr>
          <w:i/>
        </w:rPr>
        <w:t>Id</w:t>
      </w:r>
      <w:r>
        <w:t xml:space="preserve">. </w:t>
      </w:r>
    </w:p>
    <w:p w:rsidR="00E12DB1" w:rsidRDefault="00E12DB1" w:rsidP="00E12DB1">
      <w:pPr>
        <w:numPr>
          <w:ilvl w:val="0"/>
          <w:numId w:val="0"/>
        </w:numPr>
        <w:spacing w:line="480" w:lineRule="auto"/>
        <w:ind w:firstLine="720"/>
      </w:pPr>
      <w:r>
        <w:t>Plaintiff recognizes that the order confirming sale, which constitutes a final order in a mortgage foreclosure case, was entered more than 30 days ago. However, i</w:t>
      </w:r>
      <w:r w:rsidRPr="008534BF">
        <w:t xml:space="preserve">t has long been recognized that a court has the inherent power to enter an order </w:t>
      </w:r>
      <w:proofErr w:type="spellStart"/>
      <w:r w:rsidRPr="008534BF">
        <w:t>nunc</w:t>
      </w:r>
      <w:proofErr w:type="spellEnd"/>
      <w:r w:rsidRPr="008534BF">
        <w:t xml:space="preserve"> pro </w:t>
      </w:r>
      <w:proofErr w:type="spellStart"/>
      <w:r w:rsidRPr="008534BF">
        <w:t>tunc</w:t>
      </w:r>
      <w:proofErr w:type="spellEnd"/>
      <w:r w:rsidRPr="008534BF">
        <w:t xml:space="preserve"> at any time to correct a clerical error or a matter of form.</w:t>
      </w:r>
      <w:r>
        <w:t xml:space="preserve"> </w:t>
      </w:r>
      <w:proofErr w:type="spellStart"/>
      <w:r w:rsidRPr="008534BF">
        <w:rPr>
          <w:i/>
        </w:rPr>
        <w:t>Dauderman</w:t>
      </w:r>
      <w:proofErr w:type="spellEnd"/>
      <w:r w:rsidRPr="008534BF">
        <w:rPr>
          <w:i/>
        </w:rPr>
        <w:t xml:space="preserve"> v. </w:t>
      </w:r>
      <w:proofErr w:type="spellStart"/>
      <w:r w:rsidRPr="008534BF">
        <w:rPr>
          <w:i/>
        </w:rPr>
        <w:t>Dauderman</w:t>
      </w:r>
      <w:proofErr w:type="spellEnd"/>
      <w:r>
        <w:t xml:space="preserve">, </w:t>
      </w:r>
      <w:r w:rsidRPr="008534BF">
        <w:t>263 N.E.2d 708</w:t>
      </w:r>
      <w:r>
        <w:t xml:space="preserve"> (5th Dist. 1970).</w:t>
      </w:r>
    </w:p>
    <w:p w:rsidR="00E12DB1" w:rsidRDefault="00E12DB1" w:rsidP="00E12DB1">
      <w:pPr>
        <w:numPr>
          <w:ilvl w:val="0"/>
          <w:numId w:val="0"/>
        </w:numPr>
        <w:spacing w:line="480" w:lineRule="auto"/>
      </w:pPr>
      <w:r>
        <w:tab/>
        <w:t xml:space="preserve">In the instant case, the evidence in the record at the time of, and the documentation presented with, Plaintiff’s motion to confirm the sale affirmatively demonstrated that the true highest bidder was not Plaintiff, but rather was First Financial Group, LLC. The order entered should have been one that memorialized that First Financial Group, LLC was the winning bidder, </w:t>
      </w:r>
      <w:r>
        <w:lastRenderedPageBreak/>
        <w:t xml:space="preserve">and as such, the proceeds of the sale should be remitted to Plaintiff. Plaintiff has attached a proposed corrected order amending the sale which it seeks to enter, </w:t>
      </w:r>
      <w:proofErr w:type="spellStart"/>
      <w:r>
        <w:t>nunc</w:t>
      </w:r>
      <w:proofErr w:type="spellEnd"/>
      <w:r>
        <w:t xml:space="preserve"> pro </w:t>
      </w:r>
      <w:proofErr w:type="spellStart"/>
      <w:r>
        <w:t>tunc</w:t>
      </w:r>
      <w:proofErr w:type="spellEnd"/>
      <w:r>
        <w:t>, to December 7, 2017 (</w:t>
      </w:r>
      <w:r w:rsidRPr="00F66E80">
        <w:rPr>
          <w:b/>
        </w:rPr>
        <w:t>Exhibit A</w:t>
      </w:r>
      <w:r>
        <w:t>).</w:t>
      </w:r>
    </w:p>
    <w:p w:rsidR="00E12DB1" w:rsidRDefault="00E12DB1" w:rsidP="00E12DB1">
      <w:pPr>
        <w:numPr>
          <w:ilvl w:val="0"/>
          <w:numId w:val="0"/>
        </w:numPr>
        <w:spacing w:line="480" w:lineRule="auto"/>
      </w:pPr>
      <w:r>
        <w:tab/>
        <w:t>WHEREFORE, Plaintiff prays that this Court:</w:t>
      </w:r>
    </w:p>
    <w:p w:rsidR="00E12DB1" w:rsidRDefault="00E12DB1" w:rsidP="00E12DB1">
      <w:pPr>
        <w:pStyle w:val="ListParagraph"/>
        <w:numPr>
          <w:ilvl w:val="0"/>
          <w:numId w:val="4"/>
        </w:numPr>
        <w:spacing w:line="480" w:lineRule="auto"/>
      </w:pPr>
      <w:r>
        <w:t xml:space="preserve">Amend the Order Approving Report of Sale and Distribution, Confirming Sale and Order of Possession entered on December 7 2017, </w:t>
      </w:r>
      <w:proofErr w:type="spellStart"/>
      <w:r>
        <w:rPr>
          <w:i/>
        </w:rPr>
        <w:t>nunc</w:t>
      </w:r>
      <w:proofErr w:type="spellEnd"/>
      <w:r>
        <w:rPr>
          <w:i/>
        </w:rPr>
        <w:t xml:space="preserve"> pro </w:t>
      </w:r>
      <w:proofErr w:type="spellStart"/>
      <w:r>
        <w:rPr>
          <w:i/>
        </w:rPr>
        <w:t>tunc</w:t>
      </w:r>
      <w:proofErr w:type="spellEnd"/>
      <w:r>
        <w:t xml:space="preserve">, to reflect that First Financial Group, LLC was the highest bidder and as such, </w:t>
      </w:r>
      <w:r w:rsidR="00456DA5">
        <w:t xml:space="preserve">the proceeds of the sale should be released to Plaintiff. </w:t>
      </w:r>
    </w:p>
    <w:p w:rsidR="00E12DB1" w:rsidRPr="00700762" w:rsidRDefault="00E12DB1" w:rsidP="00E12DB1">
      <w:pPr>
        <w:pStyle w:val="ListParagraph"/>
        <w:numPr>
          <w:ilvl w:val="0"/>
          <w:numId w:val="4"/>
        </w:numPr>
        <w:spacing w:line="480" w:lineRule="auto"/>
      </w:pPr>
      <w:r w:rsidRPr="00700762">
        <w:rPr>
          <w:rFonts w:eastAsia="Calibri"/>
        </w:rPr>
        <w:t>Grant any further relief the Court deems just and equitable.</w:t>
      </w:r>
    </w:p>
    <w:p w:rsidR="00E12DB1" w:rsidRDefault="00E12DB1" w:rsidP="00E12DB1">
      <w:pPr>
        <w:numPr>
          <w:ilvl w:val="0"/>
          <w:numId w:val="0"/>
        </w:numPr>
        <w:ind w:left="720"/>
        <w:rPr>
          <w:rFonts w:eastAsia="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10"/>
        <w:gridCol w:w="5400"/>
      </w:tblGrid>
      <w:tr w:rsidR="00E12DB1" w:rsidTr="0084211E">
        <w:trPr>
          <w:cantSplit/>
        </w:trPr>
        <w:tc>
          <w:tcPr>
            <w:tcW w:w="3510" w:type="dxa"/>
            <w:shd w:val="clear" w:color="auto" w:fill="auto"/>
          </w:tcPr>
          <w:p w:rsidR="00E12DB1" w:rsidRDefault="00E12DB1" w:rsidP="0084211E">
            <w:pPr>
              <w:pStyle w:val="TableContents"/>
            </w:pPr>
          </w:p>
          <w:p w:rsidR="00E12DB1" w:rsidRDefault="00E12DB1" w:rsidP="0084211E">
            <w:pPr>
              <w:pStyle w:val="TableContents"/>
            </w:pPr>
          </w:p>
          <w:p w:rsidR="00E12DB1" w:rsidRDefault="00E12DB1" w:rsidP="0084211E">
            <w:pPr>
              <w:pStyle w:val="TableContents"/>
            </w:pPr>
          </w:p>
          <w:p w:rsidR="00E12DB1" w:rsidRDefault="00E12DB1" w:rsidP="0084211E">
            <w:pPr>
              <w:pStyle w:val="TableContents"/>
            </w:pPr>
          </w:p>
        </w:tc>
        <w:tc>
          <w:tcPr>
            <w:tcW w:w="5400" w:type="dxa"/>
            <w:shd w:val="clear" w:color="auto" w:fill="auto"/>
          </w:tcPr>
          <w:p w:rsidR="00E12DB1" w:rsidRDefault="00E12DB1" w:rsidP="0084211E">
            <w:pPr>
              <w:pStyle w:val="TableContents"/>
            </w:pPr>
            <w:r>
              <w:t>Respectfully submitted,</w:t>
            </w:r>
          </w:p>
          <w:p w:rsidR="00E12DB1" w:rsidRDefault="00E12DB1" w:rsidP="0084211E">
            <w:pPr>
              <w:pStyle w:val="TableContents"/>
            </w:pPr>
            <w:r>
              <w:rPr>
                <w:noProof/>
              </w:rPr>
              <w:drawing>
                <wp:anchor distT="0" distB="0" distL="114300" distR="114300" simplePos="0" relativeHeight="251659264" behindDoc="0" locked="0" layoutInCell="1" allowOverlap="1" wp14:anchorId="347E297B" wp14:editId="670A1325">
                  <wp:simplePos x="0" y="0"/>
                  <wp:positionH relativeFrom="column">
                    <wp:posOffset>384175</wp:posOffset>
                  </wp:positionH>
                  <wp:positionV relativeFrom="paragraph">
                    <wp:posOffset>10795</wp:posOffset>
                  </wp:positionV>
                  <wp:extent cx="885825" cy="628650"/>
                  <wp:effectExtent l="0" t="0" r="9525" b="0"/>
                  <wp:wrapNone/>
                  <wp:docPr id="1" name="Picture 1" descr="SHAUN CALLA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UN CALLAH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825"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2DB1" w:rsidRDefault="00E12DB1" w:rsidP="0084211E">
            <w:pPr>
              <w:pStyle w:val="TableContents"/>
            </w:pPr>
          </w:p>
          <w:p w:rsidR="00E12DB1" w:rsidRDefault="00E12DB1" w:rsidP="0084211E">
            <w:pPr>
              <w:pStyle w:val="TableContents"/>
            </w:pPr>
            <w:r>
              <w:t xml:space="preserve">                 </w:t>
            </w:r>
          </w:p>
          <w:p w:rsidR="00E12DB1" w:rsidRDefault="00E12DB1" w:rsidP="0084211E">
            <w:pPr>
              <w:pStyle w:val="TableContents"/>
            </w:pPr>
            <w:r>
              <w:t xml:space="preserve">By:  ___________________________________ </w:t>
            </w:r>
          </w:p>
          <w:p w:rsidR="00E12DB1" w:rsidRDefault="00E12DB1" w:rsidP="0084211E">
            <w:pPr>
              <w:pStyle w:val="TableContents"/>
              <w:ind w:left="525"/>
            </w:pPr>
            <w:r>
              <w:t>Shaun Callahan</w:t>
            </w:r>
          </w:p>
          <w:p w:rsidR="00E12DB1" w:rsidRDefault="00E12DB1" w:rsidP="0084211E">
            <w:pPr>
              <w:pStyle w:val="TableContents"/>
              <w:ind w:left="525"/>
            </w:pPr>
            <w:r>
              <w:t xml:space="preserve">Attorney, </w:t>
            </w:r>
            <w:proofErr w:type="spellStart"/>
            <w:r>
              <w:t>Marinosci</w:t>
            </w:r>
            <w:proofErr w:type="spellEnd"/>
            <w:r>
              <w:t xml:space="preserve"> Law Group, P.C. </w:t>
            </w:r>
          </w:p>
          <w:p w:rsidR="00E12DB1" w:rsidRDefault="00E12DB1" w:rsidP="0084211E">
            <w:pPr>
              <w:pStyle w:val="TableContents"/>
              <w:ind w:left="525"/>
            </w:pPr>
            <w:r>
              <w:t>ARDC #: 6296022</w:t>
            </w:r>
          </w:p>
        </w:tc>
      </w:tr>
    </w:tbl>
    <w:p w:rsidR="00E12DB1" w:rsidRDefault="00E12DB1" w:rsidP="00E12DB1">
      <w:pPr>
        <w:numPr>
          <w:ilvl w:val="0"/>
          <w:numId w:val="0"/>
        </w:numPr>
        <w:ind w:left="720"/>
      </w:pPr>
    </w:p>
    <w:p w:rsidR="00E12DB1" w:rsidRDefault="00E12DB1" w:rsidP="00E12DB1">
      <w:pPr>
        <w:numPr>
          <w:ilvl w:val="0"/>
          <w:numId w:val="0"/>
        </w:numPr>
        <w:ind w:left="720"/>
      </w:pPr>
      <w:r>
        <w:t xml:space="preserve">MARINOSCI LAW GROUP, P.C. </w:t>
      </w:r>
    </w:p>
    <w:p w:rsidR="00E12DB1" w:rsidRDefault="00E12DB1" w:rsidP="00E12DB1">
      <w:pPr>
        <w:numPr>
          <w:ilvl w:val="0"/>
          <w:numId w:val="0"/>
        </w:numPr>
        <w:ind w:left="720"/>
      </w:pPr>
      <w:r>
        <w:t>134 N. LaSalle Street, Suite 1900</w:t>
      </w:r>
    </w:p>
    <w:p w:rsidR="00E12DB1" w:rsidRDefault="00E12DB1" w:rsidP="00E12DB1">
      <w:pPr>
        <w:numPr>
          <w:ilvl w:val="0"/>
          <w:numId w:val="0"/>
        </w:numPr>
        <w:ind w:left="720"/>
      </w:pPr>
      <w:r>
        <w:t xml:space="preserve">Chicago, IL 60602 </w:t>
      </w:r>
    </w:p>
    <w:p w:rsidR="00E12DB1" w:rsidRDefault="00E12DB1" w:rsidP="00E12DB1">
      <w:pPr>
        <w:numPr>
          <w:ilvl w:val="0"/>
          <w:numId w:val="0"/>
        </w:numPr>
        <w:ind w:left="720"/>
      </w:pPr>
      <w:r>
        <w:t xml:space="preserve">Telephone:  312-940-8580 </w:t>
      </w:r>
    </w:p>
    <w:p w:rsidR="00E12DB1" w:rsidRDefault="00E12DB1" w:rsidP="00E12DB1">
      <w:pPr>
        <w:numPr>
          <w:ilvl w:val="0"/>
          <w:numId w:val="0"/>
        </w:numPr>
        <w:ind w:left="720"/>
        <w:rPr>
          <w:rFonts w:eastAsia="Calibri"/>
        </w:rPr>
      </w:pPr>
      <w:r>
        <w:t xml:space="preserve">Fax:  401-234-5130 </w:t>
      </w:r>
    </w:p>
    <w:p w:rsidR="00E12DB1" w:rsidRDefault="00350C34" w:rsidP="00E12DB1">
      <w:pPr>
        <w:numPr>
          <w:ilvl w:val="0"/>
          <w:numId w:val="0"/>
        </w:numPr>
        <w:ind w:left="720"/>
      </w:pPr>
      <w:hyperlink r:id="rId8" w:history="1">
        <w:r w:rsidR="00E12DB1" w:rsidRPr="0070465E">
          <w:rPr>
            <w:rStyle w:val="Hyperlink"/>
            <w:rFonts w:eastAsia="Calibri"/>
          </w:rPr>
          <w:t>mlgil@mlg-defaultlaw.com</w:t>
        </w:r>
      </w:hyperlink>
      <w:r w:rsidR="00E12DB1">
        <w:rPr>
          <w:rFonts w:eastAsia="Calibri"/>
        </w:rPr>
        <w:t xml:space="preserve"> </w:t>
      </w:r>
    </w:p>
    <w:p w:rsidR="00E12DB1" w:rsidRDefault="00E12DB1" w:rsidP="00E12DB1">
      <w:pPr>
        <w:numPr>
          <w:ilvl w:val="0"/>
          <w:numId w:val="0"/>
        </w:numPr>
        <w:spacing w:line="480" w:lineRule="auto"/>
      </w:pPr>
    </w:p>
    <w:p w:rsidR="00E12DB1" w:rsidRPr="008534BF" w:rsidRDefault="00E12DB1" w:rsidP="00E12DB1">
      <w:pPr>
        <w:numPr>
          <w:ilvl w:val="0"/>
          <w:numId w:val="0"/>
        </w:numPr>
        <w:spacing w:line="480" w:lineRule="auto"/>
      </w:pPr>
    </w:p>
    <w:p w:rsidR="00E12DB1" w:rsidRPr="0011116C" w:rsidRDefault="00E12DB1" w:rsidP="00E12DB1">
      <w:pPr>
        <w:numPr>
          <w:ilvl w:val="0"/>
          <w:numId w:val="0"/>
        </w:numPr>
      </w:pPr>
      <w:r>
        <w:tab/>
      </w:r>
    </w:p>
    <w:p w:rsidR="00E12DB1" w:rsidRDefault="00E12DB1" w:rsidP="00E12DB1">
      <w:pPr>
        <w:numPr>
          <w:ilvl w:val="0"/>
          <w:numId w:val="0"/>
        </w:numPr>
        <w:ind w:left="432" w:hanging="432"/>
      </w:pPr>
    </w:p>
    <w:sectPr w:rsidR="00E12DB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DA5" w:rsidRDefault="00456DA5" w:rsidP="00456DA5">
      <w:r>
        <w:separator/>
      </w:r>
    </w:p>
  </w:endnote>
  <w:endnote w:type="continuationSeparator" w:id="0">
    <w:p w:rsidR="00456DA5" w:rsidRDefault="00456DA5" w:rsidP="0045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DA5" w:rsidRDefault="00456DA5">
    <w:pPr>
      <w:pStyle w:val="Footer"/>
    </w:pPr>
    <w:r>
      <w:t>16-12920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DA5" w:rsidRDefault="00456DA5" w:rsidP="00456DA5">
      <w:r>
        <w:separator/>
      </w:r>
    </w:p>
  </w:footnote>
  <w:footnote w:type="continuationSeparator" w:id="0">
    <w:p w:rsidR="00456DA5" w:rsidRDefault="00456DA5" w:rsidP="00456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Normal"/>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7230059"/>
    <w:multiLevelType w:val="hybridMultilevel"/>
    <w:tmpl w:val="22F47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6217E"/>
    <w:multiLevelType w:val="multilevel"/>
    <w:tmpl w:val="4810E2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3EA2023"/>
    <w:multiLevelType w:val="hybridMultilevel"/>
    <w:tmpl w:val="4948B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B1"/>
    <w:rsid w:val="00350C34"/>
    <w:rsid w:val="00456DA5"/>
    <w:rsid w:val="00E1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4044"/>
  <w15:chartTrackingRefBased/>
  <w15:docId w15:val="{1EE94053-59DF-45F7-ADCE-C9E8277B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DB1"/>
    <w:pPr>
      <w:widowControl w:val="0"/>
      <w:numPr>
        <w:numId w:val="1"/>
      </w:numPr>
      <w:suppressAutoHyphens/>
      <w:spacing w:after="0" w:line="240" w:lineRule="auto"/>
      <w:outlineLvl w:val="0"/>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E12DB1"/>
    <w:pPr>
      <w:numPr>
        <w:numId w:val="0"/>
      </w:numPr>
      <w:suppressLineNumbers/>
    </w:pPr>
  </w:style>
  <w:style w:type="paragraph" w:styleId="ListParagraph">
    <w:name w:val="List Paragraph"/>
    <w:basedOn w:val="Normal"/>
    <w:uiPriority w:val="34"/>
    <w:qFormat/>
    <w:rsid w:val="00E12DB1"/>
    <w:pPr>
      <w:tabs>
        <w:tab w:val="clear" w:pos="0"/>
        <w:tab w:val="num" w:pos="720"/>
      </w:tabs>
      <w:ind w:left="720" w:hanging="720"/>
      <w:contextualSpacing/>
    </w:pPr>
    <w:rPr>
      <w:szCs w:val="21"/>
    </w:rPr>
  </w:style>
  <w:style w:type="character" w:styleId="Hyperlink">
    <w:name w:val="Hyperlink"/>
    <w:rsid w:val="00E12DB1"/>
    <w:rPr>
      <w:color w:val="000080"/>
      <w:u w:val="single"/>
    </w:rPr>
  </w:style>
  <w:style w:type="paragraph" w:styleId="Header">
    <w:name w:val="header"/>
    <w:basedOn w:val="Normal"/>
    <w:link w:val="HeaderChar"/>
    <w:uiPriority w:val="99"/>
    <w:unhideWhenUsed/>
    <w:rsid w:val="00456DA5"/>
    <w:pPr>
      <w:tabs>
        <w:tab w:val="clear" w:pos="0"/>
        <w:tab w:val="center" w:pos="4680"/>
        <w:tab w:val="right" w:pos="9360"/>
      </w:tabs>
    </w:pPr>
    <w:rPr>
      <w:szCs w:val="21"/>
    </w:rPr>
  </w:style>
  <w:style w:type="character" w:customStyle="1" w:styleId="HeaderChar">
    <w:name w:val="Header Char"/>
    <w:basedOn w:val="DefaultParagraphFont"/>
    <w:link w:val="Header"/>
    <w:uiPriority w:val="99"/>
    <w:rsid w:val="00456DA5"/>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456DA5"/>
    <w:pPr>
      <w:tabs>
        <w:tab w:val="clear" w:pos="0"/>
        <w:tab w:val="center" w:pos="4680"/>
        <w:tab w:val="right" w:pos="9360"/>
      </w:tabs>
    </w:pPr>
    <w:rPr>
      <w:szCs w:val="21"/>
    </w:rPr>
  </w:style>
  <w:style w:type="character" w:customStyle="1" w:styleId="FooterChar">
    <w:name w:val="Footer Char"/>
    <w:basedOn w:val="DefaultParagraphFont"/>
    <w:link w:val="Footer"/>
    <w:uiPriority w:val="99"/>
    <w:rsid w:val="00456DA5"/>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gil@mlg-default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3434</Characters>
  <Application>Microsoft Office Word</Application>
  <DocSecurity>0</DocSecurity>
  <Lines>98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Callahan</dc:creator>
  <cp:keywords/>
  <dc:description/>
  <cp:lastModifiedBy>Shaun Callahan</cp:lastModifiedBy>
  <cp:revision>2</cp:revision>
  <dcterms:created xsi:type="dcterms:W3CDTF">2018-06-15T13:17:00Z</dcterms:created>
  <dcterms:modified xsi:type="dcterms:W3CDTF">2018-06-15T13:33:00Z</dcterms:modified>
</cp:coreProperties>
</file>