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52825" cy="8001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5"/>
        </w:rPr>
      </w:pPr>
      <w:r>
        <w:rPr/>
        <w:pict>
          <v:line style="position:absolute;mso-position-horizontal-relative:page;mso-position-vertical-relative:paragraph;z-index:0;mso-wrap-distance-left:0;mso-wrap-distance-right:0" from="447.909576pt,11.549942pt" to="467.373936pt,11.549942pt" stroked="true" strokeweight=".96pt" strokecolor="#000000">
            <v:stroke dashstyle="solid"/>
            <w10:wrap type="topAndBottom"/>
          </v:line>
        </w:pict>
      </w:r>
    </w:p>
    <w:sectPr>
      <w:type w:val="continuous"/>
      <w:pgSz w:w="12240" w:h="15840"/>
      <w:pgMar w:top="28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knutini</dc:creator>
  <dc:title>Marion County Sheriff's Sale Real Estat...f Judgement-Bid.Revised 05.04.2018.pdf</dc:title>
  <dcterms:created xsi:type="dcterms:W3CDTF">2018-08-09T10:40:05Z</dcterms:created>
  <dcterms:modified xsi:type="dcterms:W3CDTF">2018-08-09T10:40:05Z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2018-08-09T00:00:00Z</vt:filetime>
  </property>
</Properties>
</file>