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4"/>
          <w:szCs w:val="44"/>
        </w:rPr>
        <w:t xml:space="preserve">MARKET EFFICIENCY DETECTOR</w:t>
      </w:r>
    </w:p>
    <w:p>
      <w:pPr>
        <w:spacing w:after="60"/>
        <w:jc w:val="center"/>
      </w:pPr>
      <w:r>
        <w:rPr>
          <w:rFonts w:ascii="Calibri" w:cs="Calibri" w:eastAsia="Calibri" w:hAnsi="Calibri"/>
          <w:sz w:val="26"/>
          <w:szCs w:val="26"/>
        </w:rPr>
        <w:t xml:space="preserve">Product Requirements Document</w:t>
      </w:r>
    </w:p>
    <w:p>
      <w:pPr>
        <w:spacing w:after="240"/>
        <w:jc w:val="center"/>
      </w:pPr>
      <w:r>
        <w:rPr>
          <w:rFonts w:ascii="Calibri" w:cs="Calibri" w:eastAsia="Calibri" w:hAnsi="Calibri"/>
          <w:i/>
          <w:iCs/>
          <w:color w:val="595959"/>
          <w:sz w:val="21"/>
          <w:szCs w:val="21"/>
        </w:rPr>
        <w:t xml:space="preserve">Version 3.0 — Business-Ready Revision — September 2026</w:t>
      </w:r>
    </w:p>
    <w:tbl>
      <w:tblPr>
        <w:tblW w:type="dxa" w:w="9000"/>
        <w:tblBorders>
          <w:top w:val="single" w:color="C9B896" w:sz="4"/>
          <w:left w:val="single" w:color="C9B896" w:sz="4"/>
          <w:bottom w:val="single" w:color="C9B896" w:sz="4"/>
          <w:right w:val="single" w:color="C9B896" w:sz="4"/>
          <w:insideH w:val="none" w:color="auto" w:sz="0"/>
          <w:insideV w:val="none" w:color="auto" w:sz="0"/>
        </w:tblBorders>
      </w:tblPr>
      <w:tblGrid>
        <w:gridCol w:w="1500"/>
        <w:gridCol w:w="7500"/>
      </w:tblGrid>
      <w:tr>
        <w:tc>
          <w:tcPr>
            <w:tcW w:type="dxa" w:w="1500"/>
            <w:shd w:fill="EAF4EC"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POSITIONING</w:t>
            </w:r>
          </w:p>
        </w:tc>
        <w:tc>
          <w:tcPr>
            <w:tcW w:type="dxa" w:w="7500"/>
            <w:shd w:fill="EAF4EC" w:color="auto" w:val="clear"/>
            <w:tcMar>
              <w:top w:type="dxa" w:w="80"/>
              <w:left w:type="dxa" w:w="110"/>
              <w:bottom w:type="dxa" w:w="80"/>
              <w:right w:type="dxa" w:w="110"/>
            </w:tcMar>
          </w:tcPr>
          <w:p>
            <w:pPr>
              <w:spacing w:after="0"/>
            </w:pPr>
            <w:r>
              <w:rPr>
                <w:rFonts w:ascii="Calibri" w:cs="Calibri" w:eastAsia="Calibri" w:hAnsi="Calibri"/>
                <w:sz w:val="19"/>
                <w:szCs w:val="19"/>
              </w:rPr>
              <w:t xml:space="preserve">An event-driven market intelligence platform that measures Price Adjustment Latency (PAL) and converts it into a validated, cost-aware statistical arbitrage signal — built on a dual-plane architecture (Kafka for the live path, Airflow + Databricks for the research path) with LangGraph agent orchestration and institutional-grade backtest discipline.</w:t>
            </w:r>
          </w:p>
        </w:tc>
      </w:tr>
    </w:tbl>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2100"/>
        <w:gridCol w:w="6900"/>
      </w:tblGrid>
      <w:tr>
        <w:trPr>
          <w:tblHeader/>
        </w:trPr>
        <w:tc>
          <w:tcPr>
            <w:tcW w:type="dxa" w:w="21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Attribute</w:t>
            </w:r>
          </w:p>
        </w:tc>
        <w:tc>
          <w:tcPr>
            <w:tcW w:type="dxa" w:w="69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Detail</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Project name</w:t>
            </w:r>
          </w:p>
        </w:tc>
        <w:tc>
          <w:tcPr>
            <w:tcW w:type="dxa" w:w="6900"/>
            <w:tcMar>
              <w:top w:type="dxa" w:w="80"/>
              <w:left w:type="dxa" w:w="110"/>
              <w:bottom w:type="dxa" w:w="80"/>
              <w:right w:type="dxa" w:w="110"/>
            </w:tcMar>
          </w:tcPr>
          <w:p>
            <w:pPr>
              <w:spacing w:after="0"/>
            </w:pPr>
            <w:r>
              <w:rPr>
                <w:rFonts w:ascii="Calibri" w:cs="Calibri" w:eastAsia="Calibri" w:hAnsi="Calibri"/>
                <w:sz w:val="19"/>
                <w:szCs w:val="19"/>
              </w:rPr>
              <w:t xml:space="preserve">Market Efficiency Detector (MED)</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PRD version</w:t>
            </w:r>
          </w:p>
        </w:tc>
        <w:tc>
          <w:tcPr>
            <w:tcW w:type="dxa" w:w="6900"/>
            <w:tcMar>
              <w:top w:type="dxa" w:w="80"/>
              <w:left w:type="dxa" w:w="110"/>
              <w:bottom w:type="dxa" w:w="80"/>
              <w:right w:type="dxa" w:w="110"/>
            </w:tcMar>
          </w:tcPr>
          <w:p>
            <w:pPr>
              <w:spacing w:after="0"/>
            </w:pPr>
            <w:r>
              <w:rPr>
                <w:rFonts w:ascii="Calibri" w:cs="Calibri" w:eastAsia="Calibri" w:hAnsi="Calibri"/>
                <w:sz w:val="19"/>
                <w:szCs w:val="19"/>
              </w:rPr>
              <w:t xml:space="preserve">3.0 — Business-Ready Revision (supersedes v2.0, March 2026)</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Date</w:t>
            </w:r>
          </w:p>
        </w:tc>
        <w:tc>
          <w:tcPr>
            <w:tcW w:type="dxa" w:w="6900"/>
            <w:tcMar>
              <w:top w:type="dxa" w:w="80"/>
              <w:left w:type="dxa" w:w="110"/>
              <w:bottom w:type="dxa" w:w="80"/>
              <w:right w:type="dxa" w:w="110"/>
            </w:tcMar>
          </w:tcPr>
          <w:p>
            <w:pPr>
              <w:spacing w:after="0"/>
            </w:pPr>
            <w:r>
              <w:rPr>
                <w:rFonts w:ascii="Calibri" w:cs="Calibri" w:eastAsia="Calibri" w:hAnsi="Calibri"/>
                <w:sz w:val="19"/>
                <w:szCs w:val="19"/>
              </w:rPr>
              <w:t xml:space="preserve">September 2026</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Core metric</w:t>
            </w:r>
          </w:p>
        </w:tc>
        <w:tc>
          <w:tcPr>
            <w:tcW w:type="dxa" w:w="6900"/>
            <w:tcMar>
              <w:top w:type="dxa" w:w="80"/>
              <w:left w:type="dxa" w:w="110"/>
              <w:bottom w:type="dxa" w:w="80"/>
              <w:right w:type="dxa" w:w="110"/>
            </w:tcMar>
          </w:tcPr>
          <w:p>
            <w:pPr>
              <w:spacing w:after="0"/>
            </w:pPr>
            <w:r>
              <w:rPr>
                <w:rFonts w:ascii="Calibri" w:cs="Calibri" w:eastAsia="Calibri" w:hAnsi="Calibri"/>
                <w:sz w:val="19"/>
                <w:szCs w:val="19"/>
              </w:rPr>
              <w:t xml:space="preserve">Price Adjustment Latency (PAL) = T_efficient − T_event</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Core product</w:t>
            </w:r>
          </w:p>
        </w:tc>
        <w:tc>
          <w:tcPr>
            <w:tcW w:type="dxa" w:w="6900"/>
            <w:tcMar>
              <w:top w:type="dxa" w:w="80"/>
              <w:left w:type="dxa" w:w="110"/>
              <w:bottom w:type="dxa" w:w="80"/>
              <w:right w:type="dxa" w:w="110"/>
            </w:tcMar>
          </w:tcPr>
          <w:p>
            <w:pPr>
              <w:spacing w:after="0"/>
            </w:pPr>
            <w:r>
              <w:rPr>
                <w:rFonts w:ascii="Calibri" w:cs="Calibri" w:eastAsia="Calibri" w:hAnsi="Calibri"/>
                <w:sz w:val="19"/>
                <w:szCs w:val="19"/>
              </w:rPr>
              <w:t xml:space="preserve">PAL-derived event-driven statistical arbitrage signal, validated by a cost-aware backtest</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Primary audience</w:t>
            </w:r>
          </w:p>
        </w:tc>
        <w:tc>
          <w:tcPr>
            <w:tcW w:type="dxa" w:w="6900"/>
            <w:tcMar>
              <w:top w:type="dxa" w:w="80"/>
              <w:left w:type="dxa" w:w="110"/>
              <w:bottom w:type="dxa" w:w="80"/>
              <w:right w:type="dxa" w:w="110"/>
            </w:tcMar>
          </w:tcPr>
          <w:p>
            <w:pPr>
              <w:spacing w:after="0"/>
            </w:pPr>
            <w:r>
              <w:rPr>
                <w:rFonts w:ascii="Calibri" w:cs="Calibri" w:eastAsia="Calibri" w:hAnsi="Calibri"/>
                <w:sz w:val="19"/>
                <w:szCs w:val="19"/>
              </w:rPr>
              <w:t xml:space="preserve">Singapore fintech / quant-adjacent data engineering hiring · NUS MTech AIS, NTU MSAI, SMU MITB admissions</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Secondary audience</w:t>
            </w:r>
          </w:p>
        </w:tc>
        <w:tc>
          <w:tcPr>
            <w:tcW w:type="dxa" w:w="6900"/>
            <w:tcMar>
              <w:top w:type="dxa" w:w="80"/>
              <w:left w:type="dxa" w:w="110"/>
              <w:bottom w:type="dxa" w:w="80"/>
              <w:right w:type="dxa" w:w="110"/>
            </w:tcMar>
          </w:tcPr>
          <w:p>
            <w:pPr>
              <w:spacing w:after="0"/>
            </w:pPr>
            <w:r>
              <w:rPr>
                <w:rFonts w:ascii="Calibri" w:cs="Calibri" w:eastAsia="Calibri" w:hAnsi="Calibri"/>
                <w:sz w:val="19"/>
                <w:szCs w:val="19"/>
              </w:rPr>
              <w:t xml:space="preserve">Technical readers evaluating the system as a research artefact (arXiv / Medium)</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Version ladder</w:t>
            </w:r>
          </w:p>
        </w:tc>
        <w:tc>
          <w:tcPr>
            <w:tcW w:type="dxa" w:w="6900"/>
            <w:tcMar>
              <w:top w:type="dxa" w:w="80"/>
              <w:left w:type="dxa" w:w="110"/>
              <w:bottom w:type="dxa" w:w="80"/>
              <w:right w:type="dxa" w:w="110"/>
            </w:tcMar>
          </w:tcPr>
          <w:p>
            <w:pPr>
              <w:spacing w:after="0"/>
            </w:pPr>
            <w:r>
              <w:rPr>
                <w:rFonts w:ascii="Calibri" w:cs="Calibri" w:eastAsia="Calibri" w:hAnsi="Calibri"/>
                <w:sz w:val="19"/>
                <w:szCs w:val="19"/>
              </w:rPr>
              <w:t xml:space="preserve">v1 Solo Analyst · v2 Dual-Agent Live System · v2.5 Signal Layer [NEW] · v3 Production Swarm</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Target completion</w:t>
            </w:r>
          </w:p>
        </w:tc>
        <w:tc>
          <w:tcPr>
            <w:tcW w:type="dxa" w:w="6900"/>
            <w:tcMar>
              <w:top w:type="dxa" w:w="80"/>
              <w:left w:type="dxa" w:w="110"/>
              <w:bottom w:type="dxa" w:w="80"/>
              <w:right w:type="dxa" w:w="110"/>
            </w:tcMar>
          </w:tcPr>
          <w:p>
            <w:pPr>
              <w:spacing w:after="0"/>
            </w:pPr>
            <w:r>
              <w:rPr>
                <w:rFonts w:ascii="Calibri" w:cs="Calibri" w:eastAsia="Calibri" w:hAnsi="Calibri"/>
                <w:sz w:val="19"/>
                <w:szCs w:val="19"/>
              </w:rPr>
              <w:t xml:space="preserve">v1: Jun 2026 (complete) · v2: Oct 2026 · v2.5: Jan 2027 · v3: Apr 2027</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Estimated hours</w:t>
            </w:r>
          </w:p>
        </w:tc>
        <w:tc>
          <w:tcPr>
            <w:tcW w:type="dxa" w:w="6900"/>
            <w:tcMar>
              <w:top w:type="dxa" w:w="80"/>
              <w:left w:type="dxa" w:w="110"/>
              <w:bottom w:type="dxa" w:w="80"/>
              <w:right w:type="dxa" w:w="110"/>
            </w:tcMar>
          </w:tcPr>
          <w:p>
            <w:pPr>
              <w:spacing w:after="0"/>
            </w:pPr>
            <w:r>
              <w:rPr>
                <w:rFonts w:ascii="Calibri" w:cs="Calibri" w:eastAsia="Calibri" w:hAnsi="Calibri"/>
                <w:sz w:val="19"/>
                <w:szCs w:val="19"/>
              </w:rPr>
              <w:t xml:space="preserve">v1: 100–140 · v2: +100 · v2.5: +90 [NEW] · v3: +130</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Run cost</w:t>
            </w:r>
          </w:p>
        </w:tc>
        <w:tc>
          <w:tcPr>
            <w:tcW w:type="dxa" w:w="6900"/>
            <w:tcMar>
              <w:top w:type="dxa" w:w="80"/>
              <w:left w:type="dxa" w:w="110"/>
              <w:bottom w:type="dxa" w:w="80"/>
              <w:right w:type="dxa" w:w="110"/>
            </w:tcMar>
          </w:tcPr>
          <w:p>
            <w:pPr>
              <w:spacing w:after="0"/>
            </w:pPr>
            <w:r>
              <w:rPr>
                <w:rFonts w:ascii="Calibri" w:cs="Calibri" w:eastAsia="Calibri" w:hAnsi="Calibri"/>
                <w:sz w:val="19"/>
                <w:szCs w:val="19"/>
              </w:rPr>
              <w:t xml:space="preserve">v1: ₹0 · v2: ~₹500/mo · v2.5: ~₹2,500–3,500/mo · v3: ~₹4,000/mo</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Regulatory stance</w:t>
            </w:r>
          </w:p>
        </w:tc>
        <w:tc>
          <w:tcPr>
            <w:tcW w:type="dxa" w:w="6900"/>
            <w:tcMar>
              <w:top w:type="dxa" w:w="80"/>
              <w:left w:type="dxa" w:w="110"/>
              <w:bottom w:type="dxa" w:w="80"/>
              <w:right w:type="dxa" w:w="110"/>
            </w:tcMar>
          </w:tcPr>
          <w:p>
            <w:pPr>
              <w:spacing w:after="0"/>
            </w:pPr>
            <w:r>
              <w:rPr>
                <w:rFonts w:ascii="Calibri" w:cs="Calibri" w:eastAsia="Calibri" w:hAnsi="Calibri"/>
                <w:sz w:val="19"/>
                <w:szCs w:val="19"/>
              </w:rPr>
              <w:t xml:space="preserve">Research signal only. Paper-traded. Not investment advice, not an execution system.</w:t>
            </w:r>
          </w:p>
        </w:tc>
      </w:tr>
    </w:tbl>
    <w:p>
      <w:pPr>
        <w:spacing w:after="140"/>
      </w:pPr>
      <w:r>
        <w:t xml:space="preserve"/>
      </w:r>
    </w:p>
    <w:tbl>
      <w:tblPr>
        <w:tblW w:type="dxa" w:w="9000"/>
        <w:tblBorders>
          <w:top w:val="single" w:color="C9B896" w:sz="4"/>
          <w:left w:val="single" w:color="C9B896" w:sz="4"/>
          <w:bottom w:val="single" w:color="C9B896" w:sz="4"/>
          <w:right w:val="single" w:color="C9B896" w:sz="4"/>
          <w:insideH w:val="none" w:color="auto" w:sz="0"/>
          <w:insideV w:val="none" w:color="auto" w:sz="0"/>
        </w:tblBorders>
      </w:tblPr>
      <w:tblGrid>
        <w:gridCol w:w="1500"/>
        <w:gridCol w:w="7500"/>
      </w:tblGrid>
      <w:tr>
        <w:tc>
          <w:tcPr>
            <w:tcW w:type="dxa" w:w="1500"/>
            <w:shd w:fill="FDF3E3"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v3.0 NOTE</w:t>
            </w:r>
          </w:p>
        </w:tc>
        <w:tc>
          <w:tcPr>
            <w:tcW w:type="dxa" w:w="7500"/>
            <w:shd w:fill="FDF3E3" w:color="auto" w:val="clear"/>
            <w:tcMar>
              <w:top w:type="dxa" w:w="80"/>
              <w:left w:type="dxa" w:w="110"/>
              <w:bottom w:type="dxa" w:w="80"/>
              <w:right w:type="dxa" w:w="110"/>
            </w:tcMar>
          </w:tcPr>
          <w:p>
            <w:pPr>
              <w:spacing w:after="0"/>
            </w:pPr>
            <w:r>
              <w:rPr>
                <w:rFonts w:ascii="Calibri" w:cs="Calibri" w:eastAsia="Calibri" w:hAnsi="Calibri"/>
                <w:sz w:val="19"/>
                <w:szCs w:val="19"/>
              </w:rPr>
              <w:t xml:space="preserve">This revision does one thing: it upgrades MED from a measurement project into a product with a testable commercial claim. v2.0 ended at "here is the PAL number." v3.0 ends at "here is the signal, here is what it earns after costs, and here are the conditions under which we declare it has no alpha." Sections marked [NEW] did not exist in v2.0; sections marked [REVISED] have changed materially.</w:t>
            </w:r>
          </w:p>
        </w:tc>
      </w:tr>
    </w:tbl>
    <w:p>
      <w:pPr>
        <w:spacing w:after="140"/>
      </w:pPr>
      <w:r>
        <w:t xml:space="preserve"/>
      </w:r>
    </w:p>
    <w:p>
      <w:r>
        <w:br w:type="page"/>
      </w:r>
    </w:p>
    <w:p>
      <w:pPr>
        <w:pStyle w:val="Heading1"/>
        <w:spacing w:after="160" w:before="360"/>
      </w:pPr>
      <w:r>
        <w:rPr>
          <w:rFonts w:ascii="Calibri" w:cs="Calibri" w:eastAsia="Calibri" w:hAnsi="Calibri"/>
          <w:b/>
          <w:bCs/>
          <w:color w:val="1F3864"/>
          <w:sz w:val="30"/>
          <w:szCs w:val="30"/>
        </w:rPr>
        <w:t xml:space="preserve">1. Executive Summary</w:t>
      </w:r>
    </w:p>
    <w:p>
      <w:pPr>
        <w:pStyle w:val="Heading2"/>
        <w:spacing w:after="120" w:before="260"/>
      </w:pPr>
      <w:r>
        <w:rPr>
          <w:rFonts w:ascii="Calibri" w:cs="Calibri" w:eastAsia="Calibri" w:hAnsi="Calibri"/>
          <w:b/>
          <w:bCs/>
          <w:color w:val="1F3864"/>
          <w:sz w:val="25"/>
          <w:szCs w:val="25"/>
        </w:rPr>
        <w:t xml:space="preserve">1.1 What changed and why</w:t>
      </w:r>
    </w:p>
    <w:p>
      <w:pPr>
        <w:spacing w:after="120" w:line="276"/>
      </w:pPr>
      <w:r>
        <w:rPr>
          <w:rFonts w:ascii="Calibri" w:cs="Calibri" w:eastAsia="Calibri" w:hAnsi="Calibri"/>
          <w:sz w:val="21"/>
          <w:szCs w:val="21"/>
        </w:rPr>
        <w:t xml:space="preserve">v2.0 defined PAL as a descriptive metric: how long the market takes to absorb an information event. That is a legitimate research contribution, but it has a weakness that any quant reviewer or fintech hiring manager will find in the first five minutes — a metric with no economic test attached cannot be distinguished from noise. "Mid-caps took 3x longer than large-caps" is interesting; "and here is what that delay is worth, net of costs" is defensible.</w:t>
      </w:r>
    </w:p>
    <w:p>
      <w:pPr>
        <w:spacing w:after="120" w:line="276"/>
      </w:pPr>
      <w:r>
        <w:rPr>
          <w:rFonts w:ascii="Calibri" w:cs="Calibri" w:eastAsia="Calibri" w:hAnsi="Calibri"/>
          <w:sz w:val="21"/>
          <w:szCs w:val="21"/>
        </w:rPr>
        <w:t xml:space="preserve">v3.0 therefore adds a signal layer (v2.5) between the existing v2 live system and the v3 production swarm. The signal layer turns each detected latency event into an explicit trade hypothesis with entry, exit, sizing and holding period, then subjects it to a cost-aware, point-in-time backtest with pre-registered kill criteria.</w:t>
      </w:r>
    </w:p>
    <w:p>
      <w:pPr>
        <w:pStyle w:val="Heading2"/>
        <w:spacing w:after="120" w:before="260"/>
      </w:pPr>
      <w:r>
        <w:rPr>
          <w:rFonts w:ascii="Calibri" w:cs="Calibri" w:eastAsia="Calibri" w:hAnsi="Calibri"/>
          <w:b/>
          <w:bCs/>
          <w:color w:val="1F3864"/>
          <w:sz w:val="25"/>
          <w:szCs w:val="25"/>
        </w:rPr>
        <w:t xml:space="preserve">1.2 The scope change is logic, not infrastructure [REVISED]</w:t>
      </w:r>
    </w:p>
    <w:p>
      <w:pPr>
        <w:spacing w:after="120" w:line="276"/>
      </w:pPr>
      <w:r>
        <w:rPr>
          <w:rFonts w:ascii="Calibri" w:cs="Calibri" w:eastAsia="Calibri" w:hAnsi="Calibri"/>
          <w:sz w:val="21"/>
          <w:szCs w:val="21"/>
        </w:rPr>
        <w:t xml:space="preserve">The critical planning finding of this revision: the pivot to a tradeable signal requires no change to the core stack. Every component specified in v2.0 is retained and most become better justified.</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2500"/>
        <w:gridCol w:w="2200"/>
        <w:gridCol w:w="4300"/>
      </w:tblGrid>
      <w:tr>
        <w:trPr>
          <w:tblHeader/>
        </w:trPr>
        <w:tc>
          <w:tcPr>
            <w:tcW w:type="dxa" w:w="25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Component</w:t>
            </w:r>
          </w:p>
        </w:tc>
        <w:tc>
          <w:tcPr>
            <w:tcW w:type="dxa" w:w="22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Status under v3.0</w:t>
            </w:r>
          </w:p>
        </w:tc>
        <w:tc>
          <w:tcPr>
            <w:tcW w:type="dxa" w:w="43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Note</w:t>
            </w:r>
          </w:p>
        </w:tc>
      </w:tr>
      <w:tr>
        <w:tc>
          <w:tcPr>
            <w:tcW w:type="dxa" w:w="2500"/>
            <w:tcMar>
              <w:top w:type="dxa" w:w="80"/>
              <w:left w:type="dxa" w:w="110"/>
              <w:bottom w:type="dxa" w:w="80"/>
              <w:right w:type="dxa" w:w="110"/>
            </w:tcMar>
          </w:tcPr>
          <w:p>
            <w:pPr>
              <w:spacing w:after="0"/>
            </w:pPr>
            <w:r>
              <w:rPr>
                <w:rFonts w:ascii="Calibri" w:cs="Calibri" w:eastAsia="Calibri" w:hAnsi="Calibri"/>
                <w:sz w:val="19"/>
                <w:szCs w:val="19"/>
              </w:rPr>
              <w:t xml:space="preserve">yfinance / NewsAPI / VADER</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Retained</w:t>
            </w:r>
          </w:p>
        </w:tc>
        <w:tc>
          <w:tcPr>
            <w:tcW w:type="dxa" w:w="4300"/>
            <w:tcMar>
              <w:top w:type="dxa" w:w="80"/>
              <w:left w:type="dxa" w:w="110"/>
              <w:bottom w:type="dxa" w:w="80"/>
              <w:right w:type="dxa" w:w="110"/>
            </w:tcMar>
          </w:tcPr>
          <w:p>
            <w:pPr>
              <w:spacing w:after="0"/>
            </w:pPr>
            <w:r>
              <w:rPr>
                <w:rFonts w:ascii="Calibri" w:cs="Calibri" w:eastAsia="Calibri" w:hAnsi="Calibri"/>
                <w:sz w:val="19"/>
                <w:szCs w:val="19"/>
              </w:rPr>
              <w:t xml:space="preserve">Event detection and T_event logic are unchanged</w:t>
            </w:r>
          </w:p>
        </w:tc>
      </w:tr>
      <w:tr>
        <w:tc>
          <w:tcPr>
            <w:tcW w:type="dxa" w:w="2500"/>
            <w:tcMar>
              <w:top w:type="dxa" w:w="80"/>
              <w:left w:type="dxa" w:w="110"/>
              <w:bottom w:type="dxa" w:w="80"/>
              <w:right w:type="dxa" w:w="110"/>
            </w:tcMar>
          </w:tcPr>
          <w:p>
            <w:pPr>
              <w:spacing w:after="0"/>
            </w:pPr>
            <w:r>
              <w:rPr>
                <w:rFonts w:ascii="Calibri" w:cs="Calibri" w:eastAsia="Calibri" w:hAnsi="Calibri"/>
                <w:sz w:val="19"/>
                <w:szCs w:val="19"/>
              </w:rPr>
              <w:t xml:space="preserve">Kafka / Redpanda</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Retained, now load-bearing</w:t>
            </w:r>
          </w:p>
        </w:tc>
        <w:tc>
          <w:tcPr>
            <w:tcW w:type="dxa" w:w="4300"/>
            <w:tcMar>
              <w:top w:type="dxa" w:w="80"/>
              <w:left w:type="dxa" w:w="110"/>
              <w:bottom w:type="dxa" w:w="80"/>
              <w:right w:type="dxa" w:w="110"/>
            </w:tcMar>
          </w:tcPr>
          <w:p>
            <w:pPr>
              <w:spacing w:after="0"/>
            </w:pPr>
            <w:r>
              <w:rPr>
                <w:rFonts w:ascii="Calibri" w:cs="Calibri" w:eastAsia="Calibri" w:hAnsi="Calibri"/>
                <w:sz w:val="19"/>
                <w:szCs w:val="19"/>
              </w:rPr>
              <w:t xml:space="preserve">A tradeable signal needs low latency to reach the window before it closes</w:t>
            </w:r>
          </w:p>
        </w:tc>
      </w:tr>
      <w:tr>
        <w:tc>
          <w:tcPr>
            <w:tcW w:type="dxa" w:w="2500"/>
            <w:tcMar>
              <w:top w:type="dxa" w:w="80"/>
              <w:left w:type="dxa" w:w="110"/>
              <w:bottom w:type="dxa" w:w="80"/>
              <w:right w:type="dxa" w:w="110"/>
            </w:tcMar>
          </w:tcPr>
          <w:p>
            <w:pPr>
              <w:spacing w:after="0"/>
            </w:pPr>
            <w:r>
              <w:rPr>
                <w:rFonts w:ascii="Calibri" w:cs="Calibri" w:eastAsia="Calibri" w:hAnsi="Calibri"/>
                <w:sz w:val="19"/>
                <w:szCs w:val="19"/>
              </w:rPr>
              <w:t xml:space="preserve">LangGraph (Statistician + Contextualist)</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Retained, extended</w:t>
            </w:r>
          </w:p>
        </w:tc>
        <w:tc>
          <w:tcPr>
            <w:tcW w:type="dxa" w:w="4300"/>
            <w:tcMar>
              <w:top w:type="dxa" w:w="80"/>
              <w:left w:type="dxa" w:w="110"/>
              <w:bottom w:type="dxa" w:w="80"/>
              <w:right w:type="dxa" w:w="110"/>
            </w:tcMar>
          </w:tcPr>
          <w:p>
            <w:pPr>
              <w:spacing w:after="0"/>
            </w:pPr>
            <w:r>
              <w:rPr>
                <w:rFonts w:ascii="Calibri" w:cs="Calibri" w:eastAsia="Calibri" w:hAnsi="Calibri"/>
                <w:sz w:val="19"/>
                <w:szCs w:val="19"/>
              </w:rPr>
              <w:t xml:space="preserve">Agents now emit a signal decision, not a terminal PAL score</w:t>
            </w:r>
          </w:p>
        </w:tc>
      </w:tr>
      <w:tr>
        <w:tc>
          <w:tcPr>
            <w:tcW w:type="dxa" w:w="2500"/>
            <w:tcMar>
              <w:top w:type="dxa" w:w="80"/>
              <w:left w:type="dxa" w:w="110"/>
              <w:bottom w:type="dxa" w:w="80"/>
              <w:right w:type="dxa" w:w="110"/>
            </w:tcMar>
          </w:tcPr>
          <w:p>
            <w:pPr>
              <w:spacing w:after="0"/>
            </w:pPr>
            <w:r>
              <w:rPr>
                <w:rFonts w:ascii="Calibri" w:cs="Calibri" w:eastAsia="Calibri" w:hAnsi="Calibri"/>
                <w:sz w:val="19"/>
                <w:szCs w:val="19"/>
              </w:rPr>
              <w:t xml:space="preserve">Snowflake</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Retained</w:t>
            </w:r>
          </w:p>
        </w:tc>
        <w:tc>
          <w:tcPr>
            <w:tcW w:type="dxa" w:w="4300"/>
            <w:tcMar>
              <w:top w:type="dxa" w:w="80"/>
              <w:left w:type="dxa" w:w="110"/>
              <w:bottom w:type="dxa" w:w="80"/>
              <w:right w:type="dxa" w:w="110"/>
            </w:tcMar>
          </w:tcPr>
          <w:p>
            <w:pPr>
              <w:spacing w:after="0"/>
            </w:pPr>
            <w:r>
              <w:rPr>
                <w:rFonts w:ascii="Calibri" w:cs="Calibri" w:eastAsia="Calibri" w:hAnsi="Calibri"/>
                <w:sz w:val="19"/>
                <w:szCs w:val="19"/>
              </w:rPr>
              <w:t xml:space="preserve">Adds signal, fill and PnL tables</w:t>
            </w:r>
          </w:p>
        </w:tc>
      </w:tr>
      <w:tr>
        <w:tc>
          <w:tcPr>
            <w:tcW w:type="dxa" w:w="2500"/>
            <w:tcMar>
              <w:top w:type="dxa" w:w="80"/>
              <w:left w:type="dxa" w:w="110"/>
              <w:bottom w:type="dxa" w:w="80"/>
              <w:right w:type="dxa" w:w="110"/>
            </w:tcMar>
          </w:tcPr>
          <w:p>
            <w:pPr>
              <w:spacing w:after="0"/>
            </w:pPr>
            <w:r>
              <w:rPr>
                <w:rFonts w:ascii="Calibri" w:cs="Calibri" w:eastAsia="Calibri" w:hAnsi="Calibri"/>
                <w:sz w:val="19"/>
                <w:szCs w:val="19"/>
              </w:rPr>
              <w:t xml:space="preserve">Databricks</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Retained, better justified</w:t>
            </w:r>
          </w:p>
        </w:tc>
        <w:tc>
          <w:tcPr>
            <w:tcW w:type="dxa" w:w="4300"/>
            <w:tcMar>
              <w:top w:type="dxa" w:w="80"/>
              <w:left w:type="dxa" w:w="110"/>
              <w:bottom w:type="dxa" w:w="80"/>
              <w:right w:type="dxa" w:w="110"/>
            </w:tcMar>
          </w:tcPr>
          <w:p>
            <w:pPr>
              <w:spacing w:after="0"/>
            </w:pPr>
            <w:r>
              <w:rPr>
                <w:rFonts w:ascii="Calibri" w:cs="Calibri" w:eastAsia="Calibri" w:hAnsi="Calibri"/>
                <w:sz w:val="19"/>
                <w:szCs w:val="19"/>
              </w:rPr>
              <w:t xml:space="preserve">Multi-year backtest sweeps are a far stronger Databricks use case than metric computation</w:t>
            </w:r>
          </w:p>
        </w:tc>
      </w:tr>
      <w:tr>
        <w:tc>
          <w:tcPr>
            <w:tcW w:type="dxa" w:w="2500"/>
            <w:tcMar>
              <w:top w:type="dxa" w:w="80"/>
              <w:left w:type="dxa" w:w="110"/>
              <w:bottom w:type="dxa" w:w="80"/>
              <w:right w:type="dxa" w:w="110"/>
            </w:tcMar>
          </w:tcPr>
          <w:p>
            <w:pPr>
              <w:spacing w:after="0"/>
            </w:pPr>
            <w:r>
              <w:rPr>
                <w:rFonts w:ascii="Calibri" w:cs="Calibri" w:eastAsia="Calibri" w:hAnsi="Calibri"/>
                <w:sz w:val="19"/>
                <w:szCs w:val="19"/>
              </w:rPr>
              <w:t xml:space="preserve">Airflow</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ADDED [NEW]</w:t>
            </w:r>
          </w:p>
        </w:tc>
        <w:tc>
          <w:tcPr>
            <w:tcW w:type="dxa" w:w="4300"/>
            <w:tcMar>
              <w:top w:type="dxa" w:w="80"/>
              <w:left w:type="dxa" w:w="110"/>
              <w:bottom w:type="dxa" w:w="80"/>
              <w:right w:type="dxa" w:w="110"/>
            </w:tcMar>
          </w:tcPr>
          <w:p>
            <w:pPr>
              <w:spacing w:after="0"/>
            </w:pPr>
            <w:r>
              <w:rPr>
                <w:rFonts w:ascii="Calibri" w:cs="Calibri" w:eastAsia="Calibri" w:hAnsi="Calibri"/>
                <w:sz w:val="19"/>
                <w:szCs w:val="19"/>
              </w:rPr>
              <w:t xml:space="preserve">Orchestrates the offline research plane; was absent from v2.0</w:t>
            </w:r>
          </w:p>
        </w:tc>
      </w:tr>
      <w:tr>
        <w:tc>
          <w:tcPr>
            <w:tcW w:type="dxa" w:w="2500"/>
            <w:tcMar>
              <w:top w:type="dxa" w:w="80"/>
              <w:left w:type="dxa" w:w="110"/>
              <w:bottom w:type="dxa" w:w="80"/>
              <w:right w:type="dxa" w:w="110"/>
            </w:tcMar>
          </w:tcPr>
          <w:p>
            <w:pPr>
              <w:spacing w:after="0"/>
            </w:pPr>
            <w:r>
              <w:rPr>
                <w:rFonts w:ascii="Calibri" w:cs="Calibri" w:eastAsia="Calibri" w:hAnsi="Calibri"/>
                <w:sz w:val="19"/>
                <w:szCs w:val="19"/>
              </w:rPr>
              <w:t xml:space="preserve">Backtesting engine (vectorbt)</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ADDED [NEW]</w:t>
            </w:r>
          </w:p>
        </w:tc>
        <w:tc>
          <w:tcPr>
            <w:tcW w:type="dxa" w:w="4300"/>
            <w:tcMar>
              <w:top w:type="dxa" w:w="80"/>
              <w:left w:type="dxa" w:w="110"/>
              <w:bottom w:type="dxa" w:w="80"/>
              <w:right w:type="dxa" w:w="110"/>
            </w:tcMar>
          </w:tcPr>
          <w:p>
            <w:pPr>
              <w:spacing w:after="0"/>
            </w:pPr>
            <w:r>
              <w:rPr>
                <w:rFonts w:ascii="Calibri" w:cs="Calibri" w:eastAsia="Calibri" w:hAnsi="Calibri"/>
                <w:sz w:val="19"/>
                <w:szCs w:val="19"/>
              </w:rPr>
              <w:t xml:space="preserve">The main new build. Was a single v3 line item in v2.0; now a first-class subsystem</w:t>
            </w:r>
          </w:p>
        </w:tc>
      </w:tr>
      <w:tr>
        <w:tc>
          <w:tcPr>
            <w:tcW w:type="dxa" w:w="2500"/>
            <w:tcMar>
              <w:top w:type="dxa" w:w="80"/>
              <w:left w:type="dxa" w:w="110"/>
              <w:bottom w:type="dxa" w:w="80"/>
              <w:right w:type="dxa" w:w="110"/>
            </w:tcMar>
          </w:tcPr>
          <w:p>
            <w:pPr>
              <w:spacing w:after="0"/>
            </w:pPr>
            <w:r>
              <w:rPr>
                <w:rFonts w:ascii="Calibri" w:cs="Calibri" w:eastAsia="Calibri" w:hAnsi="Calibri"/>
                <w:sz w:val="19"/>
                <w:szCs w:val="19"/>
              </w:rPr>
              <w:t xml:space="preserve">Point-in-time data vendor</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ADDED [NEW]</w:t>
            </w:r>
          </w:p>
        </w:tc>
        <w:tc>
          <w:tcPr>
            <w:tcW w:type="dxa" w:w="4300"/>
            <w:tcMar>
              <w:top w:type="dxa" w:w="80"/>
              <w:left w:type="dxa" w:w="110"/>
              <w:bottom w:type="dxa" w:w="80"/>
              <w:right w:type="dxa" w:w="110"/>
            </w:tcMar>
          </w:tcPr>
          <w:p>
            <w:pPr>
              <w:spacing w:after="0"/>
            </w:pPr>
            <w:r>
              <w:rPr>
                <w:rFonts w:ascii="Calibri" w:cs="Calibri" w:eastAsia="Calibri" w:hAnsi="Calibri"/>
                <w:sz w:val="19"/>
                <w:szCs w:val="19"/>
              </w:rPr>
              <w:t xml:space="preserve">The only material new recurring cost (~₹2,000–2,800/mo)</w:t>
            </w:r>
          </w:p>
        </w:tc>
      </w:tr>
    </w:tbl>
    <w:p>
      <w:pPr>
        <w:spacing w:after="140"/>
      </w:pPr>
      <w:r>
        <w:t xml:space="preserve"/>
      </w:r>
    </w:p>
    <w:p>
      <w:pPr>
        <w:pStyle w:val="Heading2"/>
        <w:spacing w:after="120" w:before="260"/>
      </w:pPr>
      <w:r>
        <w:rPr>
          <w:rFonts w:ascii="Calibri" w:cs="Calibri" w:eastAsia="Calibri" w:hAnsi="Calibri"/>
          <w:b/>
          <w:bCs/>
          <w:color w:val="1F3864"/>
          <w:sz w:val="25"/>
          <w:szCs w:val="25"/>
        </w:rPr>
        <w:t xml:space="preserve">1.3 Cost delta</w:t>
      </w:r>
    </w:p>
    <w:p>
      <w:pPr>
        <w:spacing w:after="120" w:line="276"/>
      </w:pPr>
      <w:r>
        <w:rPr>
          <w:rFonts w:ascii="Calibri" w:cs="Calibri" w:eastAsia="Calibri" w:hAnsi="Calibri"/>
          <w:sz w:val="21"/>
          <w:szCs w:val="21"/>
        </w:rPr>
        <w:t xml:space="preserve">Incremental cost of the pivot is approximately 90 engineering hours plus ₹2,000–2,800/month for point-in-time market data. There is no rebuild, no new cloud platform, and no new orchestration paradigm — only a new subsystem (backtest + cost model) hung off existing infrastructure.</w:t>
      </w:r>
    </w:p>
    <w:p>
      <w:pPr>
        <w:spacing w:after="140"/>
      </w:pPr>
      <w:r>
        <w:t xml:space="preserve"/>
      </w:r>
    </w:p>
    <w:p>
      <w:pPr>
        <w:pStyle w:val="Heading2"/>
        <w:spacing w:after="120" w:before="260"/>
      </w:pPr>
      <w:r>
        <w:rPr>
          <w:rFonts w:ascii="Calibri" w:cs="Calibri" w:eastAsia="Calibri" w:hAnsi="Calibri"/>
          <w:b/>
          <w:bCs/>
          <w:color w:val="1F3864"/>
          <w:sz w:val="25"/>
          <w:szCs w:val="25"/>
        </w:rPr>
        <w:t xml:space="preserve">1.4 The commercial claim in one paragraph</w:t>
      </w:r>
    </w:p>
    <w:tbl>
      <w:tblPr>
        <w:tblW w:type="dxa" w:w="9000"/>
        <w:tblBorders>
          <w:top w:val="single" w:color="C9B896" w:sz="4"/>
          <w:left w:val="single" w:color="C9B896" w:sz="4"/>
          <w:bottom w:val="single" w:color="C9B896" w:sz="4"/>
          <w:right w:val="single" w:color="C9B896" w:sz="4"/>
          <w:insideH w:val="none" w:color="auto" w:sz="0"/>
          <w:insideV w:val="none" w:color="auto" w:sz="0"/>
        </w:tblBorders>
      </w:tblPr>
      <w:tblGrid>
        <w:gridCol w:w="1500"/>
        <w:gridCol w:w="7500"/>
      </w:tblGrid>
      <w:tr>
        <w:tc>
          <w:tcPr>
            <w:tcW w:type="dxa" w:w="1500"/>
            <w:shd w:fill="EAF4EC"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CLAIM</w:t>
            </w:r>
          </w:p>
        </w:tc>
        <w:tc>
          <w:tcPr>
            <w:tcW w:type="dxa" w:w="7500"/>
            <w:shd w:fill="EAF4EC" w:color="auto" w:val="clear"/>
            <w:tcMar>
              <w:top w:type="dxa" w:w="80"/>
              <w:left w:type="dxa" w:w="110"/>
              <w:bottom w:type="dxa" w:w="80"/>
              <w:right w:type="dxa" w:w="110"/>
            </w:tcMar>
          </w:tcPr>
          <w:p>
            <w:pPr>
              <w:spacing w:after="0"/>
            </w:pPr>
            <w:r>
              <w:rPr>
                <w:rFonts w:ascii="Calibri" w:cs="Calibri" w:eastAsia="Calibri" w:hAnsi="Calibri"/>
                <w:sz w:val="19"/>
                <w:szCs w:val="19"/>
              </w:rPr>
              <w:t xml:space="preserve">For a defined universe of NSE and SGX equities, a subset of information events produce a price adjustment path that is slow enough and directional enough to be exploitable. MED detects those events in under 60 seconds, classifies the expected latency regime before resolution, and emits a signal with a defined holding period. The economic value of that signal is measured net of commissions, spread, slippage and impact, and is reported with a deflated Sharpe ratio to account for the number of strategy variants tested.</w:t>
            </w:r>
          </w:p>
        </w:tc>
      </w:tr>
    </w:tbl>
    <w:p>
      <w:pPr>
        <w:pStyle w:val="Heading1"/>
        <w:spacing w:after="160" w:before="360"/>
      </w:pPr>
      <w:r>
        <w:rPr>
          <w:rFonts w:ascii="Calibri" w:cs="Calibri" w:eastAsia="Calibri" w:hAnsi="Calibri"/>
          <w:b/>
          <w:bCs/>
          <w:color w:val="1F3864"/>
          <w:sz w:val="30"/>
          <w:szCs w:val="30"/>
        </w:rPr>
        <w:t xml:space="preserve">2. Product Definition [REVISED]</w:t>
      </w:r>
    </w:p>
    <w:p>
      <w:pPr>
        <w:pStyle w:val="Heading2"/>
        <w:spacing w:after="120" w:before="260"/>
      </w:pPr>
      <w:r>
        <w:rPr>
          <w:rFonts w:ascii="Calibri" w:cs="Calibri" w:eastAsia="Calibri" w:hAnsi="Calibri"/>
          <w:b/>
          <w:bCs/>
          <w:color w:val="1F3864"/>
          <w:sz w:val="25"/>
          <w:szCs w:val="25"/>
        </w:rPr>
        <w:t xml:space="preserve">2.1 Problem statement</w:t>
      </w:r>
    </w:p>
    <w:p>
      <w:pPr>
        <w:spacing w:after="120" w:line="276"/>
      </w:pPr>
      <w:r>
        <w:rPr>
          <w:rFonts w:ascii="Calibri" w:cs="Calibri" w:eastAsia="Calibri" w:hAnsi="Calibri"/>
          <w:sz w:val="21"/>
          <w:szCs w:val="21"/>
        </w:rPr>
        <w:t xml:space="preserve">Information reaches markets faster than prices adjust to it. The gap is structural — it comes from liquidity constraints, attention constraints and order-routing frictions — and it is measurable. Existing retail and semi-professional tooling either reports the news (no latency awareness) or reports the price (no event awareness). Nothing in the accessible tier connects "this specific event, at this specific timestamp, on this specific liquidity tier" to "this is how long the adjustment usually takes, and this is what that has historically been worth."</w:t>
      </w:r>
    </w:p>
    <w:p>
      <w:pPr>
        <w:pStyle w:val="Heading2"/>
        <w:spacing w:after="120" w:before="260"/>
      </w:pPr>
      <w:r>
        <w:rPr>
          <w:rFonts w:ascii="Calibri" w:cs="Calibri" w:eastAsia="Calibri" w:hAnsi="Calibri"/>
          <w:b/>
          <w:bCs/>
          <w:color w:val="1F3864"/>
          <w:sz w:val="25"/>
          <w:szCs w:val="25"/>
        </w:rPr>
        <w:t xml:space="preserve">2.2 From metric to signal</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1500"/>
        <w:gridCol w:w="3600"/>
        <w:gridCol w:w="3900"/>
      </w:tblGrid>
      <w:tr>
        <w:trPr>
          <w:tblHeader/>
        </w:trPr>
        <w:tc>
          <w:tcPr>
            <w:tcW w:type="dxa" w:w="15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Dimension</w:t>
            </w:r>
          </w:p>
        </w:tc>
        <w:tc>
          <w:tcPr>
            <w:tcW w:type="dxa" w:w="36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v2.0 — Metric product</w:t>
            </w:r>
          </w:p>
        </w:tc>
        <w:tc>
          <w:tcPr>
            <w:tcW w:type="dxa" w:w="39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v3.0 — Signal product</w:t>
            </w:r>
          </w:p>
        </w:tc>
      </w:tr>
      <w:tr>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Output</w:t>
            </w:r>
          </w:p>
        </w:tc>
        <w:tc>
          <w:tcPr>
            <w:tcW w:type="dxa" w:w="3600"/>
            <w:tcMar>
              <w:top w:type="dxa" w:w="80"/>
              <w:left w:type="dxa" w:w="110"/>
              <w:bottom w:type="dxa" w:w="80"/>
              <w:right w:type="dxa" w:w="110"/>
            </w:tcMar>
          </w:tcPr>
          <w:p>
            <w:pPr>
              <w:spacing w:after="0"/>
            </w:pPr>
            <w:r>
              <w:rPr>
                <w:rFonts w:ascii="Calibri" w:cs="Calibri" w:eastAsia="Calibri" w:hAnsi="Calibri"/>
                <w:sz w:val="19"/>
                <w:szCs w:val="19"/>
              </w:rPr>
              <w:t xml:space="preserve">PAL in seconds + class (FAST / NORMAL / SLOW / INCONCLUSIVE)</w:t>
            </w:r>
          </w:p>
        </w:tc>
        <w:tc>
          <w:tcPr>
            <w:tcW w:type="dxa" w:w="3900"/>
            <w:tcMar>
              <w:top w:type="dxa" w:w="80"/>
              <w:left w:type="dxa" w:w="110"/>
              <w:bottom w:type="dxa" w:w="80"/>
              <w:right w:type="dxa" w:w="110"/>
            </w:tcMar>
          </w:tcPr>
          <w:p>
            <w:pPr>
              <w:spacing w:after="0"/>
            </w:pPr>
            <w:r>
              <w:rPr>
                <w:rFonts w:ascii="Calibri" w:cs="Calibri" w:eastAsia="Calibri" w:hAnsi="Calibri"/>
                <w:sz w:val="19"/>
                <w:szCs w:val="19"/>
              </w:rPr>
              <w:t xml:space="preserve">Directional signal with entry, exit, confidence and expected holding period</w:t>
            </w:r>
          </w:p>
        </w:tc>
      </w:tr>
      <w:tr>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Success test</w:t>
            </w:r>
          </w:p>
        </w:tc>
        <w:tc>
          <w:tcPr>
            <w:tcW w:type="dxa" w:w="3600"/>
            <w:tcMar>
              <w:top w:type="dxa" w:w="80"/>
              <w:left w:type="dxa" w:w="110"/>
              <w:bottom w:type="dxa" w:w="80"/>
              <w:right w:type="dxa" w:w="110"/>
            </w:tcMar>
          </w:tcPr>
          <w:p>
            <w:pPr>
              <w:spacing w:after="0"/>
            </w:pPr>
            <w:r>
              <w:rPr>
                <w:rFonts w:ascii="Calibri" w:cs="Calibri" w:eastAsia="Calibri" w:hAnsi="Calibri"/>
                <w:sz w:val="19"/>
                <w:szCs w:val="19"/>
              </w:rPr>
              <w:t xml:space="preserve">Statistical significance of PAL differences across tiers</w:t>
            </w:r>
          </w:p>
        </w:tc>
        <w:tc>
          <w:tcPr>
            <w:tcW w:type="dxa" w:w="3900"/>
            <w:tcMar>
              <w:top w:type="dxa" w:w="80"/>
              <w:left w:type="dxa" w:w="110"/>
              <w:bottom w:type="dxa" w:w="80"/>
              <w:right w:type="dxa" w:w="110"/>
            </w:tcMar>
          </w:tcPr>
          <w:p>
            <w:pPr>
              <w:spacing w:after="0"/>
            </w:pPr>
            <w:r>
              <w:rPr>
                <w:rFonts w:ascii="Calibri" w:cs="Calibri" w:eastAsia="Calibri" w:hAnsi="Calibri"/>
                <w:sz w:val="19"/>
                <w:szCs w:val="19"/>
              </w:rPr>
              <w:t xml:space="preserve">Risk-adjusted return after costs, plus the PAL research finding</w:t>
            </w:r>
          </w:p>
        </w:tc>
      </w:tr>
      <w:tr>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Failure mode</w:t>
            </w:r>
          </w:p>
        </w:tc>
        <w:tc>
          <w:tcPr>
            <w:tcW w:type="dxa" w:w="3600"/>
            <w:tcMar>
              <w:top w:type="dxa" w:w="80"/>
              <w:left w:type="dxa" w:w="110"/>
              <w:bottom w:type="dxa" w:w="80"/>
              <w:right w:type="dxa" w:w="110"/>
            </w:tcMar>
          </w:tcPr>
          <w:p>
            <w:pPr>
              <w:spacing w:after="0"/>
            </w:pPr>
            <w:r>
              <w:rPr>
                <w:rFonts w:ascii="Calibri" w:cs="Calibri" w:eastAsia="Calibri" w:hAnsi="Calibri"/>
                <w:sz w:val="19"/>
                <w:szCs w:val="19"/>
              </w:rPr>
              <w:t xml:space="preserve">Finding is uninteresting</w:t>
            </w:r>
          </w:p>
        </w:tc>
        <w:tc>
          <w:tcPr>
            <w:tcW w:type="dxa" w:w="3900"/>
            <w:tcMar>
              <w:top w:type="dxa" w:w="80"/>
              <w:left w:type="dxa" w:w="110"/>
              <w:bottom w:type="dxa" w:w="80"/>
              <w:right w:type="dxa" w:w="110"/>
            </w:tcMar>
          </w:tcPr>
          <w:p>
            <w:pPr>
              <w:spacing w:after="0"/>
            </w:pPr>
            <w:r>
              <w:rPr>
                <w:rFonts w:ascii="Calibri" w:cs="Calibri" w:eastAsia="Calibri" w:hAnsi="Calibri"/>
                <w:sz w:val="19"/>
                <w:szCs w:val="19"/>
              </w:rPr>
              <w:t xml:space="preserve">Finding is uninteresting OR signal has no economic value — both are reported</w:t>
            </w:r>
          </w:p>
        </w:tc>
      </w:tr>
      <w:tr>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Time sensitivity</w:t>
            </w:r>
          </w:p>
        </w:tc>
        <w:tc>
          <w:tcPr>
            <w:tcW w:type="dxa" w:w="3600"/>
            <w:tcMar>
              <w:top w:type="dxa" w:w="80"/>
              <w:left w:type="dxa" w:w="110"/>
              <w:bottom w:type="dxa" w:w="80"/>
              <w:right w:type="dxa" w:w="110"/>
            </w:tcMar>
          </w:tcPr>
          <w:p>
            <w:pPr>
              <w:spacing w:after="0"/>
            </w:pPr>
            <w:r>
              <w:rPr>
                <w:rFonts w:ascii="Calibri" w:cs="Calibri" w:eastAsia="Calibri" w:hAnsi="Calibri"/>
                <w:sz w:val="19"/>
                <w:szCs w:val="19"/>
              </w:rPr>
              <w:t xml:space="preserve">None — retrospective</w:t>
            </w:r>
          </w:p>
        </w:tc>
        <w:tc>
          <w:tcPr>
            <w:tcW w:type="dxa" w:w="3900"/>
            <w:tcMar>
              <w:top w:type="dxa" w:w="80"/>
              <w:left w:type="dxa" w:w="110"/>
              <w:bottom w:type="dxa" w:w="80"/>
              <w:right w:type="dxa" w:w="110"/>
            </w:tcMar>
          </w:tcPr>
          <w:p>
            <w:pPr>
              <w:spacing w:after="0"/>
            </w:pPr>
            <w:r>
              <w:rPr>
                <w:rFonts w:ascii="Calibri" w:cs="Calibri" w:eastAsia="Calibri" w:hAnsi="Calibri"/>
                <w:sz w:val="19"/>
                <w:szCs w:val="19"/>
              </w:rPr>
              <w:t xml:space="preserve">High — the signal is only valuable inside the adjustment window</w:t>
            </w:r>
          </w:p>
        </w:tc>
      </w:tr>
      <w:tr>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Audience proof</w:t>
            </w:r>
          </w:p>
        </w:tc>
        <w:tc>
          <w:tcPr>
            <w:tcW w:type="dxa" w:w="3600"/>
            <w:tcMar>
              <w:top w:type="dxa" w:w="80"/>
              <w:left w:type="dxa" w:w="110"/>
              <w:bottom w:type="dxa" w:w="80"/>
              <w:right w:type="dxa" w:w="110"/>
            </w:tcMar>
          </w:tcPr>
          <w:p>
            <w:pPr>
              <w:spacing w:after="0"/>
            </w:pPr>
            <w:r>
              <w:rPr>
                <w:rFonts w:ascii="Calibri" w:cs="Calibri" w:eastAsia="Calibri" w:hAnsi="Calibri"/>
                <w:sz w:val="19"/>
                <w:szCs w:val="19"/>
              </w:rPr>
              <w:t xml:space="preserve">"I can measure something"</w:t>
            </w:r>
          </w:p>
        </w:tc>
        <w:tc>
          <w:tcPr>
            <w:tcW w:type="dxa" w:w="3900"/>
            <w:tcMar>
              <w:top w:type="dxa" w:w="80"/>
              <w:left w:type="dxa" w:w="110"/>
              <w:bottom w:type="dxa" w:w="80"/>
              <w:right w:type="dxa" w:w="110"/>
            </w:tcMar>
          </w:tcPr>
          <w:p>
            <w:pPr>
              <w:spacing w:after="0"/>
            </w:pPr>
            <w:r>
              <w:rPr>
                <w:rFonts w:ascii="Calibri" w:cs="Calibri" w:eastAsia="Calibri" w:hAnsi="Calibri"/>
                <w:sz w:val="19"/>
                <w:szCs w:val="19"/>
              </w:rPr>
              <w:t xml:space="preserve">"I can measure something and I know whether it is worth anything"</w:t>
            </w:r>
          </w:p>
        </w:tc>
      </w:tr>
    </w:tbl>
    <w:p>
      <w:pPr>
        <w:spacing w:after="140"/>
      </w:pPr>
      <w:r>
        <w:t xml:space="preserve"/>
      </w:r>
    </w:p>
    <w:p>
      <w:pPr>
        <w:pStyle w:val="Heading2"/>
        <w:spacing w:after="120" w:before="260"/>
      </w:pPr>
      <w:r>
        <w:rPr>
          <w:rFonts w:ascii="Calibri" w:cs="Calibri" w:eastAsia="Calibri" w:hAnsi="Calibri"/>
          <w:b/>
          <w:bCs/>
          <w:color w:val="1F3864"/>
          <w:sz w:val="25"/>
          <w:szCs w:val="25"/>
        </w:rPr>
        <w:t xml:space="preserve">2.3 Signal specification [NEW]</w:t>
      </w:r>
    </w:p>
    <w:p>
      <w:pPr>
        <w:spacing w:after="120" w:line="276"/>
      </w:pPr>
      <w:r>
        <w:rPr>
          <w:rFonts w:ascii="Calibri" w:cs="Calibri" w:eastAsia="Calibri" w:hAnsi="Calibri"/>
          <w:sz w:val="21"/>
          <w:szCs w:val="21"/>
        </w:rPr>
        <w:t xml:space="preserve">This is the central new artefact of v3.0. Every field below must be fixed before any backtest is run; changing them afterwards and re-running is the definition of overfitting.</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1900"/>
        <w:gridCol w:w="7100"/>
      </w:tblGrid>
      <w:tr>
        <w:trPr>
          <w:tblHeader/>
        </w:trPr>
        <w:tc>
          <w:tcPr>
            <w:tcW w:type="dxa" w:w="19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Parameter</w:t>
            </w:r>
          </w:p>
        </w:tc>
        <w:tc>
          <w:tcPr>
            <w:tcW w:type="dxa" w:w="71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Specification</w:t>
            </w:r>
          </w:p>
        </w:tc>
      </w:tr>
      <w:tr>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Universe</w:t>
            </w:r>
          </w:p>
        </w:tc>
        <w:tc>
          <w:tcPr>
            <w:tcW w:type="dxa" w:w="7100"/>
            <w:tcMar>
              <w:top w:type="dxa" w:w="80"/>
              <w:left w:type="dxa" w:w="110"/>
              <w:bottom w:type="dxa" w:w="80"/>
              <w:right w:type="dxa" w:w="110"/>
            </w:tcMar>
          </w:tcPr>
          <w:p>
            <w:pPr>
              <w:spacing w:after="0"/>
            </w:pPr>
            <w:r>
              <w:rPr>
                <w:rFonts w:ascii="Calibri" w:cs="Calibri" w:eastAsia="Calibri" w:hAnsi="Calibri"/>
                <w:sz w:val="19"/>
                <w:szCs w:val="19"/>
              </w:rPr>
              <w:t xml:space="preserve">Nifty 50 + Nifty Midcap 100 (NSE); STI constituents (SGX). Small-caps excluded from the tradeable universe — retained for research only, because the v1 INCONCLUSIVE rate makes them untradeable.</w:t>
            </w:r>
          </w:p>
        </w:tc>
      </w:tr>
      <w:tr>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Trigger</w:t>
            </w:r>
          </w:p>
        </w:tc>
        <w:tc>
          <w:tcPr>
            <w:tcW w:type="dxa" w:w="7100"/>
            <w:tcMar>
              <w:top w:type="dxa" w:w="80"/>
              <w:left w:type="dxa" w:w="110"/>
              <w:bottom w:type="dxa" w:w="80"/>
              <w:right w:type="dxa" w:w="110"/>
            </w:tcMar>
          </w:tcPr>
          <w:p>
            <w:pPr>
              <w:spacing w:after="0"/>
            </w:pPr>
            <w:r>
              <w:rPr>
                <w:rFonts w:ascii="Calibri" w:cs="Calibri" w:eastAsia="Calibri" w:hAnsi="Calibri"/>
                <w:sz w:val="19"/>
                <w:szCs w:val="19"/>
              </w:rPr>
              <w:t xml:space="preserve">Contextualist emits news_weight = HIGH AND event_type ∈ {EARNINGS, MACRO, M&amp;A} AND Statistician emits |z| &gt; 2.0 within 300s of T_event.</w:t>
            </w:r>
          </w:p>
        </w:tc>
      </w:tr>
      <w:tr>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Direction</w:t>
            </w:r>
          </w:p>
        </w:tc>
        <w:tc>
          <w:tcPr>
            <w:tcW w:type="dxa" w:w="7100"/>
            <w:tcMar>
              <w:top w:type="dxa" w:w="80"/>
              <w:left w:type="dxa" w:w="110"/>
              <w:bottom w:type="dxa" w:w="80"/>
              <w:right w:type="dxa" w:w="110"/>
            </w:tcMar>
          </w:tcPr>
          <w:p>
            <w:pPr>
              <w:spacing w:after="0"/>
            </w:pPr>
            <w:r>
              <w:rPr>
                <w:rFonts w:ascii="Calibri" w:cs="Calibri" w:eastAsia="Calibri" w:hAnsi="Calibri"/>
                <w:sz w:val="19"/>
                <w:szCs w:val="19"/>
              </w:rPr>
              <w:t xml:space="preserve">Sign of sentiment_score, subject to agreement with the sign of the initial price move. Disagreement suppresses the signal (no trade).</w:t>
            </w:r>
          </w:p>
        </w:tc>
      </w:tr>
      <w:tr>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Entry</w:t>
            </w:r>
          </w:p>
        </w:tc>
        <w:tc>
          <w:tcPr>
            <w:tcW w:type="dxa" w:w="7100"/>
            <w:tcMar>
              <w:top w:type="dxa" w:w="80"/>
              <w:left w:type="dxa" w:w="110"/>
              <w:bottom w:type="dxa" w:w="80"/>
              <w:right w:type="dxa" w:w="110"/>
            </w:tcMar>
          </w:tcPr>
          <w:p>
            <w:pPr>
              <w:spacing w:after="0"/>
            </w:pPr>
            <w:r>
              <w:rPr>
                <w:rFonts w:ascii="Calibri" w:cs="Calibri" w:eastAsia="Calibri" w:hAnsi="Calibri"/>
                <w:sz w:val="19"/>
                <w:szCs w:val="19"/>
              </w:rPr>
              <w:t xml:space="preserve">Next available bar open after signal emission, plus a mandatory 1-bar decision lag. Never the signal bar itself.</w:t>
            </w:r>
          </w:p>
        </w:tc>
      </w:tr>
      <w:tr>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Exit (primary)</w:t>
            </w:r>
          </w:p>
        </w:tc>
        <w:tc>
          <w:tcPr>
            <w:tcW w:type="dxa" w:w="7100"/>
            <w:tcMar>
              <w:top w:type="dxa" w:w="80"/>
              <w:left w:type="dxa" w:w="110"/>
              <w:bottom w:type="dxa" w:w="80"/>
              <w:right w:type="dxa" w:w="110"/>
            </w:tcMar>
          </w:tcPr>
          <w:p>
            <w:pPr>
              <w:spacing w:after="0"/>
            </w:pPr>
            <w:r>
              <w:rPr>
                <w:rFonts w:ascii="Calibri" w:cs="Calibri" w:eastAsia="Calibri" w:hAnsi="Calibri"/>
                <w:sz w:val="19"/>
                <w:szCs w:val="19"/>
              </w:rPr>
              <w:t xml:space="preserve">At T_efficient, as determined by the tier-specific stability rule in §1.3 of v2.0.</w:t>
            </w:r>
          </w:p>
        </w:tc>
      </w:tr>
      <w:tr>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Exit (cap)</w:t>
            </w:r>
          </w:p>
        </w:tc>
        <w:tc>
          <w:tcPr>
            <w:tcW w:type="dxa" w:w="7100"/>
            <w:tcMar>
              <w:top w:type="dxa" w:w="80"/>
              <w:left w:type="dxa" w:w="110"/>
              <w:bottom w:type="dxa" w:w="80"/>
              <w:right w:type="dxa" w:w="110"/>
            </w:tcMar>
          </w:tcPr>
          <w:p>
            <w:pPr>
              <w:spacing w:after="0"/>
            </w:pPr>
            <w:r>
              <w:rPr>
                <w:rFonts w:ascii="Calibri" w:cs="Calibri" w:eastAsia="Calibri" w:hAnsi="Calibri"/>
                <w:sz w:val="19"/>
                <w:szCs w:val="19"/>
              </w:rPr>
              <w:t xml:space="preserve">At the tier observation cap (90 / 120 / 180 min) if T_efficient is not reached — the INCONCLUSIVE path is a forced exit, not a dropped trade.</w:t>
            </w:r>
          </w:p>
        </w:tc>
      </w:tr>
      <w:tr>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Exit (stop)</w:t>
            </w:r>
          </w:p>
        </w:tc>
        <w:tc>
          <w:tcPr>
            <w:tcW w:type="dxa" w:w="7100"/>
            <w:tcMar>
              <w:top w:type="dxa" w:w="80"/>
              <w:left w:type="dxa" w:w="110"/>
              <w:bottom w:type="dxa" w:w="80"/>
              <w:right w:type="dxa" w:w="110"/>
            </w:tcMar>
          </w:tcPr>
          <w:p>
            <w:pPr>
              <w:spacing w:after="0"/>
            </w:pPr>
            <w:r>
              <w:rPr>
                <w:rFonts w:ascii="Calibri" w:cs="Calibri" w:eastAsia="Calibri" w:hAnsi="Calibri"/>
                <w:sz w:val="19"/>
                <w:szCs w:val="19"/>
              </w:rPr>
              <w:t xml:space="preserve">Adverse move of 1.5 × pre-event rolling sigma from entry.</w:t>
            </w:r>
          </w:p>
        </w:tc>
      </w:tr>
      <w:tr>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Position sizing</w:t>
            </w:r>
          </w:p>
        </w:tc>
        <w:tc>
          <w:tcPr>
            <w:tcW w:type="dxa" w:w="7100"/>
            <w:tcMar>
              <w:top w:type="dxa" w:w="80"/>
              <w:left w:type="dxa" w:w="110"/>
              <w:bottom w:type="dxa" w:w="80"/>
              <w:right w:type="dxa" w:w="110"/>
            </w:tcMar>
          </w:tcPr>
          <w:p>
            <w:pPr>
              <w:spacing w:after="0"/>
            </w:pPr>
            <w:r>
              <w:rPr>
                <w:rFonts w:ascii="Calibri" w:cs="Calibri" w:eastAsia="Calibri" w:hAnsi="Calibri"/>
                <w:sz w:val="19"/>
                <w:szCs w:val="19"/>
              </w:rPr>
              <w:t xml:space="preserve">Volatility-targeted: notional ∝ 1 / pre-event rolling sigma, capped at 10% of notional per name.</w:t>
            </w:r>
          </w:p>
        </w:tc>
      </w:tr>
      <w:tr>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Holding period</w:t>
            </w:r>
          </w:p>
        </w:tc>
        <w:tc>
          <w:tcPr>
            <w:tcW w:type="dxa" w:w="7100"/>
            <w:tcMar>
              <w:top w:type="dxa" w:w="80"/>
              <w:left w:type="dxa" w:w="110"/>
              <w:bottom w:type="dxa" w:w="80"/>
              <w:right w:type="dxa" w:w="110"/>
            </w:tcMar>
          </w:tcPr>
          <w:p>
            <w:pPr>
              <w:spacing w:after="0"/>
            </w:pPr>
            <w:r>
              <w:rPr>
                <w:rFonts w:ascii="Calibri" w:cs="Calibri" w:eastAsia="Calibri" w:hAnsi="Calibri"/>
                <w:sz w:val="19"/>
                <w:szCs w:val="19"/>
              </w:rPr>
              <w:t xml:space="preserve">Intraday only. No overnight positions in v2.5 — gap risk would dominate the measured effect.</w:t>
            </w:r>
          </w:p>
        </w:tc>
      </w:tr>
      <w:tr>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Capacity assumption</w:t>
            </w:r>
          </w:p>
        </w:tc>
        <w:tc>
          <w:tcPr>
            <w:tcW w:type="dxa" w:w="7100"/>
            <w:tcMar>
              <w:top w:type="dxa" w:w="80"/>
              <w:left w:type="dxa" w:w="110"/>
              <w:bottom w:type="dxa" w:w="80"/>
              <w:right w:type="dxa" w:w="110"/>
            </w:tcMar>
          </w:tcPr>
          <w:p>
            <w:pPr>
              <w:spacing w:after="0"/>
            </w:pPr>
            <w:r>
              <w:rPr>
                <w:rFonts w:ascii="Calibri" w:cs="Calibri" w:eastAsia="Calibri" w:hAnsi="Calibri"/>
                <w:sz w:val="19"/>
                <w:szCs w:val="19"/>
              </w:rPr>
              <w:t xml:space="preserve">Max 2% of the name's trailing 20-day median volume in the holding window. Signals exceeding this are logged as capacity-constrained and excluded from headline results.</w:t>
            </w:r>
          </w:p>
        </w:tc>
      </w:tr>
    </w:tbl>
    <w:p>
      <w:pPr>
        <w:spacing w:after="140"/>
      </w:pPr>
      <w:r>
        <w:t xml:space="preserve"/>
      </w:r>
    </w:p>
    <w:p>
      <w:pPr>
        <w:pStyle w:val="Heading2"/>
        <w:spacing w:after="120" w:before="260"/>
      </w:pPr>
      <w:r>
        <w:rPr>
          <w:rFonts w:ascii="Calibri" w:cs="Calibri" w:eastAsia="Calibri" w:hAnsi="Calibri"/>
          <w:b/>
          <w:bCs/>
          <w:color w:val="1F3864"/>
          <w:sz w:val="25"/>
          <w:szCs w:val="25"/>
        </w:rPr>
        <w:t xml:space="preserve">2.4 Explicitly out of scope</w:t>
      </w:r>
    </w:p>
    <w:p>
      <w:pPr>
        <w:pStyle w:val="ListParagraph"/>
        <w:numPr>
          <w:ilvl w:val="0"/>
          <w:numId w:val="2"/>
        </w:numPr>
        <w:spacing w:after="80" w:line="276"/>
      </w:pPr>
      <w:r>
        <w:rPr>
          <w:rFonts w:ascii="Calibri" w:cs="Calibri" w:eastAsia="Calibri" w:hAnsi="Calibri"/>
          <w:sz w:val="21"/>
          <w:szCs w:val="21"/>
        </w:rPr>
        <w:t xml:space="preserve">Order execution, broker integration or any form of live capital deployment. MED emits signals; it does not trade.</w:t>
      </w:r>
    </w:p>
    <w:p>
      <w:pPr>
        <w:pStyle w:val="ListParagraph"/>
        <w:numPr>
          <w:ilvl w:val="0"/>
          <w:numId w:val="2"/>
        </w:numPr>
        <w:spacing w:after="80" w:line="276"/>
      </w:pPr>
      <w:r>
        <w:rPr>
          <w:rFonts w:ascii="Calibri" w:cs="Calibri" w:eastAsia="Calibri" w:hAnsi="Calibri"/>
          <w:sz w:val="21"/>
          <w:szCs w:val="21"/>
        </w:rPr>
        <w:t xml:space="preserve">Investment advice to third parties. No signal output is distributed to anyone as a recommendation.</w:t>
      </w:r>
    </w:p>
    <w:p>
      <w:pPr>
        <w:pStyle w:val="ListParagraph"/>
        <w:numPr>
          <w:ilvl w:val="0"/>
          <w:numId w:val="2"/>
        </w:numPr>
        <w:spacing w:after="80" w:line="276"/>
      </w:pPr>
      <w:r>
        <w:rPr>
          <w:rFonts w:ascii="Calibri" w:cs="Calibri" w:eastAsia="Calibri" w:hAnsi="Calibri"/>
          <w:sz w:val="21"/>
          <w:szCs w:val="21"/>
        </w:rPr>
        <w:t xml:space="preserve">Sub-second / true HFT latency. The signal operates on a minutes-scale window; competing on microseconds is out of reach and out of scope.</w:t>
      </w:r>
    </w:p>
    <w:p>
      <w:pPr>
        <w:pStyle w:val="ListParagraph"/>
        <w:numPr>
          <w:ilvl w:val="0"/>
          <w:numId w:val="2"/>
        </w:numPr>
        <w:spacing w:after="80" w:line="276"/>
      </w:pPr>
      <w:r>
        <w:rPr>
          <w:rFonts w:ascii="Calibri" w:cs="Calibri" w:eastAsia="Calibri" w:hAnsi="Calibri"/>
          <w:sz w:val="21"/>
          <w:szCs w:val="21"/>
        </w:rPr>
        <w:t xml:space="preserve">Options, futures, or any derivative overlay. Cash equities only.</w:t>
      </w:r>
    </w:p>
    <w:p>
      <w:pPr>
        <w:pStyle w:val="ListParagraph"/>
        <w:numPr>
          <w:ilvl w:val="0"/>
          <w:numId w:val="2"/>
        </w:numPr>
        <w:spacing w:after="80" w:line="276"/>
      </w:pPr>
      <w:r>
        <w:rPr>
          <w:rFonts w:ascii="Calibri" w:cs="Calibri" w:eastAsia="Calibri" w:hAnsi="Calibri"/>
          <w:sz w:val="21"/>
          <w:szCs w:val="21"/>
        </w:rPr>
        <w:t xml:space="preserve">Small-cap tradeable coverage. Research coverage only.</w:t>
      </w:r>
    </w:p>
    <w:p>
      <w:pPr>
        <w:spacing w:after="140"/>
      </w:pPr>
      <w:r>
        <w:t xml:space="preserve"/>
      </w:r>
    </w:p>
    <w:tbl>
      <w:tblPr>
        <w:tblW w:type="dxa" w:w="9000"/>
        <w:tblBorders>
          <w:top w:val="single" w:color="C9B896" w:sz="4"/>
          <w:left w:val="single" w:color="C9B896" w:sz="4"/>
          <w:bottom w:val="single" w:color="C9B896" w:sz="4"/>
          <w:right w:val="single" w:color="C9B896" w:sz="4"/>
          <w:insideH w:val="none" w:color="auto" w:sz="0"/>
          <w:insideV w:val="none" w:color="auto" w:sz="0"/>
        </w:tblBorders>
      </w:tblPr>
      <w:tblGrid>
        <w:gridCol w:w="1500"/>
        <w:gridCol w:w="7500"/>
      </w:tblGrid>
      <w:tr>
        <w:tc>
          <w:tcPr>
            <w:tcW w:type="dxa" w:w="1500"/>
            <w:shd w:fill="FDF3E3"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GUARDRAIL</w:t>
            </w:r>
          </w:p>
        </w:tc>
        <w:tc>
          <w:tcPr>
            <w:tcW w:type="dxa" w:w="7500"/>
            <w:shd w:fill="FDF3E3" w:color="auto" w:val="clear"/>
            <w:tcMar>
              <w:top w:type="dxa" w:w="80"/>
              <w:left w:type="dxa" w:w="110"/>
              <w:bottom w:type="dxa" w:w="80"/>
              <w:right w:type="dxa" w:w="110"/>
            </w:tcMar>
          </w:tcPr>
          <w:p>
            <w:pPr>
              <w:spacing w:after="0"/>
            </w:pPr>
            <w:r>
              <w:rPr>
                <w:rFonts w:ascii="Calibri" w:cs="Calibri" w:eastAsia="Calibri" w:hAnsi="Calibri"/>
                <w:sz w:val="19"/>
                <w:szCs w:val="19"/>
              </w:rPr>
              <w:t xml:space="preserve">The distinction between "research signal, paper traded" and "investment product" is not cosmetic. It determines whether this project is a portfolio asset or a regulatory question. Every public artefact — README, Streamlit demo, blog post, preprint — carries an explicit non-advice statement. See §10.</w:t>
            </w:r>
          </w:p>
        </w:tc>
      </w:tr>
    </w:tbl>
    <w:p>
      <w:pPr>
        <w:pStyle w:val="Heading1"/>
        <w:spacing w:after="160" w:before="360"/>
      </w:pPr>
      <w:r>
        <w:rPr>
          <w:rFonts w:ascii="Calibri" w:cs="Calibri" w:eastAsia="Calibri" w:hAnsi="Calibri"/>
          <w:b/>
          <w:bCs/>
          <w:color w:val="1F3864"/>
          <w:sz w:val="30"/>
          <w:szCs w:val="30"/>
        </w:rPr>
        <w:t xml:space="preserve">3. Success Metrics [NEW]</w:t>
      </w:r>
    </w:p>
    <w:p>
      <w:pPr>
        <w:pStyle w:val="Heading2"/>
        <w:spacing w:after="120" w:before="260"/>
      </w:pPr>
      <w:r>
        <w:rPr>
          <w:rFonts w:ascii="Calibri" w:cs="Calibri" w:eastAsia="Calibri" w:hAnsi="Calibri"/>
          <w:b/>
          <w:bCs/>
          <w:color w:val="1F3864"/>
          <w:sz w:val="25"/>
          <w:szCs w:val="25"/>
        </w:rPr>
        <w:t xml:space="preserve">3.1 Signal performance KPIs</w:t>
      </w:r>
    </w:p>
    <w:p>
      <w:pPr>
        <w:spacing w:after="120" w:line="276"/>
      </w:pPr>
      <w:r>
        <w:rPr>
          <w:rFonts w:ascii="Calibri" w:cs="Calibri" w:eastAsia="Calibri" w:hAnsi="Calibri"/>
          <w:sz w:val="21"/>
          <w:szCs w:val="21"/>
        </w:rPr>
        <w:t xml:space="preserve">These are the numbers a quant reader will ask for. Reporting them honestly — including when they are bad — is worth more than reporting a flattering subset.</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1700"/>
        <w:gridCol w:w="3700"/>
        <w:gridCol w:w="1900"/>
        <w:gridCol w:w="1700"/>
      </w:tblGrid>
      <w:tr>
        <w:trPr>
          <w:tblHeader/>
        </w:trPr>
        <w:tc>
          <w:tcPr>
            <w:tcW w:type="dxa" w:w="17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Metric</w:t>
            </w:r>
          </w:p>
        </w:tc>
        <w:tc>
          <w:tcPr>
            <w:tcW w:type="dxa" w:w="37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Definition</w:t>
            </w:r>
          </w:p>
        </w:tc>
        <w:tc>
          <w:tcPr>
            <w:tcW w:type="dxa" w:w="19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Target</w:t>
            </w:r>
          </w:p>
        </w:tc>
        <w:tc>
          <w:tcPr>
            <w:tcW w:type="dxa" w:w="17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Floor</w:t>
            </w:r>
          </w:p>
        </w:tc>
      </w:tr>
      <w:tr>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Net Sharpe</w:t>
            </w:r>
          </w:p>
        </w:tc>
        <w:tc>
          <w:tcPr>
            <w:tcW w:type="dxa" w:w="3700"/>
            <w:tcMar>
              <w:top w:type="dxa" w:w="80"/>
              <w:left w:type="dxa" w:w="110"/>
              <w:bottom w:type="dxa" w:w="80"/>
              <w:right w:type="dxa" w:w="110"/>
            </w:tcMar>
          </w:tcPr>
          <w:p>
            <w:pPr>
              <w:spacing w:after="0"/>
            </w:pPr>
            <w:r>
              <w:rPr>
                <w:rFonts w:ascii="Calibri" w:cs="Calibri" w:eastAsia="Calibri" w:hAnsi="Calibri"/>
                <w:sz w:val="19"/>
                <w:szCs w:val="19"/>
              </w:rPr>
              <w:t xml:space="preserve">Annualised Sharpe after all modelled costs</w:t>
            </w:r>
          </w:p>
        </w:tc>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&gt; 1.0</w:t>
            </w:r>
          </w:p>
        </w:tc>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&gt; 0.5</w:t>
            </w:r>
          </w:p>
        </w:tc>
      </w:tr>
      <w:tr>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Deflated Sharpe</w:t>
            </w:r>
          </w:p>
        </w:tc>
        <w:tc>
          <w:tcPr>
            <w:tcW w:type="dxa" w:w="3700"/>
            <w:tcMar>
              <w:top w:type="dxa" w:w="80"/>
              <w:left w:type="dxa" w:w="110"/>
              <w:bottom w:type="dxa" w:w="80"/>
              <w:right w:type="dxa" w:w="110"/>
            </w:tcMar>
          </w:tcPr>
          <w:p>
            <w:pPr>
              <w:spacing w:after="0"/>
            </w:pPr>
            <w:r>
              <w:rPr>
                <w:rFonts w:ascii="Calibri" w:cs="Calibri" w:eastAsia="Calibri" w:hAnsi="Calibri"/>
                <w:sz w:val="19"/>
                <w:szCs w:val="19"/>
              </w:rPr>
              <w:t xml:space="preserve">Sharpe adjusted for number of variants tested</w:t>
            </w:r>
          </w:p>
        </w:tc>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&gt; 0.8</w:t>
            </w:r>
          </w:p>
        </w:tc>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&gt; 0.3</w:t>
            </w:r>
          </w:p>
        </w:tc>
      </w:tr>
      <w:tr>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Hit rate</w:t>
            </w:r>
          </w:p>
        </w:tc>
        <w:tc>
          <w:tcPr>
            <w:tcW w:type="dxa" w:w="3700"/>
            <w:tcMar>
              <w:top w:type="dxa" w:w="80"/>
              <w:left w:type="dxa" w:w="110"/>
              <w:bottom w:type="dxa" w:w="80"/>
              <w:right w:type="dxa" w:w="110"/>
            </w:tcMar>
          </w:tcPr>
          <w:p>
            <w:pPr>
              <w:spacing w:after="0"/>
            </w:pPr>
            <w:r>
              <w:rPr>
                <w:rFonts w:ascii="Calibri" w:cs="Calibri" w:eastAsia="Calibri" w:hAnsi="Calibri"/>
                <w:sz w:val="19"/>
                <w:szCs w:val="19"/>
              </w:rPr>
              <w:t xml:space="preserve">Share of signals with positive net PnL</w:t>
            </w:r>
          </w:p>
        </w:tc>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&gt; 55%</w:t>
            </w:r>
          </w:p>
        </w:tc>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&gt; 50%</w:t>
            </w:r>
          </w:p>
        </w:tc>
      </w:tr>
      <w:tr>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Profit factor</w:t>
            </w:r>
          </w:p>
        </w:tc>
        <w:tc>
          <w:tcPr>
            <w:tcW w:type="dxa" w:w="3700"/>
            <w:tcMar>
              <w:top w:type="dxa" w:w="80"/>
              <w:left w:type="dxa" w:w="110"/>
              <w:bottom w:type="dxa" w:w="80"/>
              <w:right w:type="dxa" w:w="110"/>
            </w:tcMar>
          </w:tcPr>
          <w:p>
            <w:pPr>
              <w:spacing w:after="0"/>
            </w:pPr>
            <w:r>
              <w:rPr>
                <w:rFonts w:ascii="Calibri" w:cs="Calibri" w:eastAsia="Calibri" w:hAnsi="Calibri"/>
                <w:sz w:val="19"/>
                <w:szCs w:val="19"/>
              </w:rPr>
              <w:t xml:space="preserve">Gross profit / gross loss</w:t>
            </w:r>
          </w:p>
        </w:tc>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&gt; 1.3</w:t>
            </w:r>
          </w:p>
        </w:tc>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&gt; 1.05</w:t>
            </w:r>
          </w:p>
        </w:tc>
      </w:tr>
      <w:tr>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Max drawdown</w:t>
            </w:r>
          </w:p>
        </w:tc>
        <w:tc>
          <w:tcPr>
            <w:tcW w:type="dxa" w:w="3700"/>
            <w:tcMar>
              <w:top w:type="dxa" w:w="80"/>
              <w:left w:type="dxa" w:w="110"/>
              <w:bottom w:type="dxa" w:w="80"/>
              <w:right w:type="dxa" w:w="110"/>
            </w:tcMar>
          </w:tcPr>
          <w:p>
            <w:pPr>
              <w:spacing w:after="0"/>
            </w:pPr>
            <w:r>
              <w:rPr>
                <w:rFonts w:ascii="Calibri" w:cs="Calibri" w:eastAsia="Calibri" w:hAnsi="Calibri"/>
                <w:sz w:val="19"/>
                <w:szCs w:val="19"/>
              </w:rPr>
              <w:t xml:space="preserve">Peak-to-trough on the signal equity curve</w:t>
            </w:r>
          </w:p>
        </w:tc>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&lt; 15%</w:t>
            </w:r>
          </w:p>
        </w:tc>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&lt; 25%</w:t>
            </w:r>
          </w:p>
        </w:tc>
      </w:tr>
      <w:tr>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Cost drag</w:t>
            </w:r>
          </w:p>
        </w:tc>
        <w:tc>
          <w:tcPr>
            <w:tcW w:type="dxa" w:w="3700"/>
            <w:tcMar>
              <w:top w:type="dxa" w:w="80"/>
              <w:left w:type="dxa" w:w="110"/>
              <w:bottom w:type="dxa" w:w="80"/>
              <w:right w:type="dxa" w:w="110"/>
            </w:tcMar>
          </w:tcPr>
          <w:p>
            <w:pPr>
              <w:spacing w:after="0"/>
            </w:pPr>
            <w:r>
              <w:rPr>
                <w:rFonts w:ascii="Calibri" w:cs="Calibri" w:eastAsia="Calibri" w:hAnsi="Calibri"/>
                <w:sz w:val="19"/>
                <w:szCs w:val="19"/>
              </w:rPr>
              <w:t xml:space="preserve">Share of gross PnL consumed by modelled costs</w:t>
            </w:r>
          </w:p>
        </w:tc>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&lt; 40%</w:t>
            </w:r>
          </w:p>
        </w:tc>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&lt; 70%</w:t>
            </w:r>
          </w:p>
        </w:tc>
      </w:tr>
      <w:tr>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Signal count</w:t>
            </w:r>
          </w:p>
        </w:tc>
        <w:tc>
          <w:tcPr>
            <w:tcW w:type="dxa" w:w="3700"/>
            <w:tcMar>
              <w:top w:type="dxa" w:w="80"/>
              <w:left w:type="dxa" w:w="110"/>
              <w:bottom w:type="dxa" w:w="80"/>
              <w:right w:type="dxa" w:w="110"/>
            </w:tcMar>
          </w:tcPr>
          <w:p>
            <w:pPr>
              <w:spacing w:after="0"/>
            </w:pPr>
            <w:r>
              <w:rPr>
                <w:rFonts w:ascii="Calibri" w:cs="Calibri" w:eastAsia="Calibri" w:hAnsi="Calibri"/>
                <w:sz w:val="19"/>
                <w:szCs w:val="19"/>
              </w:rPr>
              <w:t xml:space="preserve">Tradeable signals per month across universe</w:t>
            </w:r>
          </w:p>
        </w:tc>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&gt; 25</w:t>
            </w:r>
          </w:p>
        </w:tc>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&gt; 10</w:t>
            </w:r>
          </w:p>
        </w:tc>
      </w:tr>
      <w:tr>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Decay half-life</w:t>
            </w:r>
          </w:p>
        </w:tc>
        <w:tc>
          <w:tcPr>
            <w:tcW w:type="dxa" w:w="3700"/>
            <w:tcMar>
              <w:top w:type="dxa" w:w="80"/>
              <w:left w:type="dxa" w:w="110"/>
              <w:bottom w:type="dxa" w:w="80"/>
              <w:right w:type="dxa" w:w="110"/>
            </w:tcMar>
          </w:tcPr>
          <w:p>
            <w:pPr>
              <w:spacing w:after="0"/>
            </w:pPr>
            <w:r>
              <w:rPr>
                <w:rFonts w:ascii="Calibri" w:cs="Calibri" w:eastAsia="Calibri" w:hAnsi="Calibri"/>
                <w:sz w:val="19"/>
                <w:szCs w:val="19"/>
              </w:rPr>
              <w:t xml:space="preserve">Window after which edge falls to 50%</w:t>
            </w:r>
          </w:p>
        </w:tc>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Reported</w:t>
            </w:r>
          </w:p>
        </w:tc>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Reported</w:t>
            </w:r>
          </w:p>
        </w:tc>
      </w:tr>
    </w:tbl>
    <w:p>
      <w:pPr>
        <w:spacing w:after="140"/>
      </w:pPr>
      <w:r>
        <w:t xml:space="preserve"/>
      </w:r>
    </w:p>
    <w:p>
      <w:pPr>
        <w:pStyle w:val="Heading2"/>
        <w:spacing w:after="120" w:before="260"/>
      </w:pPr>
      <w:r>
        <w:rPr>
          <w:rFonts w:ascii="Calibri" w:cs="Calibri" w:eastAsia="Calibri" w:hAnsi="Calibri"/>
          <w:b/>
          <w:bCs/>
          <w:color w:val="1F3864"/>
          <w:sz w:val="25"/>
          <w:szCs w:val="25"/>
        </w:rPr>
        <w:t xml:space="preserve">3.2 System / engineering KPIs</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3400"/>
        <w:gridCol w:w="5600"/>
      </w:tblGrid>
      <w:tr>
        <w:trPr>
          <w:tblHeader/>
        </w:trPr>
        <w:tc>
          <w:tcPr>
            <w:tcW w:type="dxa" w:w="34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Metric</w:t>
            </w:r>
          </w:p>
        </w:tc>
        <w:tc>
          <w:tcPr>
            <w:tcW w:type="dxa" w:w="56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Target</w:t>
            </w:r>
          </w:p>
        </w:tc>
      </w:tr>
      <w:tr>
        <w:tc>
          <w:tcPr>
            <w:tcW w:type="dxa" w:w="3400"/>
            <w:tcMar>
              <w:top w:type="dxa" w:w="80"/>
              <w:left w:type="dxa" w:w="110"/>
              <w:bottom w:type="dxa" w:w="80"/>
              <w:right w:type="dxa" w:w="110"/>
            </w:tcMar>
          </w:tcPr>
          <w:p>
            <w:pPr>
              <w:spacing w:after="0"/>
            </w:pPr>
            <w:r>
              <w:rPr>
                <w:rFonts w:ascii="Calibri" w:cs="Calibri" w:eastAsia="Calibri" w:hAnsi="Calibri"/>
                <w:sz w:val="19"/>
                <w:szCs w:val="19"/>
              </w:rPr>
              <w:t xml:space="preserve">Event-to-signal latency (p95)</w:t>
            </w:r>
          </w:p>
        </w:tc>
        <w:tc>
          <w:tcPr>
            <w:tcW w:type="dxa" w:w="5600"/>
            <w:tcMar>
              <w:top w:type="dxa" w:w="80"/>
              <w:left w:type="dxa" w:w="110"/>
              <w:bottom w:type="dxa" w:w="80"/>
              <w:right w:type="dxa" w:w="110"/>
            </w:tcMar>
          </w:tcPr>
          <w:p>
            <w:pPr>
              <w:spacing w:after="0"/>
            </w:pPr>
            <w:r>
              <w:rPr>
                <w:rFonts w:ascii="Calibri" w:cs="Calibri" w:eastAsia="Calibri" w:hAnsi="Calibri"/>
                <w:sz w:val="19"/>
                <w:szCs w:val="19"/>
              </w:rPr>
              <w:t xml:space="preserve">&lt; 45 seconds from news ingestion to signal published on Kafka</w:t>
            </w:r>
          </w:p>
        </w:tc>
      </w:tr>
      <w:tr>
        <w:tc>
          <w:tcPr>
            <w:tcW w:type="dxa" w:w="3400"/>
            <w:tcMar>
              <w:top w:type="dxa" w:w="80"/>
              <w:left w:type="dxa" w:w="110"/>
              <w:bottom w:type="dxa" w:w="80"/>
              <w:right w:type="dxa" w:w="110"/>
            </w:tcMar>
          </w:tcPr>
          <w:p>
            <w:pPr>
              <w:spacing w:after="0"/>
            </w:pPr>
            <w:r>
              <w:rPr>
                <w:rFonts w:ascii="Calibri" w:cs="Calibri" w:eastAsia="Calibri" w:hAnsi="Calibri"/>
                <w:sz w:val="19"/>
                <w:szCs w:val="19"/>
              </w:rPr>
              <w:t xml:space="preserve">Pipeline freshness</w:t>
            </w:r>
          </w:p>
        </w:tc>
        <w:tc>
          <w:tcPr>
            <w:tcW w:type="dxa" w:w="5600"/>
            <w:tcMar>
              <w:top w:type="dxa" w:w="80"/>
              <w:left w:type="dxa" w:w="110"/>
              <w:bottom w:type="dxa" w:w="80"/>
              <w:right w:type="dxa" w:w="110"/>
            </w:tcMar>
          </w:tcPr>
          <w:p>
            <w:pPr>
              <w:spacing w:after="0"/>
            </w:pPr>
            <w:r>
              <w:rPr>
                <w:rFonts w:ascii="Calibri" w:cs="Calibri" w:eastAsia="Calibri" w:hAnsi="Calibri"/>
                <w:sz w:val="19"/>
                <w:szCs w:val="19"/>
              </w:rPr>
              <w:t xml:space="preserve">Feature tables no more than 15 minutes stale during market hours</w:t>
            </w:r>
          </w:p>
        </w:tc>
      </w:tr>
      <w:tr>
        <w:tc>
          <w:tcPr>
            <w:tcW w:type="dxa" w:w="3400"/>
            <w:tcMar>
              <w:top w:type="dxa" w:w="80"/>
              <w:left w:type="dxa" w:w="110"/>
              <w:bottom w:type="dxa" w:w="80"/>
              <w:right w:type="dxa" w:w="110"/>
            </w:tcMar>
          </w:tcPr>
          <w:p>
            <w:pPr>
              <w:spacing w:after="0"/>
            </w:pPr>
            <w:r>
              <w:rPr>
                <w:rFonts w:ascii="Calibri" w:cs="Calibri" w:eastAsia="Calibri" w:hAnsi="Calibri"/>
                <w:sz w:val="19"/>
                <w:szCs w:val="19"/>
              </w:rPr>
              <w:t xml:space="preserve">Airflow DAG success rate</w:t>
            </w:r>
          </w:p>
        </w:tc>
        <w:tc>
          <w:tcPr>
            <w:tcW w:type="dxa" w:w="5600"/>
            <w:tcMar>
              <w:top w:type="dxa" w:w="80"/>
              <w:left w:type="dxa" w:w="110"/>
              <w:bottom w:type="dxa" w:w="80"/>
              <w:right w:type="dxa" w:w="110"/>
            </w:tcMar>
          </w:tcPr>
          <w:p>
            <w:pPr>
              <w:spacing w:after="0"/>
            </w:pPr>
            <w:r>
              <w:rPr>
                <w:rFonts w:ascii="Calibri" w:cs="Calibri" w:eastAsia="Calibri" w:hAnsi="Calibri"/>
                <w:sz w:val="19"/>
                <w:szCs w:val="19"/>
              </w:rPr>
              <w:t xml:space="preserve">&gt; 98% over trailing 30 days</w:t>
            </w:r>
          </w:p>
        </w:tc>
      </w:tr>
      <w:tr>
        <w:tc>
          <w:tcPr>
            <w:tcW w:type="dxa" w:w="3400"/>
            <w:tcMar>
              <w:top w:type="dxa" w:w="80"/>
              <w:left w:type="dxa" w:w="110"/>
              <w:bottom w:type="dxa" w:w="80"/>
              <w:right w:type="dxa" w:w="110"/>
            </w:tcMar>
          </w:tcPr>
          <w:p>
            <w:pPr>
              <w:spacing w:after="0"/>
            </w:pPr>
            <w:r>
              <w:rPr>
                <w:rFonts w:ascii="Calibri" w:cs="Calibri" w:eastAsia="Calibri" w:hAnsi="Calibri"/>
                <w:sz w:val="19"/>
                <w:szCs w:val="19"/>
              </w:rPr>
              <w:t xml:space="preserve">Backtest reproducibility</w:t>
            </w:r>
          </w:p>
        </w:tc>
        <w:tc>
          <w:tcPr>
            <w:tcW w:type="dxa" w:w="5600"/>
            <w:tcMar>
              <w:top w:type="dxa" w:w="80"/>
              <w:left w:type="dxa" w:w="110"/>
              <w:bottom w:type="dxa" w:w="80"/>
              <w:right w:type="dxa" w:w="110"/>
            </w:tcMar>
          </w:tcPr>
          <w:p>
            <w:pPr>
              <w:spacing w:after="0"/>
            </w:pPr>
            <w:r>
              <w:rPr>
                <w:rFonts w:ascii="Calibri" w:cs="Calibri" w:eastAsia="Calibri" w:hAnsi="Calibri"/>
                <w:sz w:val="19"/>
                <w:szCs w:val="19"/>
              </w:rPr>
              <w:t xml:space="preserve">Identical results from identical seed + data snapshot, byte-for-byte</w:t>
            </w:r>
          </w:p>
        </w:tc>
      </w:tr>
      <w:tr>
        <w:tc>
          <w:tcPr>
            <w:tcW w:type="dxa" w:w="3400"/>
            <w:tcMar>
              <w:top w:type="dxa" w:w="80"/>
              <w:left w:type="dxa" w:w="110"/>
              <w:bottom w:type="dxa" w:w="80"/>
              <w:right w:type="dxa" w:w="110"/>
            </w:tcMar>
          </w:tcPr>
          <w:p>
            <w:pPr>
              <w:spacing w:after="0"/>
            </w:pPr>
            <w:r>
              <w:rPr>
                <w:rFonts w:ascii="Calibri" w:cs="Calibri" w:eastAsia="Calibri" w:hAnsi="Calibri"/>
                <w:sz w:val="19"/>
                <w:szCs w:val="19"/>
              </w:rPr>
              <w:t xml:space="preserve">LLM cost per 1,000 events</w:t>
            </w:r>
          </w:p>
        </w:tc>
        <w:tc>
          <w:tcPr>
            <w:tcW w:type="dxa" w:w="5600"/>
            <w:tcMar>
              <w:top w:type="dxa" w:w="80"/>
              <w:left w:type="dxa" w:w="110"/>
              <w:bottom w:type="dxa" w:w="80"/>
              <w:right w:type="dxa" w:w="110"/>
            </w:tcMar>
          </w:tcPr>
          <w:p>
            <w:pPr>
              <w:spacing w:after="0"/>
            </w:pPr>
            <w:r>
              <w:rPr>
                <w:rFonts w:ascii="Calibri" w:cs="Calibri" w:eastAsia="Calibri" w:hAnsi="Calibri"/>
                <w:sz w:val="19"/>
                <w:szCs w:val="19"/>
              </w:rPr>
              <w:t xml:space="preserve">&lt; ₹120</w:t>
            </w:r>
          </w:p>
        </w:tc>
      </w:tr>
      <w:tr>
        <w:tc>
          <w:tcPr>
            <w:tcW w:type="dxa" w:w="3400"/>
            <w:tcMar>
              <w:top w:type="dxa" w:w="80"/>
              <w:left w:type="dxa" w:w="110"/>
              <w:bottom w:type="dxa" w:w="80"/>
              <w:right w:type="dxa" w:w="110"/>
            </w:tcMar>
          </w:tcPr>
          <w:p>
            <w:pPr>
              <w:spacing w:after="0"/>
            </w:pPr>
            <w:r>
              <w:rPr>
                <w:rFonts w:ascii="Calibri" w:cs="Calibri" w:eastAsia="Calibri" w:hAnsi="Calibri"/>
                <w:sz w:val="19"/>
                <w:szCs w:val="19"/>
              </w:rPr>
              <w:t xml:space="preserve">Agent failure rate</w:t>
            </w:r>
          </w:p>
        </w:tc>
        <w:tc>
          <w:tcPr>
            <w:tcW w:type="dxa" w:w="5600"/>
            <w:tcMar>
              <w:top w:type="dxa" w:w="80"/>
              <w:left w:type="dxa" w:w="110"/>
              <w:bottom w:type="dxa" w:w="80"/>
              <w:right w:type="dxa" w:w="110"/>
            </w:tcMar>
          </w:tcPr>
          <w:p>
            <w:pPr>
              <w:spacing w:after="0"/>
            </w:pPr>
            <w:r>
              <w:rPr>
                <w:rFonts w:ascii="Calibri" w:cs="Calibri" w:eastAsia="Calibri" w:hAnsi="Calibri"/>
                <w:sz w:val="19"/>
                <w:szCs w:val="19"/>
              </w:rPr>
              <w:t xml:space="preserve">&lt; 2% of events fall through to Error Logger</w:t>
            </w:r>
          </w:p>
        </w:tc>
      </w:tr>
    </w:tbl>
    <w:p>
      <w:pPr>
        <w:spacing w:after="140"/>
      </w:pPr>
      <w:r>
        <w:t xml:space="preserve"/>
      </w:r>
    </w:p>
    <w:p>
      <w:pPr>
        <w:pStyle w:val="Heading2"/>
        <w:spacing w:after="120" w:before="260"/>
      </w:pPr>
      <w:r>
        <w:rPr>
          <w:rFonts w:ascii="Calibri" w:cs="Calibri" w:eastAsia="Calibri" w:hAnsi="Calibri"/>
          <w:b/>
          <w:bCs/>
          <w:color w:val="1F3864"/>
          <w:sz w:val="25"/>
          <w:szCs w:val="25"/>
        </w:rPr>
        <w:t xml:space="preserve">3.3 Career / academic KPIs</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3400"/>
        <w:gridCol w:w="5600"/>
      </w:tblGrid>
      <w:tr>
        <w:trPr>
          <w:tblHeader/>
        </w:trPr>
        <w:tc>
          <w:tcPr>
            <w:tcW w:type="dxa" w:w="34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Metric</w:t>
            </w:r>
          </w:p>
        </w:tc>
        <w:tc>
          <w:tcPr>
            <w:tcW w:type="dxa" w:w="56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Target</w:t>
            </w:r>
          </w:p>
        </w:tc>
      </w:tr>
      <w:tr>
        <w:tc>
          <w:tcPr>
            <w:tcW w:type="dxa" w:w="3400"/>
            <w:tcMar>
              <w:top w:type="dxa" w:w="80"/>
              <w:left w:type="dxa" w:w="110"/>
              <w:bottom w:type="dxa" w:w="80"/>
              <w:right w:type="dxa" w:w="110"/>
            </w:tcMar>
          </w:tcPr>
          <w:p>
            <w:pPr>
              <w:spacing w:after="0"/>
            </w:pPr>
            <w:r>
              <w:rPr>
                <w:rFonts w:ascii="Calibri" w:cs="Calibri" w:eastAsia="Calibri" w:hAnsi="Calibri"/>
                <w:sz w:val="19"/>
                <w:szCs w:val="19"/>
              </w:rPr>
              <w:t xml:space="preserve">Published research artefacts</w:t>
            </w:r>
          </w:p>
        </w:tc>
        <w:tc>
          <w:tcPr>
            <w:tcW w:type="dxa" w:w="5600"/>
            <w:tcMar>
              <w:top w:type="dxa" w:w="80"/>
              <w:left w:type="dxa" w:w="110"/>
              <w:bottom w:type="dxa" w:w="80"/>
              <w:right w:type="dxa" w:w="110"/>
            </w:tcMar>
          </w:tcPr>
          <w:p>
            <w:pPr>
              <w:spacing w:after="0"/>
            </w:pPr>
            <w:r>
              <w:rPr>
                <w:rFonts w:ascii="Calibri" w:cs="Calibri" w:eastAsia="Calibri" w:hAnsi="Calibri"/>
                <w:sz w:val="19"/>
                <w:szCs w:val="19"/>
              </w:rPr>
              <w:t xml:space="preserve">3 (Medium ×2, arXiv preprint ×1)</w:t>
            </w:r>
          </w:p>
        </w:tc>
      </w:tr>
      <w:tr>
        <w:tc>
          <w:tcPr>
            <w:tcW w:type="dxa" w:w="3400"/>
            <w:tcMar>
              <w:top w:type="dxa" w:w="80"/>
              <w:left w:type="dxa" w:w="110"/>
              <w:bottom w:type="dxa" w:w="80"/>
              <w:right w:type="dxa" w:w="110"/>
            </w:tcMar>
          </w:tcPr>
          <w:p>
            <w:pPr>
              <w:spacing w:after="0"/>
            </w:pPr>
            <w:r>
              <w:rPr>
                <w:rFonts w:ascii="Calibri" w:cs="Calibri" w:eastAsia="Calibri" w:hAnsi="Calibri"/>
                <w:sz w:val="19"/>
                <w:szCs w:val="19"/>
              </w:rPr>
              <w:t xml:space="preserve">Public demo uptime</w:t>
            </w:r>
          </w:p>
        </w:tc>
        <w:tc>
          <w:tcPr>
            <w:tcW w:type="dxa" w:w="5600"/>
            <w:tcMar>
              <w:top w:type="dxa" w:w="80"/>
              <w:left w:type="dxa" w:w="110"/>
              <w:bottom w:type="dxa" w:w="80"/>
              <w:right w:type="dxa" w:w="110"/>
            </w:tcMar>
          </w:tcPr>
          <w:p>
            <w:pPr>
              <w:spacing w:after="0"/>
            </w:pPr>
            <w:r>
              <w:rPr>
                <w:rFonts w:ascii="Calibri" w:cs="Calibri" w:eastAsia="Calibri" w:hAnsi="Calibri"/>
                <w:sz w:val="19"/>
                <w:szCs w:val="19"/>
              </w:rPr>
              <w:t xml:space="preserve">Streamlit app reachable, &gt; 95% of sampled checks</w:t>
            </w:r>
          </w:p>
        </w:tc>
      </w:tr>
      <w:tr>
        <w:tc>
          <w:tcPr>
            <w:tcW w:type="dxa" w:w="3400"/>
            <w:tcMar>
              <w:top w:type="dxa" w:w="80"/>
              <w:left w:type="dxa" w:w="110"/>
              <w:bottom w:type="dxa" w:w="80"/>
              <w:right w:type="dxa" w:w="110"/>
            </w:tcMar>
          </w:tcPr>
          <w:p>
            <w:pPr>
              <w:spacing w:after="0"/>
            </w:pPr>
            <w:r>
              <w:rPr>
                <w:rFonts w:ascii="Calibri" w:cs="Calibri" w:eastAsia="Calibri" w:hAnsi="Calibri"/>
                <w:sz w:val="19"/>
                <w:szCs w:val="19"/>
              </w:rPr>
              <w:t xml:space="preserve">Recruiter-legible architecture story</w:t>
            </w:r>
          </w:p>
        </w:tc>
        <w:tc>
          <w:tcPr>
            <w:tcW w:type="dxa" w:w="5600"/>
            <w:tcMar>
              <w:top w:type="dxa" w:w="80"/>
              <w:left w:type="dxa" w:w="110"/>
              <w:bottom w:type="dxa" w:w="80"/>
              <w:right w:type="dxa" w:w="110"/>
            </w:tcMar>
          </w:tcPr>
          <w:p>
            <w:pPr>
              <w:spacing w:after="0"/>
            </w:pPr>
            <w:r>
              <w:rPr>
                <w:rFonts w:ascii="Calibri" w:cs="Calibri" w:eastAsia="Calibri" w:hAnsi="Calibri"/>
                <w:sz w:val="19"/>
                <w:szCs w:val="19"/>
              </w:rPr>
              <w:t xml:space="preserve">"Kafka online plane + Airflow research plane" described in one sentence on the README</w:t>
            </w:r>
          </w:p>
        </w:tc>
      </w:tr>
      <w:tr>
        <w:tc>
          <w:tcPr>
            <w:tcW w:type="dxa" w:w="3400"/>
            <w:tcMar>
              <w:top w:type="dxa" w:w="80"/>
              <w:left w:type="dxa" w:w="110"/>
              <w:bottom w:type="dxa" w:w="80"/>
              <w:right w:type="dxa" w:w="110"/>
            </w:tcMar>
          </w:tcPr>
          <w:p>
            <w:pPr>
              <w:spacing w:after="0"/>
            </w:pPr>
            <w:r>
              <w:rPr>
                <w:rFonts w:ascii="Calibri" w:cs="Calibri" w:eastAsia="Calibri" w:hAnsi="Calibri"/>
                <w:sz w:val="19"/>
                <w:szCs w:val="19"/>
              </w:rPr>
              <w:t xml:space="preserve">Interview artefacts</w:t>
            </w:r>
          </w:p>
        </w:tc>
        <w:tc>
          <w:tcPr>
            <w:tcW w:type="dxa" w:w="5600"/>
            <w:tcMar>
              <w:top w:type="dxa" w:w="80"/>
              <w:left w:type="dxa" w:w="110"/>
              <w:bottom w:type="dxa" w:w="80"/>
              <w:right w:type="dxa" w:w="110"/>
            </w:tcMar>
          </w:tcPr>
          <w:p>
            <w:pPr>
              <w:spacing w:after="0"/>
            </w:pPr>
            <w:r>
              <w:rPr>
                <w:rFonts w:ascii="Calibri" w:cs="Calibri" w:eastAsia="Calibri" w:hAnsi="Calibri"/>
                <w:sz w:val="19"/>
                <w:szCs w:val="19"/>
              </w:rPr>
              <w:t xml:space="preserve">5-minute demo video + one-page architecture diagram + reproducible backtest notebook</w:t>
            </w:r>
          </w:p>
        </w:tc>
      </w:tr>
    </w:tbl>
    <w:p>
      <w:r>
        <w:br w:type="page"/>
      </w:r>
    </w:p>
    <w:p>
      <w:pPr>
        <w:pStyle w:val="Heading1"/>
        <w:spacing w:after="160" w:before="360"/>
      </w:pPr>
      <w:r>
        <w:rPr>
          <w:rFonts w:ascii="Calibri" w:cs="Calibri" w:eastAsia="Calibri" w:hAnsi="Calibri"/>
          <w:b/>
          <w:bCs/>
          <w:color w:val="1F3864"/>
          <w:sz w:val="30"/>
          <w:szCs w:val="30"/>
        </w:rPr>
        <w:t xml:space="preserve">4. Architecture v3.0 — Dual-Plane [REVISED]</w:t>
      </w:r>
    </w:p>
    <w:p>
      <w:pPr>
        <w:pStyle w:val="Heading2"/>
        <w:spacing w:after="120" w:before="260"/>
      </w:pPr>
      <w:r>
        <w:rPr>
          <w:rFonts w:ascii="Calibri" w:cs="Calibri" w:eastAsia="Calibri" w:hAnsi="Calibri"/>
          <w:b/>
          <w:bCs/>
          <w:color w:val="1F3864"/>
          <w:sz w:val="25"/>
          <w:szCs w:val="25"/>
        </w:rPr>
        <w:t xml:space="preserve">4.1 The two planes</w:t>
      </w:r>
    </w:p>
    <w:p>
      <w:pPr>
        <w:spacing w:after="120" w:line="276"/>
      </w:pPr>
      <w:r>
        <w:rPr>
          <w:rFonts w:ascii="Calibri" w:cs="Calibri" w:eastAsia="Calibri" w:hAnsi="Calibri"/>
          <w:sz w:val="21"/>
          <w:szCs w:val="21"/>
        </w:rPr>
        <w:t xml:space="preserve">This is the structural change that makes MED read as a real trading-adjacent system rather than a notebook with extra steps. Production quant platforms separate the low-latency online path from the batch research path. MED now does the same, and the separation maps cleanly onto two named technologies a hiring manager recognises.</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1700"/>
        <w:gridCol w:w="3650"/>
        <w:gridCol w:w="3650"/>
      </w:tblGrid>
      <w:tr>
        <w:trPr>
          <w:tblHeader/>
        </w:trPr>
        <w:tc>
          <w:tcPr>
            <w:tcW w:type="dxa" w:w="17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
            </w:r>
          </w:p>
        </w:tc>
        <w:tc>
          <w:tcPr>
            <w:tcW w:type="dxa" w:w="365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Online plane</w:t>
            </w:r>
          </w:p>
        </w:tc>
        <w:tc>
          <w:tcPr>
            <w:tcW w:type="dxa" w:w="365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Offline plane</w:t>
            </w:r>
          </w:p>
        </w:tc>
      </w:tr>
      <w:tr>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Purpose</w:t>
            </w:r>
          </w:p>
        </w:tc>
        <w:tc>
          <w:tcPr>
            <w:tcW w:type="dxa" w:w="3650"/>
            <w:tcMar>
              <w:top w:type="dxa" w:w="80"/>
              <w:left w:type="dxa" w:w="110"/>
              <w:bottom w:type="dxa" w:w="80"/>
              <w:right w:type="dxa" w:w="110"/>
            </w:tcMar>
          </w:tcPr>
          <w:p>
            <w:pPr>
              <w:spacing w:after="0"/>
            </w:pPr>
            <w:r>
              <w:rPr>
                <w:rFonts w:ascii="Calibri" w:cs="Calibri" w:eastAsia="Calibri" w:hAnsi="Calibri"/>
                <w:sz w:val="19"/>
                <w:szCs w:val="19"/>
              </w:rPr>
              <w:t xml:space="preserve">Detect events, emit signals inside the adjustment window</w:t>
            </w:r>
          </w:p>
        </w:tc>
        <w:tc>
          <w:tcPr>
            <w:tcW w:type="dxa" w:w="3650"/>
            <w:tcMar>
              <w:top w:type="dxa" w:w="80"/>
              <w:left w:type="dxa" w:w="110"/>
              <w:bottom w:type="dxa" w:w="80"/>
              <w:right w:type="dxa" w:w="110"/>
            </w:tcMar>
          </w:tcPr>
          <w:p>
            <w:pPr>
              <w:spacing w:after="0"/>
            </w:pPr>
            <w:r>
              <w:rPr>
                <w:rFonts w:ascii="Calibri" w:cs="Calibri" w:eastAsia="Calibri" w:hAnsi="Calibri"/>
                <w:sz w:val="19"/>
                <w:szCs w:val="19"/>
              </w:rPr>
              <w:t xml:space="preserve">Research, backtest, retrain, validate, report</w:t>
            </w:r>
          </w:p>
        </w:tc>
      </w:tr>
      <w:tr>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Backbone</w:t>
            </w:r>
          </w:p>
        </w:tc>
        <w:tc>
          <w:tcPr>
            <w:tcW w:type="dxa" w:w="3650"/>
            <w:tcMar>
              <w:top w:type="dxa" w:w="80"/>
              <w:left w:type="dxa" w:w="110"/>
              <w:bottom w:type="dxa" w:w="80"/>
              <w:right w:type="dxa" w:w="110"/>
            </w:tcMar>
          </w:tcPr>
          <w:p>
            <w:pPr>
              <w:spacing w:after="0"/>
            </w:pPr>
            <w:r>
              <w:rPr>
                <w:rFonts w:ascii="Calibri" w:cs="Calibri" w:eastAsia="Calibri" w:hAnsi="Calibri"/>
                <w:sz w:val="19"/>
                <w:szCs w:val="19"/>
              </w:rPr>
              <w:t xml:space="preserve">Redpanda / Kafka</w:t>
            </w:r>
          </w:p>
        </w:tc>
        <w:tc>
          <w:tcPr>
            <w:tcW w:type="dxa" w:w="3650"/>
            <w:tcMar>
              <w:top w:type="dxa" w:w="80"/>
              <w:left w:type="dxa" w:w="110"/>
              <w:bottom w:type="dxa" w:w="80"/>
              <w:right w:type="dxa" w:w="110"/>
            </w:tcMar>
          </w:tcPr>
          <w:p>
            <w:pPr>
              <w:spacing w:after="0"/>
            </w:pPr>
            <w:r>
              <w:rPr>
                <w:rFonts w:ascii="Calibri" w:cs="Calibri" w:eastAsia="Calibri" w:hAnsi="Calibri"/>
                <w:sz w:val="19"/>
                <w:szCs w:val="19"/>
              </w:rPr>
              <w:t xml:space="preserve">Airflow (orchestration) + Databricks (compute)</w:t>
            </w:r>
          </w:p>
        </w:tc>
      </w:tr>
      <w:tr>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Cadence</w:t>
            </w:r>
          </w:p>
        </w:tc>
        <w:tc>
          <w:tcPr>
            <w:tcW w:type="dxa" w:w="3650"/>
            <w:tcMar>
              <w:top w:type="dxa" w:w="80"/>
              <w:left w:type="dxa" w:w="110"/>
              <w:bottom w:type="dxa" w:w="80"/>
              <w:right w:type="dxa" w:w="110"/>
            </w:tcMar>
          </w:tcPr>
          <w:p>
            <w:pPr>
              <w:spacing w:after="0"/>
            </w:pPr>
            <w:r>
              <w:rPr>
                <w:rFonts w:ascii="Calibri" w:cs="Calibri" w:eastAsia="Calibri" w:hAnsi="Calibri"/>
                <w:sz w:val="19"/>
                <w:szCs w:val="19"/>
              </w:rPr>
              <w:t xml:space="preserve">Continuous, sub-minute</w:t>
            </w:r>
          </w:p>
        </w:tc>
        <w:tc>
          <w:tcPr>
            <w:tcW w:type="dxa" w:w="3650"/>
            <w:tcMar>
              <w:top w:type="dxa" w:w="80"/>
              <w:left w:type="dxa" w:w="110"/>
              <w:bottom w:type="dxa" w:w="80"/>
              <w:right w:type="dxa" w:w="110"/>
            </w:tcMar>
          </w:tcPr>
          <w:p>
            <w:pPr>
              <w:spacing w:after="0"/>
            </w:pPr>
            <w:r>
              <w:rPr>
                <w:rFonts w:ascii="Calibri" w:cs="Calibri" w:eastAsia="Calibri" w:hAnsi="Calibri"/>
                <w:sz w:val="19"/>
                <w:szCs w:val="19"/>
              </w:rPr>
              <w:t xml:space="preserve">Scheduled: hourly, nightly, weekly</w:t>
            </w:r>
          </w:p>
        </w:tc>
      </w:tr>
      <w:tr>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Consumers</w:t>
            </w:r>
          </w:p>
        </w:tc>
        <w:tc>
          <w:tcPr>
            <w:tcW w:type="dxa" w:w="3650"/>
            <w:tcMar>
              <w:top w:type="dxa" w:w="80"/>
              <w:left w:type="dxa" w:w="110"/>
              <w:bottom w:type="dxa" w:w="80"/>
              <w:right w:type="dxa" w:w="110"/>
            </w:tcMar>
          </w:tcPr>
          <w:p>
            <w:pPr>
              <w:spacing w:after="0"/>
            </w:pPr>
            <w:r>
              <w:rPr>
                <w:rFonts w:ascii="Calibri" w:cs="Calibri" w:eastAsia="Calibri" w:hAnsi="Calibri"/>
                <w:sz w:val="19"/>
                <w:szCs w:val="19"/>
              </w:rPr>
              <w:t xml:space="preserve">LangGraph agents, Streamlit live view, signal topic</w:t>
            </w:r>
          </w:p>
        </w:tc>
        <w:tc>
          <w:tcPr>
            <w:tcW w:type="dxa" w:w="3650"/>
            <w:tcMar>
              <w:top w:type="dxa" w:w="80"/>
              <w:left w:type="dxa" w:w="110"/>
              <w:bottom w:type="dxa" w:w="80"/>
              <w:right w:type="dxa" w:w="110"/>
            </w:tcMar>
          </w:tcPr>
          <w:p>
            <w:pPr>
              <w:spacing w:after="0"/>
            </w:pPr>
            <w:r>
              <w:rPr>
                <w:rFonts w:ascii="Calibri" w:cs="Calibri" w:eastAsia="Calibri" w:hAnsi="Calibri"/>
                <w:sz w:val="19"/>
                <w:szCs w:val="19"/>
              </w:rPr>
              <w:t xml:space="preserve">Feature store, model registry, backtest reports</w:t>
            </w:r>
          </w:p>
        </w:tc>
      </w:tr>
      <w:tr>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Failure tolerance</w:t>
            </w:r>
          </w:p>
        </w:tc>
        <w:tc>
          <w:tcPr>
            <w:tcW w:type="dxa" w:w="3650"/>
            <w:tcMar>
              <w:top w:type="dxa" w:w="80"/>
              <w:left w:type="dxa" w:w="110"/>
              <w:bottom w:type="dxa" w:w="80"/>
              <w:right w:type="dxa" w:w="110"/>
            </w:tcMar>
          </w:tcPr>
          <w:p>
            <w:pPr>
              <w:spacing w:after="0"/>
            </w:pPr>
            <w:r>
              <w:rPr>
                <w:rFonts w:ascii="Calibri" w:cs="Calibri" w:eastAsia="Calibri" w:hAnsi="Calibri"/>
                <w:sz w:val="19"/>
                <w:szCs w:val="19"/>
              </w:rPr>
              <w:t xml:space="preserve">Degrade gracefully — a dropped event is a missed signal</w:t>
            </w:r>
          </w:p>
        </w:tc>
        <w:tc>
          <w:tcPr>
            <w:tcW w:type="dxa" w:w="3650"/>
            <w:tcMar>
              <w:top w:type="dxa" w:w="80"/>
              <w:left w:type="dxa" w:w="110"/>
              <w:bottom w:type="dxa" w:w="80"/>
              <w:right w:type="dxa" w:w="110"/>
            </w:tcMar>
          </w:tcPr>
          <w:p>
            <w:pPr>
              <w:spacing w:after="0"/>
            </w:pPr>
            <w:r>
              <w:rPr>
                <w:rFonts w:ascii="Calibri" w:cs="Calibri" w:eastAsia="Calibri" w:hAnsi="Calibri"/>
                <w:sz w:val="19"/>
                <w:szCs w:val="19"/>
              </w:rPr>
              <w:t xml:space="preserve">Retry aggressively — correctness beats latency</w:t>
            </w:r>
          </w:p>
        </w:tc>
      </w:tr>
      <w:tr>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State</w:t>
            </w:r>
          </w:p>
        </w:tc>
        <w:tc>
          <w:tcPr>
            <w:tcW w:type="dxa" w:w="3650"/>
            <w:tcMar>
              <w:top w:type="dxa" w:w="80"/>
              <w:left w:type="dxa" w:w="110"/>
              <w:bottom w:type="dxa" w:w="80"/>
              <w:right w:type="dxa" w:w="110"/>
            </w:tcMar>
          </w:tcPr>
          <w:p>
            <w:pPr>
              <w:spacing w:after="0"/>
            </w:pPr>
            <w:r>
              <w:rPr>
                <w:rFonts w:ascii="Calibri" w:cs="Calibri" w:eastAsia="Calibri" w:hAnsi="Calibri"/>
                <w:sz w:val="19"/>
                <w:szCs w:val="19"/>
              </w:rPr>
              <w:t xml:space="preserve">Ephemeral + Kafka log</w:t>
            </w:r>
          </w:p>
        </w:tc>
        <w:tc>
          <w:tcPr>
            <w:tcW w:type="dxa" w:w="3650"/>
            <w:tcMar>
              <w:top w:type="dxa" w:w="80"/>
              <w:left w:type="dxa" w:w="110"/>
              <w:bottom w:type="dxa" w:w="80"/>
              <w:right w:type="dxa" w:w="110"/>
            </w:tcMar>
          </w:tcPr>
          <w:p>
            <w:pPr>
              <w:spacing w:after="0"/>
            </w:pPr>
            <w:r>
              <w:rPr>
                <w:rFonts w:ascii="Calibri" w:cs="Calibri" w:eastAsia="Calibri" w:hAnsi="Calibri"/>
                <w:sz w:val="19"/>
                <w:szCs w:val="19"/>
              </w:rPr>
              <w:t xml:space="preserve">Point-in-time correct, versioned, immutable snapshots</w:t>
            </w:r>
          </w:p>
        </w:tc>
      </w:tr>
    </w:tbl>
    <w:p>
      <w:pPr>
        <w:spacing w:after="140"/>
      </w:pPr>
      <w:r>
        <w:t xml:space="preserve"/>
      </w:r>
    </w:p>
    <w:p>
      <w:pPr>
        <w:pStyle w:val="Heading2"/>
        <w:spacing w:after="120" w:before="260"/>
      </w:pPr>
      <w:r>
        <w:rPr>
          <w:rFonts w:ascii="Calibri" w:cs="Calibri" w:eastAsia="Calibri" w:hAnsi="Calibri"/>
          <w:b/>
          <w:bCs/>
          <w:color w:val="1F3864"/>
          <w:sz w:val="25"/>
          <w:szCs w:val="25"/>
        </w:rPr>
        <w:t xml:space="preserve">4.2 Layer inventory [REVISED]</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1500"/>
        <w:gridCol w:w="2000"/>
        <w:gridCol w:w="2200"/>
        <w:gridCol w:w="3300"/>
      </w:tblGrid>
      <w:tr>
        <w:trPr>
          <w:tblHeader/>
        </w:trPr>
        <w:tc>
          <w:tcPr>
            <w:tcW w:type="dxa" w:w="15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Layer</w:t>
            </w:r>
          </w:p>
        </w:tc>
        <w:tc>
          <w:tcPr>
            <w:tcW w:type="dxa" w:w="20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Component</w:t>
            </w:r>
          </w:p>
        </w:tc>
        <w:tc>
          <w:tcPr>
            <w:tcW w:type="dxa" w:w="22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Technology</w:t>
            </w:r>
          </w:p>
        </w:tc>
        <w:tc>
          <w:tcPr>
            <w:tcW w:type="dxa" w:w="33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Responsibility</w:t>
            </w:r>
          </w:p>
        </w:tc>
      </w:tr>
      <w:tr>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1. Ingestion</w:t>
            </w:r>
          </w:p>
        </w:tc>
        <w:tc>
          <w:tcPr>
            <w:tcW w:type="dxa" w:w="2000"/>
            <w:tcMar>
              <w:top w:type="dxa" w:w="80"/>
              <w:left w:type="dxa" w:w="110"/>
              <w:bottom w:type="dxa" w:w="80"/>
              <w:right w:type="dxa" w:w="110"/>
            </w:tcMar>
          </w:tcPr>
          <w:p>
            <w:pPr>
              <w:spacing w:after="0"/>
            </w:pPr>
            <w:r>
              <w:rPr>
                <w:rFonts w:ascii="Calibri" w:cs="Calibri" w:eastAsia="Calibri" w:hAnsi="Calibri"/>
                <w:sz w:val="19"/>
                <w:szCs w:val="19"/>
              </w:rPr>
              <w:t xml:space="preserve">Price feed producer</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yfinance / Alpha Vantage / PIT vendor</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Publishes ticks to raw-prices</w:t>
            </w:r>
          </w:p>
        </w:tc>
      </w:tr>
      <w:tr>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1. Ingestion</w:t>
            </w:r>
          </w:p>
        </w:tc>
        <w:tc>
          <w:tcPr>
            <w:tcW w:type="dxa" w:w="2000"/>
            <w:tcMar>
              <w:top w:type="dxa" w:w="80"/>
              <w:left w:type="dxa" w:w="110"/>
              <w:bottom w:type="dxa" w:w="80"/>
              <w:right w:type="dxa" w:w="110"/>
            </w:tcMar>
          </w:tcPr>
          <w:p>
            <w:pPr>
              <w:spacing w:after="0"/>
            </w:pPr>
            <w:r>
              <w:rPr>
                <w:rFonts w:ascii="Calibri" w:cs="Calibri" w:eastAsia="Calibri" w:hAnsi="Calibri"/>
                <w:sz w:val="19"/>
                <w:szCs w:val="19"/>
              </w:rPr>
              <w:t xml:space="preserve">News feed producer</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NewsAPI + RSS</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Publishes headlines to raw-news</w:t>
            </w:r>
          </w:p>
        </w:tc>
      </w:tr>
      <w:tr>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2. Streaming</w:t>
            </w:r>
          </w:p>
        </w:tc>
        <w:tc>
          <w:tcPr>
            <w:tcW w:type="dxa" w:w="2000"/>
            <w:tcMar>
              <w:top w:type="dxa" w:w="80"/>
              <w:left w:type="dxa" w:w="110"/>
              <w:bottom w:type="dxa" w:w="80"/>
              <w:right w:type="dxa" w:w="110"/>
            </w:tcMar>
          </w:tcPr>
          <w:p>
            <w:pPr>
              <w:spacing w:after="0"/>
            </w:pPr>
            <w:r>
              <w:rPr>
                <w:rFonts w:ascii="Calibri" w:cs="Calibri" w:eastAsia="Calibri" w:hAnsi="Calibri"/>
                <w:sz w:val="19"/>
                <w:szCs w:val="19"/>
              </w:rPr>
              <w:t xml:space="preserve">Message broker</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Redpanda</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Topics: raw-prices, raw-news, agent-signals, pal-events, trade-signals [NEW]</w:t>
            </w:r>
          </w:p>
        </w:tc>
      </w:tr>
      <w:tr>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3. Agents</w:t>
            </w:r>
          </w:p>
        </w:tc>
        <w:tc>
          <w:tcPr>
            <w:tcW w:type="dxa" w:w="2000"/>
            <w:tcMar>
              <w:top w:type="dxa" w:w="80"/>
              <w:left w:type="dxa" w:w="110"/>
              <w:bottom w:type="dxa" w:w="80"/>
              <w:right w:type="dxa" w:w="110"/>
            </w:tcMar>
          </w:tcPr>
          <w:p>
            <w:pPr>
              <w:spacing w:after="0"/>
            </w:pPr>
            <w:r>
              <w:rPr>
                <w:rFonts w:ascii="Calibri" w:cs="Calibri" w:eastAsia="Calibri" w:hAnsi="Calibri"/>
                <w:sz w:val="19"/>
                <w:szCs w:val="19"/>
              </w:rPr>
              <w:t xml:space="preserve">Statistician</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LangGraph + Python</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Rolling sigma, z-score, anomaly detection, T_efficient tracking</w:t>
            </w:r>
          </w:p>
        </w:tc>
      </w:tr>
      <w:tr>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3. Agents</w:t>
            </w:r>
          </w:p>
        </w:tc>
        <w:tc>
          <w:tcPr>
            <w:tcW w:type="dxa" w:w="2000"/>
            <w:tcMar>
              <w:top w:type="dxa" w:w="80"/>
              <w:left w:type="dxa" w:w="110"/>
              <w:bottom w:type="dxa" w:w="80"/>
              <w:right w:type="dxa" w:w="110"/>
            </w:tcMar>
          </w:tcPr>
          <w:p>
            <w:pPr>
              <w:spacing w:after="0"/>
            </w:pPr>
            <w:r>
              <w:rPr>
                <w:rFonts w:ascii="Calibri" w:cs="Calibri" w:eastAsia="Calibri" w:hAnsi="Calibri"/>
                <w:sz w:val="19"/>
                <w:szCs w:val="19"/>
              </w:rPr>
              <w:t xml:space="preserve">Contextualist</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LangGraph + LLM</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Sentiment, event taxonomy, entity tags, embeddings</w:t>
            </w:r>
          </w:p>
        </w:tc>
      </w:tr>
      <w:tr>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3. Agents</w:t>
            </w:r>
          </w:p>
        </w:tc>
        <w:tc>
          <w:tcPr>
            <w:tcW w:type="dxa" w:w="2000"/>
            <w:tcMar>
              <w:top w:type="dxa" w:w="80"/>
              <w:left w:type="dxa" w:w="110"/>
              <w:bottom w:type="dxa" w:w="80"/>
              <w:right w:type="dxa" w:w="110"/>
            </w:tcMar>
          </w:tcPr>
          <w:p>
            <w:pPr>
              <w:spacing w:after="0"/>
            </w:pPr>
            <w:r>
              <w:rPr>
                <w:rFonts w:ascii="Calibri" w:cs="Calibri" w:eastAsia="Calibri" w:hAnsi="Calibri"/>
                <w:sz w:val="19"/>
                <w:szCs w:val="19"/>
              </w:rPr>
              <w:t xml:space="preserve">Decision Maker</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LangGraph supervisor</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Correlates signals, computes PAL, classifies event</w:t>
            </w:r>
          </w:p>
        </w:tc>
      </w:tr>
      <w:tr>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3. Agents</w:t>
            </w:r>
          </w:p>
        </w:tc>
        <w:tc>
          <w:tcPr>
            <w:tcW w:type="dxa" w:w="2000"/>
            <w:tcMar>
              <w:top w:type="dxa" w:w="80"/>
              <w:left w:type="dxa" w:w="110"/>
              <w:bottom w:type="dxa" w:w="80"/>
              <w:right w:type="dxa" w:w="110"/>
            </w:tcMar>
          </w:tcPr>
          <w:p>
            <w:pPr>
              <w:spacing w:after="0"/>
            </w:pPr>
            <w:r>
              <w:rPr>
                <w:rFonts w:ascii="Calibri" w:cs="Calibri" w:eastAsia="Calibri" w:hAnsi="Calibri"/>
                <w:sz w:val="19"/>
                <w:szCs w:val="19"/>
              </w:rPr>
              <w:t xml:space="preserve">Signal Generator [NEW]</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LangGraph node</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Applies §2.3 rules, sizes position, emits to trade-signals</w:t>
            </w:r>
          </w:p>
        </w:tc>
      </w:tr>
      <w:tr>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4. Research</w:t>
            </w:r>
          </w:p>
        </w:tc>
        <w:tc>
          <w:tcPr>
            <w:tcW w:type="dxa" w:w="2000"/>
            <w:tcMar>
              <w:top w:type="dxa" w:w="80"/>
              <w:left w:type="dxa" w:w="110"/>
              <w:bottom w:type="dxa" w:w="80"/>
              <w:right w:type="dxa" w:w="110"/>
            </w:tcMar>
          </w:tcPr>
          <w:p>
            <w:pPr>
              <w:spacing w:after="0"/>
            </w:pPr>
            <w:r>
              <w:rPr>
                <w:rFonts w:ascii="Calibri" w:cs="Calibri" w:eastAsia="Calibri" w:hAnsi="Calibri"/>
                <w:sz w:val="19"/>
                <w:szCs w:val="19"/>
              </w:rPr>
              <w:t xml:space="preserve">Orchestrator [NEW]</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Airflow</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DAGs for feature refresh, backtest, retraining, reporting</w:t>
            </w:r>
          </w:p>
        </w:tc>
      </w:tr>
      <w:tr>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4. Research</w:t>
            </w:r>
          </w:p>
        </w:tc>
        <w:tc>
          <w:tcPr>
            <w:tcW w:type="dxa" w:w="2000"/>
            <w:tcMar>
              <w:top w:type="dxa" w:w="80"/>
              <w:left w:type="dxa" w:w="110"/>
              <w:bottom w:type="dxa" w:w="80"/>
              <w:right w:type="dxa" w:w="110"/>
            </w:tcMar>
          </w:tcPr>
          <w:p>
            <w:pPr>
              <w:spacing w:after="0"/>
            </w:pPr>
            <w:r>
              <w:rPr>
                <w:rFonts w:ascii="Calibri" w:cs="Calibri" w:eastAsia="Calibri" w:hAnsi="Calibri"/>
                <w:sz w:val="19"/>
                <w:szCs w:val="19"/>
              </w:rPr>
              <w:t xml:space="preserve">Backtest engine [NEW]</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vectorbt on Databricks</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Simulates fills, applies cost model, computes PnL and risk stats</w:t>
            </w:r>
          </w:p>
        </w:tc>
      </w:tr>
      <w:tr>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4. Research</w:t>
            </w:r>
          </w:p>
        </w:tc>
        <w:tc>
          <w:tcPr>
            <w:tcW w:type="dxa" w:w="2000"/>
            <w:tcMar>
              <w:top w:type="dxa" w:w="80"/>
              <w:left w:type="dxa" w:w="110"/>
              <w:bottom w:type="dxa" w:w="80"/>
              <w:right w:type="dxa" w:w="110"/>
            </w:tcMar>
          </w:tcPr>
          <w:p>
            <w:pPr>
              <w:spacing w:after="0"/>
            </w:pPr>
            <w:r>
              <w:rPr>
                <w:rFonts w:ascii="Calibri" w:cs="Calibri" w:eastAsia="Calibri" w:hAnsi="Calibri"/>
                <w:sz w:val="19"/>
                <w:szCs w:val="19"/>
              </w:rPr>
              <w:t xml:space="preserve">Feature store [NEW]</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Delta tables (Databricks)</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Point-in-time correct features keyed on (ticker, timestamp)</w:t>
            </w:r>
          </w:p>
        </w:tc>
      </w:tr>
      <w:tr>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5. Storage</w:t>
            </w:r>
          </w:p>
        </w:tc>
        <w:tc>
          <w:tcPr>
            <w:tcW w:type="dxa" w:w="2000"/>
            <w:tcMar>
              <w:top w:type="dxa" w:w="80"/>
              <w:left w:type="dxa" w:w="110"/>
              <w:bottom w:type="dxa" w:w="80"/>
              <w:right w:type="dxa" w:w="110"/>
            </w:tcMar>
          </w:tcPr>
          <w:p>
            <w:pPr>
              <w:spacing w:after="0"/>
            </w:pPr>
            <w:r>
              <w:rPr>
                <w:rFonts w:ascii="Calibri" w:cs="Calibri" w:eastAsia="Calibri" w:hAnsi="Calibri"/>
                <w:sz w:val="19"/>
                <w:szCs w:val="19"/>
              </w:rPr>
              <w:t xml:space="preserve">Metrics store</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Snowflake</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pal_events, trade_signals, backtest_runs, fills</w:t>
            </w:r>
          </w:p>
        </w:tc>
      </w:tr>
      <w:tr>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5. Storage</w:t>
            </w:r>
          </w:p>
        </w:tc>
        <w:tc>
          <w:tcPr>
            <w:tcW w:type="dxa" w:w="2000"/>
            <w:tcMar>
              <w:top w:type="dxa" w:w="80"/>
              <w:left w:type="dxa" w:w="110"/>
              <w:bottom w:type="dxa" w:w="80"/>
              <w:right w:type="dxa" w:w="110"/>
            </w:tcMar>
          </w:tcPr>
          <w:p>
            <w:pPr>
              <w:spacing w:after="0"/>
            </w:pPr>
            <w:r>
              <w:rPr>
                <w:rFonts w:ascii="Calibri" w:cs="Calibri" w:eastAsia="Calibri" w:hAnsi="Calibri"/>
                <w:sz w:val="19"/>
                <w:szCs w:val="19"/>
              </w:rPr>
              <w:t xml:space="preserve">Vector store</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ChromaDB → Pinecone</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News embeddings for RAG lookup</w:t>
            </w:r>
          </w:p>
        </w:tc>
      </w:tr>
      <w:tr>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6. Observability</w:t>
            </w:r>
          </w:p>
        </w:tc>
        <w:tc>
          <w:tcPr>
            <w:tcW w:type="dxa" w:w="2000"/>
            <w:tcMar>
              <w:top w:type="dxa" w:w="80"/>
              <w:left w:type="dxa" w:w="110"/>
              <w:bottom w:type="dxa" w:w="80"/>
              <w:right w:type="dxa" w:w="110"/>
            </w:tcMar>
          </w:tcPr>
          <w:p>
            <w:pPr>
              <w:spacing w:after="0"/>
            </w:pPr>
            <w:r>
              <w:rPr>
                <w:rFonts w:ascii="Calibri" w:cs="Calibri" w:eastAsia="Calibri" w:hAnsi="Calibri"/>
                <w:sz w:val="19"/>
                <w:szCs w:val="19"/>
              </w:rPr>
              <w:t xml:space="preserve">Metrics + dashboards</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Prometheus + Grafana</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Agent latency, API cost, signal count, live-vs-backtest drift</w:t>
            </w:r>
          </w:p>
        </w:tc>
      </w:tr>
      <w:tr>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6. Observability</w:t>
            </w:r>
          </w:p>
        </w:tc>
        <w:tc>
          <w:tcPr>
            <w:tcW w:type="dxa" w:w="2000"/>
            <w:tcMar>
              <w:top w:type="dxa" w:w="80"/>
              <w:left w:type="dxa" w:w="110"/>
              <w:bottom w:type="dxa" w:w="80"/>
              <w:right w:type="dxa" w:w="110"/>
            </w:tcMar>
          </w:tcPr>
          <w:p>
            <w:pPr>
              <w:spacing w:after="0"/>
            </w:pPr>
            <w:r>
              <w:rPr>
                <w:rFonts w:ascii="Calibri" w:cs="Calibri" w:eastAsia="Calibri" w:hAnsi="Calibri"/>
                <w:sz w:val="19"/>
                <w:szCs w:val="19"/>
              </w:rPr>
              <w:t xml:space="preserve">Agent tracing</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LangSmith</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Full execution traces for audit and debugging</w:t>
            </w:r>
          </w:p>
        </w:tc>
      </w:tr>
      <w:tr>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7. Interface</w:t>
            </w:r>
          </w:p>
        </w:tc>
        <w:tc>
          <w:tcPr>
            <w:tcW w:type="dxa" w:w="2000"/>
            <w:tcMar>
              <w:top w:type="dxa" w:w="80"/>
              <w:left w:type="dxa" w:w="110"/>
              <w:bottom w:type="dxa" w:w="80"/>
              <w:right w:type="dxa" w:w="110"/>
            </w:tcMar>
          </w:tcPr>
          <w:p>
            <w:pPr>
              <w:spacing w:after="0"/>
            </w:pPr>
            <w:r>
              <w:rPr>
                <w:rFonts w:ascii="Calibri" w:cs="Calibri" w:eastAsia="Calibri" w:hAnsi="Calibri"/>
                <w:sz w:val="19"/>
                <w:szCs w:val="19"/>
              </w:rPr>
              <w:t xml:space="preserve">Demo frontend</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Streamlit</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PAL explorer, signal log, backtest equity curve</w:t>
            </w:r>
          </w:p>
        </w:tc>
      </w:tr>
    </w:tbl>
    <w:p>
      <w:pPr>
        <w:spacing w:after="140"/>
      </w:pPr>
      <w:r>
        <w:t xml:space="preserve"/>
      </w:r>
    </w:p>
    <w:p>
      <w:pPr>
        <w:pStyle w:val="Heading2"/>
        <w:spacing w:after="120" w:before="260"/>
      </w:pPr>
      <w:r>
        <w:rPr>
          <w:rFonts w:ascii="Calibri" w:cs="Calibri" w:eastAsia="Calibri" w:hAnsi="Calibri"/>
          <w:b/>
          <w:bCs/>
          <w:color w:val="1F3864"/>
          <w:sz w:val="25"/>
          <w:szCs w:val="25"/>
        </w:rPr>
        <w:t xml:space="preserve">4.3 Airflow DAG inventory [NEW]</w:t>
      </w:r>
    </w:p>
    <w:p>
      <w:pPr>
        <w:spacing w:after="120" w:line="276"/>
      </w:pPr>
      <w:r>
        <w:rPr>
          <w:rFonts w:ascii="Calibri" w:cs="Calibri" w:eastAsia="Calibri" w:hAnsi="Calibri"/>
          <w:sz w:val="21"/>
          <w:szCs w:val="21"/>
        </w:rPr>
        <w:t xml:space="preserve">Airflow is the piece that was conspicuously missing from v2.0. It owns everything that is scheduled rather than streamed, and it is what makes the research plane reproducible instead of a folder of notebooks someone ran once.</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2300"/>
        <w:gridCol w:w="1800"/>
        <w:gridCol w:w="4900"/>
      </w:tblGrid>
      <w:tr>
        <w:trPr>
          <w:tblHeader/>
        </w:trPr>
        <w:tc>
          <w:tcPr>
            <w:tcW w:type="dxa" w:w="23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DAG</w:t>
            </w:r>
          </w:p>
        </w:tc>
        <w:tc>
          <w:tcPr>
            <w:tcW w:type="dxa" w:w="18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Schedule</w:t>
            </w:r>
          </w:p>
        </w:tc>
        <w:tc>
          <w:tcPr>
            <w:tcW w:type="dxa" w:w="49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Purpose</w:t>
            </w:r>
          </w:p>
        </w:tc>
      </w:tr>
      <w:tr>
        <w:tc>
          <w:tcPr>
            <w:tcW w:type="dxa" w:w="2300"/>
            <w:tcMar>
              <w:top w:type="dxa" w:w="80"/>
              <w:left w:type="dxa" w:w="110"/>
              <w:bottom w:type="dxa" w:w="80"/>
              <w:right w:type="dxa" w:w="110"/>
            </w:tcMar>
          </w:tcPr>
          <w:p>
            <w:pPr>
              <w:spacing w:after="0"/>
            </w:pPr>
            <w:r>
              <w:rPr>
                <w:rFonts w:ascii="Calibri" w:cs="Calibri" w:eastAsia="Calibri" w:hAnsi="Calibri"/>
                <w:sz w:val="19"/>
                <w:szCs w:val="19"/>
              </w:rPr>
              <w:t xml:space="preserve">med_ingest_eod</w:t>
            </w:r>
          </w:p>
        </w:tc>
        <w:tc>
          <w:tcPr>
            <w:tcW w:type="dxa" w:w="1800"/>
            <w:tcMar>
              <w:top w:type="dxa" w:w="80"/>
              <w:left w:type="dxa" w:w="110"/>
              <w:bottom w:type="dxa" w:w="80"/>
              <w:right w:type="dxa" w:w="110"/>
            </w:tcMar>
          </w:tcPr>
          <w:p>
            <w:pPr>
              <w:spacing w:after="0"/>
            </w:pPr>
            <w:r>
              <w:rPr>
                <w:rFonts w:ascii="Calibri" w:cs="Calibri" w:eastAsia="Calibri" w:hAnsi="Calibri"/>
                <w:sz w:val="19"/>
                <w:szCs w:val="19"/>
              </w:rPr>
              <w:t xml:space="preserve">Daily, post-close</w:t>
            </w:r>
          </w:p>
        </w:tc>
        <w:tc>
          <w:tcPr>
            <w:tcW w:type="dxa" w:w="4900"/>
            <w:tcMar>
              <w:top w:type="dxa" w:w="80"/>
              <w:left w:type="dxa" w:w="110"/>
              <w:bottom w:type="dxa" w:w="80"/>
              <w:right w:type="dxa" w:w="110"/>
            </w:tcMar>
          </w:tcPr>
          <w:p>
            <w:pPr>
              <w:spacing w:after="0"/>
            </w:pPr>
            <w:r>
              <w:rPr>
                <w:rFonts w:ascii="Calibri" w:cs="Calibri" w:eastAsia="Calibri" w:hAnsi="Calibri"/>
                <w:sz w:val="19"/>
                <w:szCs w:val="19"/>
              </w:rPr>
              <w:t xml:space="preserve">Pull adjusted EOD bars, reconcile against intraday ticks, write to Delta</w:t>
            </w:r>
          </w:p>
        </w:tc>
      </w:tr>
      <w:tr>
        <w:tc>
          <w:tcPr>
            <w:tcW w:type="dxa" w:w="2300"/>
            <w:tcMar>
              <w:top w:type="dxa" w:w="80"/>
              <w:left w:type="dxa" w:w="110"/>
              <w:bottom w:type="dxa" w:w="80"/>
              <w:right w:type="dxa" w:w="110"/>
            </w:tcMar>
          </w:tcPr>
          <w:p>
            <w:pPr>
              <w:spacing w:after="0"/>
            </w:pPr>
            <w:r>
              <w:rPr>
                <w:rFonts w:ascii="Calibri" w:cs="Calibri" w:eastAsia="Calibri" w:hAnsi="Calibri"/>
                <w:sz w:val="19"/>
                <w:szCs w:val="19"/>
              </w:rPr>
              <w:t xml:space="preserve">med_feature_refresh</w:t>
            </w:r>
          </w:p>
        </w:tc>
        <w:tc>
          <w:tcPr>
            <w:tcW w:type="dxa" w:w="1800"/>
            <w:tcMar>
              <w:top w:type="dxa" w:w="80"/>
              <w:left w:type="dxa" w:w="110"/>
              <w:bottom w:type="dxa" w:w="80"/>
              <w:right w:type="dxa" w:w="110"/>
            </w:tcMar>
          </w:tcPr>
          <w:p>
            <w:pPr>
              <w:spacing w:after="0"/>
            </w:pPr>
            <w:r>
              <w:rPr>
                <w:rFonts w:ascii="Calibri" w:cs="Calibri" w:eastAsia="Calibri" w:hAnsi="Calibri"/>
                <w:sz w:val="19"/>
                <w:szCs w:val="19"/>
              </w:rPr>
              <w:t xml:space="preserve">Hourly, market hours</w:t>
            </w:r>
          </w:p>
        </w:tc>
        <w:tc>
          <w:tcPr>
            <w:tcW w:type="dxa" w:w="4900"/>
            <w:tcMar>
              <w:top w:type="dxa" w:w="80"/>
              <w:left w:type="dxa" w:w="110"/>
              <w:bottom w:type="dxa" w:w="80"/>
              <w:right w:type="dxa" w:w="110"/>
            </w:tcMar>
          </w:tcPr>
          <w:p>
            <w:pPr>
              <w:spacing w:after="0"/>
            </w:pPr>
            <w:r>
              <w:rPr>
                <w:rFonts w:ascii="Calibri" w:cs="Calibri" w:eastAsia="Calibri" w:hAnsi="Calibri"/>
                <w:sz w:val="19"/>
                <w:szCs w:val="19"/>
              </w:rPr>
              <w:t xml:space="preserve">Recompute rolling sigma, volume baselines, tier assignments; enforce point-in-time keys</w:t>
            </w:r>
          </w:p>
        </w:tc>
      </w:tr>
      <w:tr>
        <w:tc>
          <w:tcPr>
            <w:tcW w:type="dxa" w:w="2300"/>
            <w:tcMar>
              <w:top w:type="dxa" w:w="80"/>
              <w:left w:type="dxa" w:w="110"/>
              <w:bottom w:type="dxa" w:w="80"/>
              <w:right w:type="dxa" w:w="110"/>
            </w:tcMar>
          </w:tcPr>
          <w:p>
            <w:pPr>
              <w:spacing w:after="0"/>
            </w:pPr>
            <w:r>
              <w:rPr>
                <w:rFonts w:ascii="Calibri" w:cs="Calibri" w:eastAsia="Calibri" w:hAnsi="Calibri"/>
                <w:sz w:val="19"/>
                <w:szCs w:val="19"/>
              </w:rPr>
              <w:t xml:space="preserve">med_pal_label</w:t>
            </w:r>
          </w:p>
        </w:tc>
        <w:tc>
          <w:tcPr>
            <w:tcW w:type="dxa" w:w="1800"/>
            <w:tcMar>
              <w:top w:type="dxa" w:w="80"/>
              <w:left w:type="dxa" w:w="110"/>
              <w:bottom w:type="dxa" w:w="80"/>
              <w:right w:type="dxa" w:w="110"/>
            </w:tcMar>
          </w:tcPr>
          <w:p>
            <w:pPr>
              <w:spacing w:after="0"/>
            </w:pPr>
            <w:r>
              <w:rPr>
                <w:rFonts w:ascii="Calibri" w:cs="Calibri" w:eastAsia="Calibri" w:hAnsi="Calibri"/>
                <w:sz w:val="19"/>
                <w:szCs w:val="19"/>
              </w:rPr>
              <w:t xml:space="preserve">Daily</w:t>
            </w:r>
          </w:p>
        </w:tc>
        <w:tc>
          <w:tcPr>
            <w:tcW w:type="dxa" w:w="4900"/>
            <w:tcMar>
              <w:top w:type="dxa" w:w="80"/>
              <w:left w:type="dxa" w:w="110"/>
              <w:bottom w:type="dxa" w:w="80"/>
              <w:right w:type="dxa" w:w="110"/>
            </w:tcMar>
          </w:tcPr>
          <w:p>
            <w:pPr>
              <w:spacing w:after="0"/>
            </w:pPr>
            <w:r>
              <w:rPr>
                <w:rFonts w:ascii="Calibri" w:cs="Calibri" w:eastAsia="Calibri" w:hAnsi="Calibri"/>
                <w:sz w:val="19"/>
                <w:szCs w:val="19"/>
              </w:rPr>
              <w:t xml:space="preserve">Resolve T_efficient for events that matured, write labels</w:t>
            </w:r>
          </w:p>
        </w:tc>
      </w:tr>
      <w:tr>
        <w:tc>
          <w:tcPr>
            <w:tcW w:type="dxa" w:w="2300"/>
            <w:tcMar>
              <w:top w:type="dxa" w:w="80"/>
              <w:left w:type="dxa" w:w="110"/>
              <w:bottom w:type="dxa" w:w="80"/>
              <w:right w:type="dxa" w:w="110"/>
            </w:tcMar>
          </w:tcPr>
          <w:p>
            <w:pPr>
              <w:spacing w:after="0"/>
            </w:pPr>
            <w:r>
              <w:rPr>
                <w:rFonts w:ascii="Calibri" w:cs="Calibri" w:eastAsia="Calibri" w:hAnsi="Calibri"/>
                <w:sz w:val="19"/>
                <w:szCs w:val="19"/>
              </w:rPr>
              <w:t xml:space="preserve">med_backtest_nightly</w:t>
            </w:r>
          </w:p>
        </w:tc>
        <w:tc>
          <w:tcPr>
            <w:tcW w:type="dxa" w:w="1800"/>
            <w:tcMar>
              <w:top w:type="dxa" w:w="80"/>
              <w:left w:type="dxa" w:w="110"/>
              <w:bottom w:type="dxa" w:w="80"/>
              <w:right w:type="dxa" w:w="110"/>
            </w:tcMar>
          </w:tcPr>
          <w:p>
            <w:pPr>
              <w:spacing w:after="0"/>
            </w:pPr>
            <w:r>
              <w:rPr>
                <w:rFonts w:ascii="Calibri" w:cs="Calibri" w:eastAsia="Calibri" w:hAnsi="Calibri"/>
                <w:sz w:val="19"/>
                <w:szCs w:val="19"/>
              </w:rPr>
              <w:t xml:space="preserve">Daily, 02:00 IST</w:t>
            </w:r>
          </w:p>
        </w:tc>
        <w:tc>
          <w:tcPr>
            <w:tcW w:type="dxa" w:w="4900"/>
            <w:tcMar>
              <w:top w:type="dxa" w:w="80"/>
              <w:left w:type="dxa" w:w="110"/>
              <w:bottom w:type="dxa" w:w="80"/>
              <w:right w:type="dxa" w:w="110"/>
            </w:tcMar>
          </w:tcPr>
          <w:p>
            <w:pPr>
              <w:spacing w:after="0"/>
            </w:pPr>
            <w:r>
              <w:rPr>
                <w:rFonts w:ascii="Calibri" w:cs="Calibri" w:eastAsia="Calibri" w:hAnsi="Calibri"/>
                <w:sz w:val="19"/>
                <w:szCs w:val="19"/>
              </w:rPr>
              <w:t xml:space="preserve">Re-run the frozen strategy on the full history; alert on result drift</w:t>
            </w:r>
          </w:p>
        </w:tc>
      </w:tr>
      <w:tr>
        <w:tc>
          <w:tcPr>
            <w:tcW w:type="dxa" w:w="2300"/>
            <w:tcMar>
              <w:top w:type="dxa" w:w="80"/>
              <w:left w:type="dxa" w:w="110"/>
              <w:bottom w:type="dxa" w:w="80"/>
              <w:right w:type="dxa" w:w="110"/>
            </w:tcMar>
          </w:tcPr>
          <w:p>
            <w:pPr>
              <w:spacing w:after="0"/>
            </w:pPr>
            <w:r>
              <w:rPr>
                <w:rFonts w:ascii="Calibri" w:cs="Calibri" w:eastAsia="Calibri" w:hAnsi="Calibri"/>
                <w:sz w:val="19"/>
                <w:szCs w:val="19"/>
              </w:rPr>
              <w:t xml:space="preserve">med_backtest_sweep</w:t>
            </w:r>
          </w:p>
        </w:tc>
        <w:tc>
          <w:tcPr>
            <w:tcW w:type="dxa" w:w="1800"/>
            <w:tcMar>
              <w:top w:type="dxa" w:w="80"/>
              <w:left w:type="dxa" w:w="110"/>
              <w:bottom w:type="dxa" w:w="80"/>
              <w:right w:type="dxa" w:w="110"/>
            </w:tcMar>
          </w:tcPr>
          <w:p>
            <w:pPr>
              <w:spacing w:after="0"/>
            </w:pPr>
            <w:r>
              <w:rPr>
                <w:rFonts w:ascii="Calibri" w:cs="Calibri" w:eastAsia="Calibri" w:hAnsi="Calibri"/>
                <w:sz w:val="19"/>
                <w:szCs w:val="19"/>
              </w:rPr>
              <w:t xml:space="preserve">Weekly</w:t>
            </w:r>
          </w:p>
        </w:tc>
        <w:tc>
          <w:tcPr>
            <w:tcW w:type="dxa" w:w="4900"/>
            <w:tcMar>
              <w:top w:type="dxa" w:w="80"/>
              <w:left w:type="dxa" w:w="110"/>
              <w:bottom w:type="dxa" w:w="80"/>
              <w:right w:type="dxa" w:w="110"/>
            </w:tcMar>
          </w:tcPr>
          <w:p>
            <w:pPr>
              <w:spacing w:after="0"/>
            </w:pPr>
            <w:r>
              <w:rPr>
                <w:rFonts w:ascii="Calibri" w:cs="Calibri" w:eastAsia="Calibri" w:hAnsi="Calibri"/>
                <w:sz w:val="19"/>
                <w:szCs w:val="19"/>
              </w:rPr>
              <w:t xml:space="preserve">Parameter sweep on Databricks; every run logged for deflated-Sharpe accounting</w:t>
            </w:r>
          </w:p>
        </w:tc>
      </w:tr>
      <w:tr>
        <w:tc>
          <w:tcPr>
            <w:tcW w:type="dxa" w:w="2300"/>
            <w:tcMar>
              <w:top w:type="dxa" w:w="80"/>
              <w:left w:type="dxa" w:w="110"/>
              <w:bottom w:type="dxa" w:w="80"/>
              <w:right w:type="dxa" w:w="110"/>
            </w:tcMar>
          </w:tcPr>
          <w:p>
            <w:pPr>
              <w:spacing w:after="0"/>
            </w:pPr>
            <w:r>
              <w:rPr>
                <w:rFonts w:ascii="Calibri" w:cs="Calibri" w:eastAsia="Calibri" w:hAnsi="Calibri"/>
                <w:sz w:val="19"/>
                <w:szCs w:val="19"/>
              </w:rPr>
              <w:t xml:space="preserve">med_model_retrain</w:t>
            </w:r>
          </w:p>
        </w:tc>
        <w:tc>
          <w:tcPr>
            <w:tcW w:type="dxa" w:w="1800"/>
            <w:tcMar>
              <w:top w:type="dxa" w:w="80"/>
              <w:left w:type="dxa" w:w="110"/>
              <w:bottom w:type="dxa" w:w="80"/>
              <w:right w:type="dxa" w:w="110"/>
            </w:tcMar>
          </w:tcPr>
          <w:p>
            <w:pPr>
              <w:spacing w:after="0"/>
            </w:pPr>
            <w:r>
              <w:rPr>
                <w:rFonts w:ascii="Calibri" w:cs="Calibri" w:eastAsia="Calibri" w:hAnsi="Calibri"/>
                <w:sz w:val="19"/>
                <w:szCs w:val="19"/>
              </w:rPr>
              <w:t xml:space="preserve">Weekly</w:t>
            </w:r>
          </w:p>
        </w:tc>
        <w:tc>
          <w:tcPr>
            <w:tcW w:type="dxa" w:w="4900"/>
            <w:tcMar>
              <w:top w:type="dxa" w:w="80"/>
              <w:left w:type="dxa" w:w="110"/>
              <w:bottom w:type="dxa" w:w="80"/>
              <w:right w:type="dxa" w:w="110"/>
            </w:tcMar>
          </w:tcPr>
          <w:p>
            <w:pPr>
              <w:spacing w:after="0"/>
            </w:pPr>
            <w:r>
              <w:rPr>
                <w:rFonts w:ascii="Calibri" w:cs="Calibri" w:eastAsia="Calibri" w:hAnsi="Calibri"/>
                <w:sz w:val="19"/>
                <w:szCs w:val="19"/>
              </w:rPr>
              <w:t xml:space="preserve">Retrain Forecaster (XGBoost), register in MLflow, gate on walk-forward performance</w:t>
            </w:r>
          </w:p>
        </w:tc>
      </w:tr>
      <w:tr>
        <w:tc>
          <w:tcPr>
            <w:tcW w:type="dxa" w:w="2300"/>
            <w:tcMar>
              <w:top w:type="dxa" w:w="80"/>
              <w:left w:type="dxa" w:w="110"/>
              <w:bottom w:type="dxa" w:w="80"/>
              <w:right w:type="dxa" w:w="110"/>
            </w:tcMar>
          </w:tcPr>
          <w:p>
            <w:pPr>
              <w:spacing w:after="0"/>
            </w:pPr>
            <w:r>
              <w:rPr>
                <w:rFonts w:ascii="Calibri" w:cs="Calibri" w:eastAsia="Calibri" w:hAnsi="Calibri"/>
                <w:sz w:val="19"/>
                <w:szCs w:val="19"/>
              </w:rPr>
              <w:t xml:space="preserve">med_drift_monitor</w:t>
            </w:r>
          </w:p>
        </w:tc>
        <w:tc>
          <w:tcPr>
            <w:tcW w:type="dxa" w:w="1800"/>
            <w:tcMar>
              <w:top w:type="dxa" w:w="80"/>
              <w:left w:type="dxa" w:w="110"/>
              <w:bottom w:type="dxa" w:w="80"/>
              <w:right w:type="dxa" w:w="110"/>
            </w:tcMar>
          </w:tcPr>
          <w:p>
            <w:pPr>
              <w:spacing w:after="0"/>
            </w:pPr>
            <w:r>
              <w:rPr>
                <w:rFonts w:ascii="Calibri" w:cs="Calibri" w:eastAsia="Calibri" w:hAnsi="Calibri"/>
                <w:sz w:val="19"/>
                <w:szCs w:val="19"/>
              </w:rPr>
              <w:t xml:space="preserve">Daily</w:t>
            </w:r>
          </w:p>
        </w:tc>
        <w:tc>
          <w:tcPr>
            <w:tcW w:type="dxa" w:w="4900"/>
            <w:tcMar>
              <w:top w:type="dxa" w:w="80"/>
              <w:left w:type="dxa" w:w="110"/>
              <w:bottom w:type="dxa" w:w="80"/>
              <w:right w:type="dxa" w:w="110"/>
            </w:tcMar>
          </w:tcPr>
          <w:p>
            <w:pPr>
              <w:spacing w:after="0"/>
            </w:pPr>
            <w:r>
              <w:rPr>
                <w:rFonts w:ascii="Calibri" w:cs="Calibri" w:eastAsia="Calibri" w:hAnsi="Calibri"/>
                <w:sz w:val="19"/>
                <w:szCs w:val="19"/>
              </w:rPr>
              <w:t xml:space="preserve">Compare live signal distribution to backtest distribution; page on divergence</w:t>
            </w:r>
          </w:p>
        </w:tc>
      </w:tr>
      <w:tr>
        <w:tc>
          <w:tcPr>
            <w:tcW w:type="dxa" w:w="2300"/>
            <w:tcMar>
              <w:top w:type="dxa" w:w="80"/>
              <w:left w:type="dxa" w:w="110"/>
              <w:bottom w:type="dxa" w:w="80"/>
              <w:right w:type="dxa" w:w="110"/>
            </w:tcMar>
          </w:tcPr>
          <w:p>
            <w:pPr>
              <w:spacing w:after="0"/>
            </w:pPr>
            <w:r>
              <w:rPr>
                <w:rFonts w:ascii="Calibri" w:cs="Calibri" w:eastAsia="Calibri" w:hAnsi="Calibri"/>
                <w:sz w:val="19"/>
                <w:szCs w:val="19"/>
              </w:rPr>
              <w:t xml:space="preserve">med_report_weekly</w:t>
            </w:r>
          </w:p>
        </w:tc>
        <w:tc>
          <w:tcPr>
            <w:tcW w:type="dxa" w:w="1800"/>
            <w:tcMar>
              <w:top w:type="dxa" w:w="80"/>
              <w:left w:type="dxa" w:w="110"/>
              <w:bottom w:type="dxa" w:w="80"/>
              <w:right w:type="dxa" w:w="110"/>
            </w:tcMar>
          </w:tcPr>
          <w:p>
            <w:pPr>
              <w:spacing w:after="0"/>
            </w:pPr>
            <w:r>
              <w:rPr>
                <w:rFonts w:ascii="Calibri" w:cs="Calibri" w:eastAsia="Calibri" w:hAnsi="Calibri"/>
                <w:sz w:val="19"/>
                <w:szCs w:val="19"/>
              </w:rPr>
              <w:t xml:space="preserve">Weekly</w:t>
            </w:r>
          </w:p>
        </w:tc>
        <w:tc>
          <w:tcPr>
            <w:tcW w:type="dxa" w:w="4900"/>
            <w:tcMar>
              <w:top w:type="dxa" w:w="80"/>
              <w:left w:type="dxa" w:w="110"/>
              <w:bottom w:type="dxa" w:w="80"/>
              <w:right w:type="dxa" w:w="110"/>
            </w:tcMar>
          </w:tcPr>
          <w:p>
            <w:pPr>
              <w:spacing w:after="0"/>
            </w:pPr>
            <w:r>
              <w:rPr>
                <w:rFonts w:ascii="Calibri" w:cs="Calibri" w:eastAsia="Calibri" w:hAnsi="Calibri"/>
                <w:sz w:val="19"/>
                <w:szCs w:val="19"/>
              </w:rPr>
              <w:t xml:space="preserve">Generate signal performance PDF + push metrics to Grafana</w:t>
            </w:r>
          </w:p>
        </w:tc>
      </w:tr>
    </w:tbl>
    <w:p>
      <w:pPr>
        <w:spacing w:after="140"/>
      </w:pPr>
      <w:r>
        <w:t xml:space="preserve"/>
      </w:r>
    </w:p>
    <w:p>
      <w:pPr>
        <w:pStyle w:val="Heading2"/>
        <w:spacing w:after="120" w:before="260"/>
      </w:pPr>
      <w:r>
        <w:rPr>
          <w:rFonts w:ascii="Calibri" w:cs="Calibri" w:eastAsia="Calibri" w:hAnsi="Calibri"/>
          <w:b/>
          <w:bCs/>
          <w:color w:val="1F3864"/>
          <w:sz w:val="25"/>
          <w:szCs w:val="25"/>
        </w:rPr>
        <w:t xml:space="preserve">4.4 Kafka topic contracts [REVISED]</w:t>
      </w:r>
    </w:p>
    <w:tbl>
      <w:tblPr>
        <w:tblW w:type="dxa" w:w="9000"/>
        <w:tblBorders>
          <w:top w:val="single" w:color="C7CDD6" w:sz="4"/>
          <w:left w:val="single" w:color="C7CDD6" w:sz="4"/>
          <w:bottom w:val="single" w:color="C7CDD6" w:sz="4"/>
          <w:right w:val="single" w:color="C7CDD6" w:sz="4"/>
          <w:insideH w:val="none" w:color="auto" w:sz="0"/>
          <w:insideV w:val="none" w:color="auto" w:sz="0"/>
        </w:tblBorders>
      </w:tblPr>
      <w:tblGrid>
        <w:gridCol w:w="9000"/>
      </w:tblGrid>
      <w:tr>
        <w:tc>
          <w:tcPr>
            <w:tcW w:type="dxa" w:w="9000"/>
            <w:shd w:fill="F4F5F7"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raw-prices      key=ticker   {ts, open, high, low, close, volume, source}</w:t>
            </w:r>
          </w:p>
          <w:p>
            <w:pPr>
              <w:spacing w:after="0" w:line="240"/>
            </w:pPr>
            <w:r>
              <w:rPr>
                <w:rFonts w:ascii="Consolas" w:cs="Consolas" w:eastAsia="Consolas" w:hAnsi="Consolas"/>
                <w:sz w:val="17"/>
                <w:szCs w:val="17"/>
              </w:rPr>
              <w:t xml:space="preserve">raw-news        key=ticker   {ts_ingested, ts_published, headline, url, source}</w:t>
            </w:r>
          </w:p>
          <w:p>
            <w:pPr>
              <w:spacing w:after="0" w:line="240"/>
            </w:pPr>
            <w:r>
              <w:rPr>
                <w:rFonts w:ascii="Consolas" w:cs="Consolas" w:eastAsia="Consolas" w:hAnsi="Consolas"/>
                <w:sz w:val="17"/>
                <w:szCs w:val="17"/>
              </w:rPr>
              <w:t xml:space="preserve">agent-signals   key=ticker   {ts, agent, anomaly, z_score, sentiment, news_weight}</w:t>
            </w:r>
          </w:p>
          <w:p>
            <w:pPr>
              <w:spacing w:after="0" w:line="240"/>
            </w:pPr>
            <w:r>
              <w:rPr>
                <w:rFonts w:ascii="Consolas" w:cs="Consolas" w:eastAsia="Consolas" w:hAnsi="Consolas"/>
                <w:sz w:val="17"/>
                <w:szCs w:val="17"/>
              </w:rPr>
              <w:t xml:space="preserve">pal-events      key=event_id {t_event, t_efficient, pal_seconds, pal_class, tier}</w:t>
            </w:r>
          </w:p>
          <w:p>
            <w:pPr>
              <w:spacing w:after="0" w:line="240"/>
            </w:pPr>
            <w:r>
              <w:rPr>
                <w:rFonts w:ascii="Consolas" w:cs="Consolas" w:eastAsia="Consolas" w:hAnsi="Consolas"/>
                <w:sz w:val="17"/>
                <w:szCs w:val="17"/>
              </w:rPr>
              <w:t xml:space="preserve">trade-signals   key=event_id {ts_emitted, ticker, direction, confidence,   [NEW]</w:t>
            </w:r>
          </w:p>
          <w:p>
            <w:pPr>
              <w:spacing w:after="0" w:line="240"/>
            </w:pPr>
            <w:r>
              <w:rPr>
                <w:rFonts w:ascii="Consolas" w:cs="Consolas" w:eastAsia="Consolas" w:hAnsi="Consolas"/>
                <w:sz w:val="17"/>
                <w:szCs w:val="17"/>
              </w:rPr>
              <w:t xml:space="preserve">                              size_notional, expected_hold_s, stop_sigma,</w:t>
            </w:r>
          </w:p>
          <w:p>
            <w:pPr>
              <w:spacing w:after="0" w:line="240"/>
            </w:pPr>
            <w:r>
              <w:rPr>
                <w:rFonts w:ascii="Consolas" w:cs="Consolas" w:eastAsia="Consolas" w:hAnsi="Consolas"/>
                <w:sz w:val="17"/>
                <w:szCs w:val="17"/>
              </w:rPr>
              <w:t xml:space="preserve">                              capacity_ok, suppressed_reason|null}</w:t>
            </w:r>
          </w:p>
        </w:tc>
      </w:tr>
    </w:tbl>
    <w:p>
      <w:pPr>
        <w:spacing w:after="140"/>
      </w:pPr>
      <w:r>
        <w:t xml:space="preserve"/>
      </w:r>
    </w:p>
    <w:p>
      <w:pPr>
        <w:spacing w:after="120" w:line="276"/>
      </w:pPr>
      <w:r>
        <w:rPr>
          <w:rFonts w:ascii="Calibri" w:cs="Calibri" w:eastAsia="Calibri" w:hAnsi="Calibri"/>
          <w:sz w:val="21"/>
          <w:szCs w:val="21"/>
        </w:rPr>
        <w:t xml:space="preserve">Note the suppressed_reason field. Signals that fail a gate (sentiment/price disagreement, capacity breach, stale data) are published as suppressed rather than silently dropped. Suppressed signals are the audit trail that proves the backtest was not quietly filtered.</w:t>
      </w:r>
    </w:p>
    <w:p>
      <w:pPr>
        <w:spacing w:after="140"/>
      </w:pPr>
      <w:r>
        <w:t xml:space="preserve"/>
      </w:r>
    </w:p>
    <w:p>
      <w:pPr>
        <w:pStyle w:val="Heading2"/>
        <w:spacing w:after="120" w:before="260"/>
      </w:pPr>
      <w:r>
        <w:rPr>
          <w:rFonts w:ascii="Calibri" w:cs="Calibri" w:eastAsia="Calibri" w:hAnsi="Calibri"/>
          <w:b/>
          <w:bCs/>
          <w:color w:val="1F3864"/>
          <w:sz w:val="25"/>
          <w:szCs w:val="25"/>
        </w:rPr>
        <w:t xml:space="preserve">4.5 Extended LangGraph state [REVISED]</w:t>
      </w:r>
    </w:p>
    <w:tbl>
      <w:tblPr>
        <w:tblW w:type="dxa" w:w="9000"/>
        <w:tblBorders>
          <w:top w:val="single" w:color="C7CDD6" w:sz="4"/>
          <w:left w:val="single" w:color="C7CDD6" w:sz="4"/>
          <w:bottom w:val="single" w:color="C7CDD6" w:sz="4"/>
          <w:right w:val="single" w:color="C7CDD6" w:sz="4"/>
          <w:insideH w:val="none" w:color="auto" w:sz="0"/>
          <w:insideV w:val="none" w:color="auto" w:sz="0"/>
        </w:tblBorders>
      </w:tblPr>
      <w:tblGrid>
        <w:gridCol w:w="9000"/>
      </w:tblGrid>
      <w:tr>
        <w:tc>
          <w:tcPr>
            <w:tcW w:type="dxa" w:w="9000"/>
            <w:shd w:fill="F4F5F7"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class MEDGraphState(TypedDict):</w:t>
            </w:r>
          </w:p>
          <w:p>
            <w:pPr>
              <w:spacing w:after="0" w:line="240"/>
            </w:pPr>
            <w:r>
              <w:rPr>
                <w:rFonts w:ascii="Consolas" w:cs="Consolas" w:eastAsia="Consolas" w:hAnsi="Consolas"/>
                <w:sz w:val="17"/>
                <w:szCs w:val="17"/>
              </w:rPr>
              <w:t xml:space="preserve">    # ... all v2.0 fields retained unchanged ...</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 Signal Generator outputs  [NEW]</w:t>
            </w:r>
          </w:p>
          <w:p>
            <w:pPr>
              <w:spacing w:after="0" w:line="240"/>
            </w:pPr>
            <w:r>
              <w:rPr>
                <w:rFonts w:ascii="Consolas" w:cs="Consolas" w:eastAsia="Consolas" w:hAnsi="Consolas"/>
                <w:sz w:val="17"/>
                <w:szCs w:val="17"/>
              </w:rPr>
              <w:t xml:space="preserve">    signal_direction: str | None      # LONG | SHORT | NONE</w:t>
            </w:r>
          </w:p>
          <w:p>
            <w:pPr>
              <w:spacing w:after="0" w:line="240"/>
            </w:pPr>
            <w:r>
              <w:rPr>
                <w:rFonts w:ascii="Consolas" w:cs="Consolas" w:eastAsia="Consolas" w:hAnsi="Consolas"/>
                <w:sz w:val="17"/>
                <w:szCs w:val="17"/>
              </w:rPr>
              <w:t xml:space="preserve">    signal_confidence: float          # 0.0 - 1.0</w:t>
            </w:r>
          </w:p>
          <w:p>
            <w:pPr>
              <w:spacing w:after="0" w:line="240"/>
            </w:pPr>
            <w:r>
              <w:rPr>
                <w:rFonts w:ascii="Consolas" w:cs="Consolas" w:eastAsia="Consolas" w:hAnsi="Consolas"/>
                <w:sz w:val="17"/>
                <w:szCs w:val="17"/>
              </w:rPr>
              <w:t xml:space="preserve">    signal_size_notional: float</w:t>
            </w:r>
          </w:p>
          <w:p>
            <w:pPr>
              <w:spacing w:after="0" w:line="240"/>
            </w:pPr>
            <w:r>
              <w:rPr>
                <w:rFonts w:ascii="Consolas" w:cs="Consolas" w:eastAsia="Consolas" w:hAnsi="Consolas"/>
                <w:sz w:val="17"/>
                <w:szCs w:val="17"/>
              </w:rPr>
              <w:t xml:space="preserve">    expected_hold_seconds: int</w:t>
            </w:r>
          </w:p>
          <w:p>
            <w:pPr>
              <w:spacing w:after="0" w:line="240"/>
            </w:pPr>
            <w:r>
              <w:rPr>
                <w:rFonts w:ascii="Consolas" w:cs="Consolas" w:eastAsia="Consolas" w:hAnsi="Consolas"/>
                <w:sz w:val="17"/>
                <w:szCs w:val="17"/>
              </w:rPr>
              <w:t xml:space="preserve">    stop_sigma_mult: float</w:t>
            </w:r>
          </w:p>
          <w:p>
            <w:pPr>
              <w:spacing w:after="0" w:line="240"/>
            </w:pPr>
            <w:r>
              <w:rPr>
                <w:rFonts w:ascii="Consolas" w:cs="Consolas" w:eastAsia="Consolas" w:hAnsi="Consolas"/>
                <w:sz w:val="17"/>
                <w:szCs w:val="17"/>
              </w:rPr>
              <w:t xml:space="preserve">    capacity_ok: bool</w:t>
            </w:r>
          </w:p>
          <w:p>
            <w:pPr>
              <w:spacing w:after="0" w:line="240"/>
            </w:pPr>
            <w:r>
              <w:rPr>
                <w:rFonts w:ascii="Consolas" w:cs="Consolas" w:eastAsia="Consolas" w:hAnsi="Consolas"/>
                <w:sz w:val="17"/>
                <w:szCs w:val="17"/>
              </w:rPr>
              <w:t xml:space="preserve">    suppressed_reason: str | None     # DISAGREEMENT | CAPACITY | STALE | LOW_CONF</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 Point-in-time provenance  [NEW]</w:t>
            </w:r>
          </w:p>
          <w:p>
            <w:pPr>
              <w:spacing w:after="0" w:line="240"/>
            </w:pPr>
            <w:r>
              <w:rPr>
                <w:rFonts w:ascii="Consolas" w:cs="Consolas" w:eastAsia="Consolas" w:hAnsi="Consolas"/>
                <w:sz w:val="17"/>
                <w:szCs w:val="17"/>
              </w:rPr>
              <w:t xml:space="preserve">    feature_asof_ts: datetime         # data cutoff used to build features</w:t>
            </w:r>
          </w:p>
          <w:p>
            <w:pPr>
              <w:spacing w:after="0" w:line="240"/>
            </w:pPr>
            <w:r>
              <w:rPr>
                <w:rFonts w:ascii="Consolas" w:cs="Consolas" w:eastAsia="Consolas" w:hAnsi="Consolas"/>
                <w:sz w:val="17"/>
                <w:szCs w:val="17"/>
              </w:rPr>
              <w:t xml:space="preserve">    data_vintage: str                 # snapshot id of the PIT dataset</w:t>
            </w:r>
          </w:p>
          <w:p>
            <w:pPr>
              <w:spacing w:after="0" w:line="240"/>
            </w:pPr>
            <w:r>
              <w:rPr>
                <w:rFonts w:ascii="Consolas" w:cs="Consolas" w:eastAsia="Consolas" w:hAnsi="Consolas"/>
                <w:sz w:val="17"/>
                <w:szCs w:val="17"/>
              </w:rPr>
              <w:t xml:space="preserve">    lookahead_guard_passed: bool</w:t>
            </w:r>
          </w:p>
        </w:tc>
      </w:tr>
    </w:tbl>
    <w:p>
      <w:pPr>
        <w:spacing w:after="140"/>
      </w:pPr>
      <w:r>
        <w:t xml:space="preserve"/>
      </w:r>
    </w:p>
    <w:p>
      <w:pPr>
        <w:pStyle w:val="Heading2"/>
        <w:spacing w:after="120" w:before="260"/>
      </w:pPr>
      <w:r>
        <w:rPr>
          <w:rFonts w:ascii="Calibri" w:cs="Calibri" w:eastAsia="Calibri" w:hAnsi="Calibri"/>
          <w:b/>
          <w:bCs/>
          <w:color w:val="1F3864"/>
          <w:sz w:val="25"/>
          <w:szCs w:val="25"/>
        </w:rPr>
        <w:t xml:space="preserve">4.6 Execution flow [REVISED]</w:t>
      </w:r>
    </w:p>
    <w:tbl>
      <w:tblPr>
        <w:tblW w:type="dxa" w:w="9000"/>
        <w:tblBorders>
          <w:top w:val="single" w:color="C7CDD6" w:sz="4"/>
          <w:left w:val="single" w:color="C7CDD6" w:sz="4"/>
          <w:bottom w:val="single" w:color="C7CDD6" w:sz="4"/>
          <w:right w:val="single" w:color="C7CDD6" w:sz="4"/>
          <w:insideH w:val="none" w:color="auto" w:sz="0"/>
          <w:insideV w:val="none" w:color="auto" w:sz="0"/>
        </w:tblBorders>
      </w:tblPr>
      <w:tblGrid>
        <w:gridCol w:w="9000"/>
      </w:tblGrid>
      <w:tr>
        <w:tc>
          <w:tcPr>
            <w:tcW w:type="dxa" w:w="9000"/>
            <w:shd w:fill="F4F5F7"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START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PARALLEL: [Statistician]  [Contextualist]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[Signal Quality Router]</w:t>
            </w:r>
          </w:p>
          <w:p>
            <w:pPr>
              <w:spacing w:after="0" w:line="240"/>
            </w:pPr>
            <w:r>
              <w:rPr>
                <w:rFonts w:ascii="Consolas" w:cs="Consolas" w:eastAsia="Consolas" w:hAnsi="Consolas"/>
                <w:sz w:val="17"/>
                <w:szCs w:val="17"/>
              </w:rPr>
              <w:t xml:space="preserve">        |-- BOTH HIGH  -&gt; [Decision Maker] -&gt; [Signal Generator] -&gt; [Snowflake]</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                                          +-&gt; trade-signals topic</w:t>
            </w:r>
          </w:p>
          <w:p>
            <w:pPr>
              <w:spacing w:after="0" w:line="240"/>
            </w:pPr>
            <w:r>
              <w:rPr>
                <w:rFonts w:ascii="Consolas" w:cs="Consolas" w:eastAsia="Consolas" w:hAnsi="Consolas"/>
                <w:sz w:val="17"/>
                <w:szCs w:val="17"/>
              </w:rPr>
              <w:t xml:space="preserve">        |-- ONE LOW    -&gt; [Retry Collector] -&gt; loop (max 3x)</w:t>
            </w:r>
          </w:p>
          <w:p>
            <w:pPr>
              <w:spacing w:after="0" w:line="240"/>
            </w:pPr>
            <w:r>
              <w:rPr>
                <w:rFonts w:ascii="Consolas" w:cs="Consolas" w:eastAsia="Consolas" w:hAnsi="Consolas"/>
                <w:sz w:val="17"/>
                <w:szCs w:val="17"/>
              </w:rPr>
              <w:t xml:space="preserve">        +-- BOTH FAIL  -&gt; [Error Logger] -&gt; END (INCONCLUSIVE)</w:t>
            </w:r>
          </w:p>
        </w:tc>
      </w:tr>
    </w:tbl>
    <w:p>
      <w:r>
        <w:br w:type="page"/>
      </w:r>
    </w:p>
    <w:p>
      <w:pPr>
        <w:pStyle w:val="Heading1"/>
        <w:spacing w:after="160" w:before="360"/>
      </w:pPr>
      <w:r>
        <w:rPr>
          <w:rFonts w:ascii="Calibri" w:cs="Calibri" w:eastAsia="Calibri" w:hAnsi="Calibri"/>
          <w:b/>
          <w:bCs/>
          <w:color w:val="1F3864"/>
          <w:sz w:val="30"/>
          <w:szCs w:val="30"/>
        </w:rPr>
        <w:t xml:space="preserve">5. Backtesting and Validation Framework [NEW]</w:t>
      </w:r>
    </w:p>
    <w:p>
      <w:pPr>
        <w:spacing w:after="120" w:line="276"/>
      </w:pPr>
      <w:r>
        <w:rPr>
          <w:rFonts w:ascii="Calibri" w:cs="Calibri" w:eastAsia="Calibri" w:hAnsi="Calibri"/>
          <w:sz w:val="21"/>
          <w:szCs w:val="21"/>
        </w:rPr>
        <w:t xml:space="preserve">This section is the main new engineering deliverable of v3.0 and the single thing most likely to be attacked by a knowledgeable reader. It is specified in more detail than anything else in this document for that reason.</w:t>
      </w:r>
    </w:p>
    <w:p>
      <w:pPr>
        <w:pStyle w:val="Heading2"/>
        <w:spacing w:after="120" w:before="260"/>
      </w:pPr>
      <w:r>
        <w:rPr>
          <w:rFonts w:ascii="Calibri" w:cs="Calibri" w:eastAsia="Calibri" w:hAnsi="Calibri"/>
          <w:b/>
          <w:bCs/>
          <w:color w:val="1F3864"/>
          <w:sz w:val="25"/>
          <w:szCs w:val="25"/>
        </w:rPr>
        <w:t xml:space="preserve">5.1 Engine selection</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1900"/>
        <w:gridCol w:w="1500"/>
        <w:gridCol w:w="5600"/>
      </w:tblGrid>
      <w:tr>
        <w:trPr>
          <w:tblHeader/>
        </w:trPr>
        <w:tc>
          <w:tcPr>
            <w:tcW w:type="dxa" w:w="19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Option</w:t>
            </w:r>
          </w:p>
        </w:tc>
        <w:tc>
          <w:tcPr>
            <w:tcW w:type="dxa" w:w="15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Verdict</w:t>
            </w:r>
          </w:p>
        </w:tc>
        <w:tc>
          <w:tcPr>
            <w:tcW w:type="dxa" w:w="56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Reason</w:t>
            </w:r>
          </w:p>
        </w:tc>
      </w:tr>
      <w:tr>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vectorbt</w:t>
            </w:r>
          </w:p>
        </w:tc>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SELECTED</w:t>
            </w:r>
          </w:p>
        </w:tc>
        <w:tc>
          <w:tcPr>
            <w:tcW w:type="dxa" w:w="5600"/>
            <w:tcMar>
              <w:top w:type="dxa" w:w="80"/>
              <w:left w:type="dxa" w:w="110"/>
              <w:bottom w:type="dxa" w:w="80"/>
              <w:right w:type="dxa" w:w="110"/>
            </w:tcMar>
          </w:tcPr>
          <w:p>
            <w:pPr>
              <w:spacing w:after="0"/>
            </w:pPr>
            <w:r>
              <w:rPr>
                <w:rFonts w:ascii="Calibri" w:cs="Calibri" w:eastAsia="Calibri" w:hAnsi="Calibri"/>
                <w:sz w:val="19"/>
                <w:szCs w:val="19"/>
              </w:rPr>
              <w:t xml:space="preserve">Vectorised, fast enough for sweeps, runs natively on Databricks, good portfolio analytics out of the box</w:t>
            </w:r>
          </w:p>
        </w:tc>
      </w:tr>
      <w:tr>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backtrader</w:t>
            </w:r>
          </w:p>
        </w:tc>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Rejected</w:t>
            </w:r>
          </w:p>
        </w:tc>
        <w:tc>
          <w:tcPr>
            <w:tcW w:type="dxa" w:w="5600"/>
            <w:tcMar>
              <w:top w:type="dxa" w:w="80"/>
              <w:left w:type="dxa" w:w="110"/>
              <w:bottom w:type="dxa" w:w="80"/>
              <w:right w:type="dxa" w:w="110"/>
            </w:tcMar>
          </w:tcPr>
          <w:p>
            <w:pPr>
              <w:spacing w:after="0"/>
            </w:pPr>
            <w:r>
              <w:rPr>
                <w:rFonts w:ascii="Calibri" w:cs="Calibri" w:eastAsia="Calibri" w:hAnsi="Calibri"/>
                <w:sz w:val="19"/>
                <w:szCs w:val="19"/>
              </w:rPr>
              <w:t xml:space="preserve">Event-loop model is slow for parameter sweeps; project is effectively unmaintained</w:t>
            </w:r>
          </w:p>
        </w:tc>
      </w:tr>
      <w:tr>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zipline-reloaded</w:t>
            </w:r>
          </w:p>
        </w:tc>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Rejected</w:t>
            </w:r>
          </w:p>
        </w:tc>
        <w:tc>
          <w:tcPr>
            <w:tcW w:type="dxa" w:w="5600"/>
            <w:tcMar>
              <w:top w:type="dxa" w:w="80"/>
              <w:left w:type="dxa" w:w="110"/>
              <w:bottom w:type="dxa" w:w="80"/>
              <w:right w:type="dxa" w:w="110"/>
            </w:tcMar>
          </w:tcPr>
          <w:p>
            <w:pPr>
              <w:spacing w:after="0"/>
            </w:pPr>
            <w:r>
              <w:rPr>
                <w:rFonts w:ascii="Calibri" w:cs="Calibri" w:eastAsia="Calibri" w:hAnsi="Calibri"/>
                <w:sz w:val="19"/>
                <w:szCs w:val="19"/>
              </w:rPr>
              <w:t xml:space="preserve">Heavy data-bundle ceremony, poor fit for intraday non-US data</w:t>
            </w:r>
          </w:p>
        </w:tc>
      </w:tr>
      <w:tr>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Custom pandas loop</w:t>
            </w:r>
          </w:p>
        </w:tc>
        <w:tc>
          <w:tcPr>
            <w:tcW w:type="dxa" w:w="1500"/>
            <w:tcMar>
              <w:top w:type="dxa" w:w="80"/>
              <w:left w:type="dxa" w:w="110"/>
              <w:bottom w:type="dxa" w:w="80"/>
              <w:right w:type="dxa" w:w="110"/>
            </w:tcMar>
          </w:tcPr>
          <w:p>
            <w:pPr>
              <w:spacing w:after="0"/>
            </w:pPr>
            <w:r>
              <w:rPr>
                <w:rFonts w:ascii="Calibri" w:cs="Calibri" w:eastAsia="Calibri" w:hAnsi="Calibri"/>
                <w:sz w:val="19"/>
                <w:szCs w:val="19"/>
              </w:rPr>
              <w:t xml:space="preserve">Rejected</w:t>
            </w:r>
          </w:p>
        </w:tc>
        <w:tc>
          <w:tcPr>
            <w:tcW w:type="dxa" w:w="5600"/>
            <w:tcMar>
              <w:top w:type="dxa" w:w="80"/>
              <w:left w:type="dxa" w:w="110"/>
              <w:bottom w:type="dxa" w:w="80"/>
              <w:right w:type="dxa" w:w="110"/>
            </w:tcMar>
          </w:tcPr>
          <w:p>
            <w:pPr>
              <w:spacing w:after="0"/>
            </w:pPr>
            <w:r>
              <w:rPr>
                <w:rFonts w:ascii="Calibri" w:cs="Calibri" w:eastAsia="Calibri" w:hAnsi="Calibri"/>
                <w:sz w:val="19"/>
                <w:szCs w:val="19"/>
              </w:rPr>
              <w:t xml:space="preserve">Every hand-rolled backtester acquires a lookahead bug. Do not.</w:t>
            </w:r>
          </w:p>
        </w:tc>
      </w:tr>
    </w:tbl>
    <w:p>
      <w:pPr>
        <w:spacing w:after="140"/>
      </w:pPr>
      <w:r>
        <w:t xml:space="preserve"/>
      </w:r>
    </w:p>
    <w:p>
      <w:pPr>
        <w:pStyle w:val="Heading2"/>
        <w:spacing w:after="120" w:before="260"/>
      </w:pPr>
      <w:r>
        <w:rPr>
          <w:rFonts w:ascii="Calibri" w:cs="Calibri" w:eastAsia="Calibri" w:hAnsi="Calibri"/>
          <w:b/>
          <w:bCs/>
          <w:color w:val="1F3864"/>
          <w:sz w:val="25"/>
          <w:szCs w:val="25"/>
        </w:rPr>
        <w:t xml:space="preserve">5.2 Transaction cost model</w:t>
      </w:r>
    </w:p>
    <w:p>
      <w:pPr>
        <w:spacing w:after="120" w:line="276"/>
      </w:pPr>
      <w:r>
        <w:rPr>
          <w:rFonts w:ascii="Calibri" w:cs="Calibri" w:eastAsia="Calibri" w:hAnsi="Calibri"/>
          <w:sz w:val="21"/>
          <w:szCs w:val="21"/>
        </w:rPr>
        <w:t xml:space="preserve">An uncosted backtest is not evidence. The cost model below is deliberately conservative — if the signal survives it, the result is credible; if it only works with optimistic costs, that is itself the finding.</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2100"/>
        <w:gridCol w:w="3600"/>
        <w:gridCol w:w="3300"/>
      </w:tblGrid>
      <w:tr>
        <w:trPr>
          <w:tblHeader/>
        </w:trPr>
        <w:tc>
          <w:tcPr>
            <w:tcW w:type="dxa" w:w="21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Cost component</w:t>
            </w:r>
          </w:p>
        </w:tc>
        <w:tc>
          <w:tcPr>
            <w:tcW w:type="dxa" w:w="36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NSE assumption</w:t>
            </w:r>
          </w:p>
        </w:tc>
        <w:tc>
          <w:tcPr>
            <w:tcW w:type="dxa" w:w="33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SGX assumption</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Brokerage</w:t>
            </w:r>
          </w:p>
        </w:tc>
        <w:tc>
          <w:tcPr>
            <w:tcW w:type="dxa" w:w="3600"/>
            <w:tcMar>
              <w:top w:type="dxa" w:w="80"/>
              <w:left w:type="dxa" w:w="110"/>
              <w:bottom w:type="dxa" w:w="80"/>
              <w:right w:type="dxa" w:w="110"/>
            </w:tcMar>
          </w:tcPr>
          <w:p>
            <w:pPr>
              <w:spacing w:after="0"/>
            </w:pPr>
            <w:r>
              <w:rPr>
                <w:rFonts w:ascii="Calibri" w:cs="Calibri" w:eastAsia="Calibri" w:hAnsi="Calibri"/>
                <w:sz w:val="19"/>
                <w:szCs w:val="19"/>
              </w:rPr>
              <w:t xml:space="preserve">₹20 per order or 0.03%, whichever is lower</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0.08% or SGD 25 minimum</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Exchange + regulatory</w:t>
            </w:r>
          </w:p>
        </w:tc>
        <w:tc>
          <w:tcPr>
            <w:tcW w:type="dxa" w:w="3600"/>
            <w:tcMar>
              <w:top w:type="dxa" w:w="80"/>
              <w:left w:type="dxa" w:w="110"/>
              <w:bottom w:type="dxa" w:w="80"/>
              <w:right w:type="dxa" w:w="110"/>
            </w:tcMar>
          </w:tcPr>
          <w:p>
            <w:pPr>
              <w:spacing w:after="0"/>
            </w:pPr>
            <w:r>
              <w:rPr>
                <w:rFonts w:ascii="Calibri" w:cs="Calibri" w:eastAsia="Calibri" w:hAnsi="Calibri"/>
                <w:sz w:val="19"/>
                <w:szCs w:val="19"/>
              </w:rPr>
              <w:t xml:space="preserve">STT 0.025% on sell side, transaction charges ~0.00325%</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Clearing 0.0325%, SGX access fee</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Bid-ask spread</w:t>
            </w:r>
          </w:p>
        </w:tc>
        <w:tc>
          <w:tcPr>
            <w:tcW w:type="dxa" w:w="3600"/>
            <w:tcMar>
              <w:top w:type="dxa" w:w="80"/>
              <w:left w:type="dxa" w:w="110"/>
              <w:bottom w:type="dxa" w:w="80"/>
              <w:right w:type="dxa" w:w="110"/>
            </w:tcMar>
          </w:tcPr>
          <w:p>
            <w:pPr>
              <w:spacing w:after="0"/>
            </w:pPr>
            <w:r>
              <w:rPr>
                <w:rFonts w:ascii="Calibri" w:cs="Calibri" w:eastAsia="Calibri" w:hAnsi="Calibri"/>
                <w:sz w:val="19"/>
                <w:szCs w:val="19"/>
              </w:rPr>
              <w:t xml:space="preserve">Half-spread paid on entry and exit; tier-dependent (Large 2bps, Mid 8bps)</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Half-spread, STI 3bps</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Slippage</w:t>
            </w:r>
          </w:p>
        </w:tc>
        <w:tc>
          <w:tcPr>
            <w:tcW w:type="dxa" w:w="3600"/>
            <w:tcMar>
              <w:top w:type="dxa" w:w="80"/>
              <w:left w:type="dxa" w:w="110"/>
              <w:bottom w:type="dxa" w:w="80"/>
              <w:right w:type="dxa" w:w="110"/>
            </w:tcMar>
          </w:tcPr>
          <w:p>
            <w:pPr>
              <w:spacing w:after="0"/>
            </w:pPr>
            <w:r>
              <w:rPr>
                <w:rFonts w:ascii="Calibri" w:cs="Calibri" w:eastAsia="Calibri" w:hAnsi="Calibri"/>
                <w:sz w:val="19"/>
                <w:szCs w:val="19"/>
              </w:rPr>
              <w:t xml:space="preserve">0.5 × spread additional under event-driven volatility</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Same treatment</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Market impact</w:t>
            </w:r>
          </w:p>
        </w:tc>
        <w:tc>
          <w:tcPr>
            <w:tcW w:type="dxa" w:w="3600"/>
            <w:tcMar>
              <w:top w:type="dxa" w:w="80"/>
              <w:left w:type="dxa" w:w="110"/>
              <w:bottom w:type="dxa" w:w="80"/>
              <w:right w:type="dxa" w:w="110"/>
            </w:tcMar>
          </w:tcPr>
          <w:p>
            <w:pPr>
              <w:spacing w:after="0"/>
            </w:pPr>
            <w:r>
              <w:rPr>
                <w:rFonts w:ascii="Calibri" w:cs="Calibri" w:eastAsia="Calibri" w:hAnsi="Calibri"/>
                <w:sz w:val="19"/>
                <w:szCs w:val="19"/>
              </w:rPr>
              <w:t xml:space="preserve">Square-root model: impact ∝ sigma × sqrt(order / ADV)</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Same model</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Stamp duty / GST</w:t>
            </w:r>
          </w:p>
        </w:tc>
        <w:tc>
          <w:tcPr>
            <w:tcW w:type="dxa" w:w="3600"/>
            <w:tcMar>
              <w:top w:type="dxa" w:w="80"/>
              <w:left w:type="dxa" w:w="110"/>
              <w:bottom w:type="dxa" w:w="80"/>
              <w:right w:type="dxa" w:w="110"/>
            </w:tcMar>
          </w:tcPr>
          <w:p>
            <w:pPr>
              <w:spacing w:after="0"/>
            </w:pPr>
            <w:r>
              <w:rPr>
                <w:rFonts w:ascii="Calibri" w:cs="Calibri" w:eastAsia="Calibri" w:hAnsi="Calibri"/>
                <w:sz w:val="19"/>
                <w:szCs w:val="19"/>
              </w:rPr>
              <w:t xml:space="preserve">Applied per Indian schedule</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N/A</w:t>
            </w:r>
          </w:p>
        </w:tc>
      </w:tr>
    </w:tbl>
    <w:p>
      <w:pPr>
        <w:spacing w:after="140"/>
      </w:pPr>
      <w:r>
        <w:t xml:space="preserve"/>
      </w:r>
    </w:p>
    <w:tbl>
      <w:tblPr>
        <w:tblW w:type="dxa" w:w="9000"/>
        <w:tblBorders>
          <w:top w:val="single" w:color="C9B896" w:sz="4"/>
          <w:left w:val="single" w:color="C9B896" w:sz="4"/>
          <w:bottom w:val="single" w:color="C9B896" w:sz="4"/>
          <w:right w:val="single" w:color="C9B896" w:sz="4"/>
          <w:insideH w:val="none" w:color="auto" w:sz="0"/>
          <w:insideV w:val="none" w:color="auto" w:sz="0"/>
        </w:tblBorders>
      </w:tblPr>
      <w:tblGrid>
        <w:gridCol w:w="1500"/>
        <w:gridCol w:w="7500"/>
      </w:tblGrid>
      <w:tr>
        <w:tc>
          <w:tcPr>
            <w:tcW w:type="dxa" w:w="1500"/>
            <w:shd w:fill="FDF3E3"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DISCIPLINE</w:t>
            </w:r>
          </w:p>
        </w:tc>
        <w:tc>
          <w:tcPr>
            <w:tcW w:type="dxa" w:w="7500"/>
            <w:shd w:fill="FDF3E3" w:color="auto" w:val="clear"/>
            <w:tcMar>
              <w:top w:type="dxa" w:w="80"/>
              <w:left w:type="dxa" w:w="110"/>
              <w:bottom w:type="dxa" w:w="80"/>
              <w:right w:type="dxa" w:w="110"/>
            </w:tcMar>
          </w:tcPr>
          <w:p>
            <w:pPr>
              <w:spacing w:after="0"/>
            </w:pPr>
            <w:r>
              <w:rPr>
                <w:rFonts w:ascii="Calibri" w:cs="Calibri" w:eastAsia="Calibri" w:hAnsi="Calibri"/>
                <w:sz w:val="19"/>
                <w:szCs w:val="19"/>
              </w:rPr>
              <w:t xml:space="preserve">Report three equity curves side by side on every result: gross, net of explicit costs, and net of explicit costs plus impact. The gap between the first and third is the honest measure of how fragile the edge is.</w:t>
            </w:r>
          </w:p>
        </w:tc>
      </w:tr>
    </w:tbl>
    <w:p>
      <w:pPr>
        <w:spacing w:after="140"/>
      </w:pPr>
      <w:r>
        <w:t xml:space="preserve"/>
      </w:r>
    </w:p>
    <w:p>
      <w:pPr>
        <w:pStyle w:val="Heading2"/>
        <w:spacing w:after="120" w:before="260"/>
      </w:pPr>
      <w:r>
        <w:rPr>
          <w:rFonts w:ascii="Calibri" w:cs="Calibri" w:eastAsia="Calibri" w:hAnsi="Calibri"/>
          <w:b/>
          <w:bCs/>
          <w:color w:val="1F3864"/>
          <w:sz w:val="25"/>
          <w:szCs w:val="25"/>
        </w:rPr>
        <w:t xml:space="preserve">5.3 Point-in-time data integrity</w:t>
      </w:r>
    </w:p>
    <w:p>
      <w:pPr>
        <w:spacing w:after="120" w:line="276"/>
      </w:pPr>
      <w:r>
        <w:rPr>
          <w:rFonts w:ascii="Calibri" w:cs="Calibri" w:eastAsia="Calibri" w:hAnsi="Calibri"/>
          <w:sz w:val="21"/>
          <w:szCs w:val="21"/>
        </w:rPr>
        <w:t xml:space="preserve">This is where a cheap project quietly becomes a wrong project. Free historical feeds are adjusted and backfilled — split and dividend adjustments are applied retroactively, delisted names disappear from the universe entirely, and news timestamps reflect index time rather than publication time. Any one of these produces a backtest that cannot have been traded.</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1700"/>
        <w:gridCol w:w="3300"/>
        <w:gridCol w:w="4000"/>
      </w:tblGrid>
      <w:tr>
        <w:trPr>
          <w:tblHeader/>
        </w:trPr>
        <w:tc>
          <w:tcPr>
            <w:tcW w:type="dxa" w:w="17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Hazard</w:t>
            </w:r>
          </w:p>
        </w:tc>
        <w:tc>
          <w:tcPr>
            <w:tcW w:type="dxa" w:w="33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How it enters MED</w:t>
            </w:r>
          </w:p>
        </w:tc>
        <w:tc>
          <w:tcPr>
            <w:tcW w:type="dxa" w:w="40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Control</w:t>
            </w:r>
          </w:p>
        </w:tc>
      </w:tr>
      <w:tr>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Lookahead bias</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Features computed on data unavailable at T_event</w:t>
            </w:r>
          </w:p>
        </w:tc>
        <w:tc>
          <w:tcPr>
            <w:tcW w:type="dxa" w:w="4000"/>
            <w:tcMar>
              <w:top w:type="dxa" w:w="80"/>
              <w:left w:type="dxa" w:w="110"/>
              <w:bottom w:type="dxa" w:w="80"/>
              <w:right w:type="dxa" w:w="110"/>
            </w:tcMar>
          </w:tcPr>
          <w:p>
            <w:pPr>
              <w:spacing w:after="0"/>
            </w:pPr>
            <w:r>
              <w:rPr>
                <w:rFonts w:ascii="Calibri" w:cs="Calibri" w:eastAsia="Calibri" w:hAnsi="Calibri"/>
                <w:sz w:val="19"/>
                <w:szCs w:val="19"/>
              </w:rPr>
              <w:t xml:space="preserve">feature_asof_ts stamped on every row; assertion test fails the DAG if asof &gt; event ts</w:t>
            </w:r>
          </w:p>
        </w:tc>
      </w:tr>
      <w:tr>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Survivorship bias</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yfinance universe contains only currently listed names</w:t>
            </w:r>
          </w:p>
        </w:tc>
        <w:tc>
          <w:tcPr>
            <w:tcW w:type="dxa" w:w="4000"/>
            <w:tcMar>
              <w:top w:type="dxa" w:w="80"/>
              <w:left w:type="dxa" w:w="110"/>
              <w:bottom w:type="dxa" w:w="80"/>
              <w:right w:type="dxa" w:w="110"/>
            </w:tcMar>
          </w:tcPr>
          <w:p>
            <w:pPr>
              <w:spacing w:after="0"/>
            </w:pPr>
            <w:r>
              <w:rPr>
                <w:rFonts w:ascii="Calibri" w:cs="Calibri" w:eastAsia="Calibri" w:hAnsi="Calibri"/>
                <w:sz w:val="19"/>
                <w:szCs w:val="19"/>
              </w:rPr>
              <w:t xml:space="preserve">Reconstruct historical index membership; include delisted names in the research universe</w:t>
            </w:r>
          </w:p>
        </w:tc>
      </w:tr>
      <w:tr>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Adjustment bias</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Retroactively adjusted prices flatter the entry price</w:t>
            </w:r>
          </w:p>
        </w:tc>
        <w:tc>
          <w:tcPr>
            <w:tcW w:type="dxa" w:w="4000"/>
            <w:tcMar>
              <w:top w:type="dxa" w:w="80"/>
              <w:left w:type="dxa" w:w="110"/>
              <w:bottom w:type="dxa" w:w="80"/>
              <w:right w:type="dxa" w:w="110"/>
            </w:tcMar>
          </w:tcPr>
          <w:p>
            <w:pPr>
              <w:spacing w:after="0"/>
            </w:pPr>
            <w:r>
              <w:rPr>
                <w:rFonts w:ascii="Calibri" w:cs="Calibri" w:eastAsia="Calibri" w:hAnsi="Calibri"/>
                <w:sz w:val="19"/>
                <w:szCs w:val="19"/>
              </w:rPr>
              <w:t xml:space="preserve">Use unadjusted prices for signal logic; adjust only for return computation</w:t>
            </w:r>
          </w:p>
        </w:tc>
      </w:tr>
      <w:tr>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Timestamp bias</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News timestamp = crawl time, not publication time</w:t>
            </w:r>
          </w:p>
        </w:tc>
        <w:tc>
          <w:tcPr>
            <w:tcW w:type="dxa" w:w="4000"/>
            <w:tcMar>
              <w:top w:type="dxa" w:w="80"/>
              <w:left w:type="dxa" w:w="110"/>
              <w:bottom w:type="dxa" w:w="80"/>
              <w:right w:type="dxa" w:w="110"/>
            </w:tcMar>
          </w:tcPr>
          <w:p>
            <w:pPr>
              <w:spacing w:after="0"/>
            </w:pPr>
            <w:r>
              <w:rPr>
                <w:rFonts w:ascii="Calibri" w:cs="Calibri" w:eastAsia="Calibri" w:hAnsi="Calibri"/>
                <w:sz w:val="19"/>
                <w:szCs w:val="19"/>
              </w:rPr>
              <w:t xml:space="preserve">Store both ts_published and ts_ingested; use the later of the two as T_event</w:t>
            </w:r>
          </w:p>
        </w:tc>
      </w:tr>
      <w:tr>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Restatement bias</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Fundamentals revised after the fact</w:t>
            </w:r>
          </w:p>
        </w:tc>
        <w:tc>
          <w:tcPr>
            <w:tcW w:type="dxa" w:w="4000"/>
            <w:tcMar>
              <w:top w:type="dxa" w:w="80"/>
              <w:left w:type="dxa" w:w="110"/>
              <w:bottom w:type="dxa" w:w="80"/>
              <w:right w:type="dxa" w:w="110"/>
            </w:tcMar>
          </w:tcPr>
          <w:p>
            <w:pPr>
              <w:spacing w:after="0"/>
            </w:pPr>
            <w:r>
              <w:rPr>
                <w:rFonts w:ascii="Calibri" w:cs="Calibri" w:eastAsia="Calibri" w:hAnsi="Calibri"/>
                <w:sz w:val="19"/>
                <w:szCs w:val="19"/>
              </w:rPr>
              <w:t xml:space="preserve">Not applicable in v2.5 (no fundamentals in signal); becomes relevant if added in v3</w:t>
            </w:r>
          </w:p>
        </w:tc>
      </w:tr>
    </w:tbl>
    <w:p>
      <w:pPr>
        <w:spacing w:after="140"/>
      </w:pPr>
      <w:r>
        <w:t xml:space="preserve"/>
      </w:r>
    </w:p>
    <w:p>
      <w:pPr>
        <w:spacing w:after="120" w:line="276"/>
      </w:pPr>
      <w:r>
        <w:rPr>
          <w:rFonts w:ascii="Calibri" w:cs="Calibri" w:eastAsia="Calibri" w:hAnsi="Calibri"/>
          <w:sz w:val="21"/>
          <w:szCs w:val="21"/>
        </w:rPr>
        <w:t xml:space="preserve">Mitigating these properly is the one place where the pivot costs real money. A point-in-time intraday source (Polygon.io, Tiingo, or an equivalent Indian vendor) runs roughly ₹2,000–2,800 per month. This is the recommended spend; everything else in the pivot is hours.</w:t>
      </w:r>
    </w:p>
    <w:p>
      <w:pPr>
        <w:spacing w:after="140"/>
      </w:pPr>
      <w:r>
        <w:t xml:space="preserve"/>
      </w:r>
    </w:p>
    <w:p>
      <w:pPr>
        <w:pStyle w:val="Heading2"/>
        <w:spacing w:after="120" w:before="260"/>
      </w:pPr>
      <w:r>
        <w:rPr>
          <w:rFonts w:ascii="Calibri" w:cs="Calibri" w:eastAsia="Calibri" w:hAnsi="Calibri"/>
          <w:b/>
          <w:bCs/>
          <w:color w:val="1F3864"/>
          <w:sz w:val="25"/>
          <w:szCs w:val="25"/>
        </w:rPr>
        <w:t xml:space="preserve">5.4 Statistical validation protocol</w:t>
      </w:r>
    </w:p>
    <w:p>
      <w:pPr>
        <w:pStyle w:val="ListParagraph"/>
        <w:numPr>
          <w:ilvl w:val="0"/>
          <w:numId w:val="2"/>
        </w:numPr>
        <w:spacing w:after="80" w:line="276"/>
      </w:pPr>
      <w:r>
        <w:rPr>
          <w:rFonts w:ascii="Calibri" w:cs="Calibri" w:eastAsia="Calibri" w:hAnsi="Calibri"/>
          <w:sz w:val="21"/>
          <w:szCs w:val="21"/>
        </w:rPr>
        <w:t xml:space="preserve">Walk-forward analysis: train on 12 months, test on the following 3, roll forward. Never a single in-sample fit.</w:t>
      </w:r>
    </w:p>
    <w:p>
      <w:pPr>
        <w:pStyle w:val="ListParagraph"/>
        <w:numPr>
          <w:ilvl w:val="0"/>
          <w:numId w:val="2"/>
        </w:numPr>
        <w:spacing w:after="80" w:line="276"/>
      </w:pPr>
      <w:r>
        <w:rPr>
          <w:rFonts w:ascii="Calibri" w:cs="Calibri" w:eastAsia="Calibri" w:hAnsi="Calibri"/>
          <w:sz w:val="21"/>
          <w:szCs w:val="21"/>
        </w:rPr>
        <w:t xml:space="preserve">Purged and embargoed cross-validation: purge overlapping label windows, embargo the bars immediately following each test fold to prevent leakage through the T_efficient label.</w:t>
      </w:r>
    </w:p>
    <w:p>
      <w:pPr>
        <w:pStyle w:val="ListParagraph"/>
        <w:numPr>
          <w:ilvl w:val="0"/>
          <w:numId w:val="2"/>
        </w:numPr>
        <w:spacing w:after="80" w:line="276"/>
      </w:pPr>
      <w:r>
        <w:rPr>
          <w:rFonts w:ascii="Calibri" w:cs="Calibri" w:eastAsia="Calibri" w:hAnsi="Calibri"/>
          <w:sz w:val="21"/>
          <w:szCs w:val="21"/>
        </w:rPr>
        <w:t xml:space="preserve">Deflated Sharpe ratio: maintain a running count of every strategy variant tested in med_backtest_sweep and deflate accordingly. The variant counter is a database table, not a memory.</w:t>
      </w:r>
    </w:p>
    <w:p>
      <w:pPr>
        <w:pStyle w:val="ListParagraph"/>
        <w:numPr>
          <w:ilvl w:val="0"/>
          <w:numId w:val="2"/>
        </w:numPr>
        <w:spacing w:after="80" w:line="276"/>
      </w:pPr>
      <w:r>
        <w:rPr>
          <w:rFonts w:ascii="Calibri" w:cs="Calibri" w:eastAsia="Calibri" w:hAnsi="Calibri"/>
          <w:sz w:val="21"/>
          <w:szCs w:val="21"/>
        </w:rPr>
        <w:t xml:space="preserve">Null-model comparison: benchmark against (a) random entry with identical holding periods, (b) buy-and-hold on the universe, (c) a naive momentum rule on the same events.</w:t>
      </w:r>
    </w:p>
    <w:p>
      <w:pPr>
        <w:pStyle w:val="ListParagraph"/>
        <w:numPr>
          <w:ilvl w:val="0"/>
          <w:numId w:val="2"/>
        </w:numPr>
        <w:spacing w:after="80" w:line="276"/>
      </w:pPr>
      <w:r>
        <w:rPr>
          <w:rFonts w:ascii="Calibri" w:cs="Calibri" w:eastAsia="Calibri" w:hAnsi="Calibri"/>
          <w:sz w:val="21"/>
          <w:szCs w:val="21"/>
        </w:rPr>
        <w:t xml:space="preserve">Regime split: report performance separately for trending, mean-reverting and high-volatility regimes as classified by the HMM.</w:t>
      </w:r>
    </w:p>
    <w:p>
      <w:pPr>
        <w:pStyle w:val="ListParagraph"/>
        <w:numPr>
          <w:ilvl w:val="0"/>
          <w:numId w:val="2"/>
        </w:numPr>
        <w:spacing w:after="80" w:line="276"/>
      </w:pPr>
      <w:r>
        <w:rPr>
          <w:rFonts w:ascii="Calibri" w:cs="Calibri" w:eastAsia="Calibri" w:hAnsi="Calibri"/>
          <w:sz w:val="21"/>
          <w:szCs w:val="21"/>
        </w:rPr>
        <w:t xml:space="preserve">Out-of-market test: fit on NSE, test on SGX without refitting. This is the strongest single piece of evidence available for the money.</w:t>
      </w:r>
    </w:p>
    <w:p>
      <w:pPr>
        <w:spacing w:after="140"/>
      </w:pPr>
      <w:r>
        <w:t xml:space="preserve"/>
      </w:r>
    </w:p>
    <w:p>
      <w:pPr>
        <w:pStyle w:val="Heading2"/>
        <w:spacing w:after="120" w:before="260"/>
      </w:pPr>
      <w:r>
        <w:rPr>
          <w:rFonts w:ascii="Calibri" w:cs="Calibri" w:eastAsia="Calibri" w:hAnsi="Calibri"/>
          <w:b/>
          <w:bCs/>
          <w:color w:val="1F3864"/>
          <w:sz w:val="25"/>
          <w:szCs w:val="25"/>
        </w:rPr>
        <w:t xml:space="preserve">5.5 Kill criteria</w:t>
      </w:r>
    </w:p>
    <w:p>
      <w:pPr>
        <w:spacing w:after="120" w:line="276"/>
      </w:pPr>
      <w:r>
        <w:rPr>
          <w:rFonts w:ascii="Calibri" w:cs="Calibri" w:eastAsia="Calibri" w:hAnsi="Calibri"/>
          <w:sz w:val="21"/>
          <w:szCs w:val="21"/>
        </w:rPr>
        <w:t xml:space="preserve">Pre-registered. Written before the first backtest runs. If any of these is met, the signal claim is withdrawn and the project reports PAL as a research metric only — which remains a publishable, portfolio-worthy result.</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4300"/>
        <w:gridCol w:w="4700"/>
      </w:tblGrid>
      <w:tr>
        <w:trPr>
          <w:tblHeader/>
        </w:trPr>
        <w:tc>
          <w:tcPr>
            <w:tcW w:type="dxa" w:w="43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Condition</w:t>
            </w:r>
          </w:p>
        </w:tc>
        <w:tc>
          <w:tcPr>
            <w:tcW w:type="dxa" w:w="47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Consequence</w:t>
            </w:r>
          </w:p>
        </w:tc>
      </w:tr>
      <w:tr>
        <w:tc>
          <w:tcPr>
            <w:tcW w:type="dxa" w:w="4300"/>
            <w:tcMar>
              <w:top w:type="dxa" w:w="80"/>
              <w:left w:type="dxa" w:w="110"/>
              <w:bottom w:type="dxa" w:w="80"/>
              <w:right w:type="dxa" w:w="110"/>
            </w:tcMar>
          </w:tcPr>
          <w:p>
            <w:pPr>
              <w:spacing w:after="0"/>
            </w:pPr>
            <w:r>
              <w:rPr>
                <w:rFonts w:ascii="Calibri" w:cs="Calibri" w:eastAsia="Calibri" w:hAnsi="Calibri"/>
                <w:sz w:val="19"/>
                <w:szCs w:val="19"/>
              </w:rPr>
              <w:t xml:space="preserve">Deflated Sharpe &lt; 0.3 after full cost model</w:t>
            </w:r>
          </w:p>
        </w:tc>
        <w:tc>
          <w:tcPr>
            <w:tcW w:type="dxa" w:w="4700"/>
            <w:tcMar>
              <w:top w:type="dxa" w:w="80"/>
              <w:left w:type="dxa" w:w="110"/>
              <w:bottom w:type="dxa" w:w="80"/>
              <w:right w:type="dxa" w:w="110"/>
            </w:tcMar>
          </w:tcPr>
          <w:p>
            <w:pPr>
              <w:spacing w:after="0"/>
            </w:pPr>
            <w:r>
              <w:rPr>
                <w:rFonts w:ascii="Calibri" w:cs="Calibri" w:eastAsia="Calibri" w:hAnsi="Calibri"/>
                <w:sz w:val="19"/>
                <w:szCs w:val="19"/>
              </w:rPr>
              <w:t xml:space="preserve">Signal claim withdrawn; revert to metric-only framing</w:t>
            </w:r>
          </w:p>
        </w:tc>
      </w:tr>
      <w:tr>
        <w:tc>
          <w:tcPr>
            <w:tcW w:type="dxa" w:w="4300"/>
            <w:tcMar>
              <w:top w:type="dxa" w:w="80"/>
              <w:left w:type="dxa" w:w="110"/>
              <w:bottom w:type="dxa" w:w="80"/>
              <w:right w:type="dxa" w:w="110"/>
            </w:tcMar>
          </w:tcPr>
          <w:p>
            <w:pPr>
              <w:spacing w:after="0"/>
            </w:pPr>
            <w:r>
              <w:rPr>
                <w:rFonts w:ascii="Calibri" w:cs="Calibri" w:eastAsia="Calibri" w:hAnsi="Calibri"/>
                <w:sz w:val="19"/>
                <w:szCs w:val="19"/>
              </w:rPr>
              <w:t xml:space="preserve">Net edge &lt; 1.5 × modelled cost drag</w:t>
            </w:r>
          </w:p>
        </w:tc>
        <w:tc>
          <w:tcPr>
            <w:tcW w:type="dxa" w:w="4700"/>
            <w:tcMar>
              <w:top w:type="dxa" w:w="80"/>
              <w:left w:type="dxa" w:w="110"/>
              <w:bottom w:type="dxa" w:w="80"/>
              <w:right w:type="dxa" w:w="110"/>
            </w:tcMar>
          </w:tcPr>
          <w:p>
            <w:pPr>
              <w:spacing w:after="0"/>
            </w:pPr>
            <w:r>
              <w:rPr>
                <w:rFonts w:ascii="Calibri" w:cs="Calibri" w:eastAsia="Calibri" w:hAnsi="Calibri"/>
                <w:sz w:val="19"/>
                <w:szCs w:val="19"/>
              </w:rPr>
              <w:t xml:space="preserve">Signal is cost-dominated; report as negative result</w:t>
            </w:r>
          </w:p>
        </w:tc>
      </w:tr>
      <w:tr>
        <w:tc>
          <w:tcPr>
            <w:tcW w:type="dxa" w:w="4300"/>
            <w:tcMar>
              <w:top w:type="dxa" w:w="80"/>
              <w:left w:type="dxa" w:w="110"/>
              <w:bottom w:type="dxa" w:w="80"/>
              <w:right w:type="dxa" w:w="110"/>
            </w:tcMar>
          </w:tcPr>
          <w:p>
            <w:pPr>
              <w:spacing w:after="0"/>
            </w:pPr>
            <w:r>
              <w:rPr>
                <w:rFonts w:ascii="Calibri" w:cs="Calibri" w:eastAsia="Calibri" w:hAnsi="Calibri"/>
                <w:sz w:val="19"/>
                <w:szCs w:val="19"/>
              </w:rPr>
              <w:t xml:space="preserve">Fewer than 10 tradeable signals/month</w:t>
            </w:r>
          </w:p>
        </w:tc>
        <w:tc>
          <w:tcPr>
            <w:tcW w:type="dxa" w:w="4700"/>
            <w:tcMar>
              <w:top w:type="dxa" w:w="80"/>
              <w:left w:type="dxa" w:w="110"/>
              <w:bottom w:type="dxa" w:w="80"/>
              <w:right w:type="dxa" w:w="110"/>
            </w:tcMar>
          </w:tcPr>
          <w:p>
            <w:pPr>
              <w:spacing w:after="0"/>
            </w:pPr>
            <w:r>
              <w:rPr>
                <w:rFonts w:ascii="Calibri" w:cs="Calibri" w:eastAsia="Calibri" w:hAnsi="Calibri"/>
                <w:sz w:val="19"/>
                <w:szCs w:val="19"/>
              </w:rPr>
              <w:t xml:space="preserve">Insufficient sample; extend universe or withdraw</w:t>
            </w:r>
          </w:p>
        </w:tc>
      </w:tr>
      <w:tr>
        <w:tc>
          <w:tcPr>
            <w:tcW w:type="dxa" w:w="4300"/>
            <w:tcMar>
              <w:top w:type="dxa" w:w="80"/>
              <w:left w:type="dxa" w:w="110"/>
              <w:bottom w:type="dxa" w:w="80"/>
              <w:right w:type="dxa" w:w="110"/>
            </w:tcMar>
          </w:tcPr>
          <w:p>
            <w:pPr>
              <w:spacing w:after="0"/>
            </w:pPr>
            <w:r>
              <w:rPr>
                <w:rFonts w:ascii="Calibri" w:cs="Calibri" w:eastAsia="Calibri" w:hAnsi="Calibri"/>
                <w:sz w:val="19"/>
                <w:szCs w:val="19"/>
              </w:rPr>
              <w:t xml:space="preserve">NSE-fit result fails entirely on SGX</w:t>
            </w:r>
          </w:p>
        </w:tc>
        <w:tc>
          <w:tcPr>
            <w:tcW w:type="dxa" w:w="4700"/>
            <w:tcMar>
              <w:top w:type="dxa" w:w="80"/>
              <w:left w:type="dxa" w:w="110"/>
              <w:bottom w:type="dxa" w:w="80"/>
              <w:right w:type="dxa" w:w="110"/>
            </w:tcMar>
          </w:tcPr>
          <w:p>
            <w:pPr>
              <w:spacing w:after="0"/>
            </w:pPr>
            <w:r>
              <w:rPr>
                <w:rFonts w:ascii="Calibri" w:cs="Calibri" w:eastAsia="Calibri" w:hAnsi="Calibri"/>
                <w:sz w:val="19"/>
                <w:szCs w:val="19"/>
              </w:rPr>
              <w:t xml:space="preserve">Treat as market-specific artefact, not a general effect</w:t>
            </w:r>
          </w:p>
        </w:tc>
      </w:tr>
      <w:tr>
        <w:tc>
          <w:tcPr>
            <w:tcW w:type="dxa" w:w="4300"/>
            <w:tcMar>
              <w:top w:type="dxa" w:w="80"/>
              <w:left w:type="dxa" w:w="110"/>
              <w:bottom w:type="dxa" w:w="80"/>
              <w:right w:type="dxa" w:w="110"/>
            </w:tcMar>
          </w:tcPr>
          <w:p>
            <w:pPr>
              <w:spacing w:after="0"/>
            </w:pPr>
            <w:r>
              <w:rPr>
                <w:rFonts w:ascii="Calibri" w:cs="Calibri" w:eastAsia="Calibri" w:hAnsi="Calibri"/>
                <w:sz w:val="19"/>
                <w:szCs w:val="19"/>
              </w:rPr>
              <w:t xml:space="preserve">Performance concentrated in &lt; 5 events</w:t>
            </w:r>
          </w:p>
        </w:tc>
        <w:tc>
          <w:tcPr>
            <w:tcW w:type="dxa" w:w="4700"/>
            <w:tcMar>
              <w:top w:type="dxa" w:w="80"/>
              <w:left w:type="dxa" w:w="110"/>
              <w:bottom w:type="dxa" w:w="80"/>
              <w:right w:type="dxa" w:w="110"/>
            </w:tcMar>
          </w:tcPr>
          <w:p>
            <w:pPr>
              <w:spacing w:after="0"/>
            </w:pPr>
            <w:r>
              <w:rPr>
                <w:rFonts w:ascii="Calibri" w:cs="Calibri" w:eastAsia="Calibri" w:hAnsi="Calibri"/>
                <w:sz w:val="19"/>
                <w:szCs w:val="19"/>
              </w:rPr>
              <w:t xml:space="preserve">Result is an outlier story, not a strategy</w:t>
            </w:r>
          </w:p>
        </w:tc>
      </w:tr>
    </w:tbl>
    <w:p>
      <w:pPr>
        <w:spacing w:after="140"/>
      </w:pPr>
      <w:r>
        <w:t xml:space="preserve"/>
      </w:r>
    </w:p>
    <w:tbl>
      <w:tblPr>
        <w:tblW w:type="dxa" w:w="9000"/>
        <w:tblBorders>
          <w:top w:val="single" w:color="C9B896" w:sz="4"/>
          <w:left w:val="single" w:color="C9B896" w:sz="4"/>
          <w:bottom w:val="single" w:color="C9B896" w:sz="4"/>
          <w:right w:val="single" w:color="C9B896" w:sz="4"/>
          <w:insideH w:val="none" w:color="auto" w:sz="0"/>
          <w:insideV w:val="none" w:color="auto" w:sz="0"/>
        </w:tblBorders>
      </w:tblPr>
      <w:tblGrid>
        <w:gridCol w:w="1500"/>
        <w:gridCol w:w="7500"/>
      </w:tblGrid>
      <w:tr>
        <w:tc>
          <w:tcPr>
            <w:tcW w:type="dxa" w:w="1500"/>
            <w:shd w:fill="EAF4EC"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WHY THIS HELPS</w:t>
            </w:r>
          </w:p>
        </w:tc>
        <w:tc>
          <w:tcPr>
            <w:tcW w:type="dxa" w:w="7500"/>
            <w:shd w:fill="EAF4EC" w:color="auto" w:val="clear"/>
            <w:tcMar>
              <w:top w:type="dxa" w:w="80"/>
              <w:left w:type="dxa" w:w="110"/>
              <w:bottom w:type="dxa" w:w="80"/>
              <w:right w:type="dxa" w:w="110"/>
            </w:tcMar>
          </w:tcPr>
          <w:p>
            <w:pPr>
              <w:spacing w:after="0"/>
            </w:pPr>
            <w:r>
              <w:rPr>
                <w:rFonts w:ascii="Calibri" w:cs="Calibri" w:eastAsia="Calibri" w:hAnsi="Calibri"/>
                <w:sz w:val="19"/>
                <w:szCs w:val="19"/>
              </w:rPr>
              <w:t xml:space="preserve">A pre-registered kill criterion is a stronger admissions and hiring signal than a good Sharpe ratio. Anyone can show a curve that goes up. Very few candidates can show that they defined, in advance, the conditions under which they would declare their own idea dead — and then reported honestly against them.</w:t>
            </w:r>
          </w:p>
        </w:tc>
      </w:tr>
    </w:tbl>
    <w:p>
      <w:pPr>
        <w:pStyle w:val="Heading1"/>
        <w:spacing w:after="160" w:before="360"/>
      </w:pPr>
      <w:r>
        <w:rPr>
          <w:rFonts w:ascii="Calibri" w:cs="Calibri" w:eastAsia="Calibri" w:hAnsi="Calibri"/>
          <w:b/>
          <w:bCs/>
          <w:color w:val="1F3864"/>
          <w:sz w:val="30"/>
          <w:szCs w:val="30"/>
        </w:rPr>
        <w:t xml:space="preserve">6. Data Strategy [NEW]</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1900"/>
        <w:gridCol w:w="2100"/>
        <w:gridCol w:w="1100"/>
        <w:gridCol w:w="1700"/>
        <w:gridCol w:w="2200"/>
      </w:tblGrid>
      <w:tr>
        <w:trPr>
          <w:tblHeader/>
        </w:trPr>
        <w:tc>
          <w:tcPr>
            <w:tcW w:type="dxa" w:w="19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Dataset</w:t>
            </w:r>
          </w:p>
        </w:tc>
        <w:tc>
          <w:tcPr>
            <w:tcW w:type="dxa" w:w="21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Source</w:t>
            </w:r>
          </w:p>
        </w:tc>
        <w:tc>
          <w:tcPr>
            <w:tcW w:type="dxa" w:w="11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Tier</w:t>
            </w:r>
          </w:p>
        </w:tc>
        <w:tc>
          <w:tcPr>
            <w:tcW w:type="dxa" w:w="17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Cost</w:t>
            </w:r>
          </w:p>
        </w:tc>
        <w:tc>
          <w:tcPr>
            <w:tcW w:type="dxa" w:w="22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Used for</w:t>
            </w:r>
          </w:p>
        </w:tc>
      </w:tr>
      <w:tr>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NSE intraday bars</w:t>
            </w:r>
          </w:p>
        </w:tc>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yfinance</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Free</w:t>
            </w:r>
          </w:p>
        </w:tc>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₹0</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Development, v1/v2 research</w:t>
            </w:r>
          </w:p>
        </w:tc>
      </w:tr>
      <w:tr>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NSE intraday PIT</w:t>
            </w:r>
          </w:p>
        </w:tc>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Polygon / Tiingo / vendor</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Paid</w:t>
            </w:r>
          </w:p>
        </w:tc>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~₹2,000–2,800/mo</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Backtest of record from v2.5</w:t>
            </w:r>
          </w:p>
        </w:tc>
      </w:tr>
      <w:tr>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SGX bars</w:t>
            </w:r>
          </w:p>
        </w:tc>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SGX DataHub + vendor</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Mixed</w:t>
            </w:r>
          </w:p>
        </w:tc>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Included</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Out-of-market validation</w:t>
            </w:r>
          </w:p>
        </w:tc>
      </w:tr>
      <w:tr>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News</w:t>
            </w:r>
          </w:p>
        </w:tc>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NewsAPI + RSS</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Free tier</w:t>
            </w:r>
          </w:p>
        </w:tc>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₹0</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T_event detection</w:t>
            </w:r>
          </w:p>
        </w:tc>
      </w:tr>
      <w:tr>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Index membership history</w:t>
            </w:r>
          </w:p>
        </w:tc>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NSE archives (manual)</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Free</w:t>
            </w:r>
          </w:p>
        </w:tc>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₹0 + hours</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Survivorship control</w:t>
            </w:r>
          </w:p>
        </w:tc>
      </w:tr>
      <w:tr>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Corporate actions</w:t>
            </w:r>
          </w:p>
        </w:tc>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NSE / vendor</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Free</w:t>
            </w:r>
          </w:p>
        </w:tc>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₹0</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Adjustment correctness</w:t>
            </w:r>
          </w:p>
        </w:tc>
      </w:tr>
    </w:tbl>
    <w:p>
      <w:pPr>
        <w:spacing w:after="140"/>
      </w:pPr>
      <w:r>
        <w:t xml:space="preserve"/>
      </w:r>
    </w:p>
    <w:tbl>
      <w:tblPr>
        <w:tblW w:type="dxa" w:w="9000"/>
        <w:tblBorders>
          <w:top w:val="single" w:color="C9B896" w:sz="4"/>
          <w:left w:val="single" w:color="C9B896" w:sz="4"/>
          <w:bottom w:val="single" w:color="C9B896" w:sz="4"/>
          <w:right w:val="single" w:color="C9B896" w:sz="4"/>
          <w:insideH w:val="none" w:color="auto" w:sz="0"/>
          <w:insideV w:val="none" w:color="auto" w:sz="0"/>
        </w:tblBorders>
      </w:tblPr>
      <w:tblGrid>
        <w:gridCol w:w="1500"/>
        <w:gridCol w:w="7500"/>
      </w:tblGrid>
      <w:tr>
        <w:tc>
          <w:tcPr>
            <w:tcW w:type="dxa" w:w="1500"/>
            <w:shd w:fill="FDF3E3"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RULE</w:t>
            </w:r>
          </w:p>
        </w:tc>
        <w:tc>
          <w:tcPr>
            <w:tcW w:type="dxa" w:w="7500"/>
            <w:shd w:fill="FDF3E3" w:color="auto" w:val="clear"/>
            <w:tcMar>
              <w:top w:type="dxa" w:w="80"/>
              <w:left w:type="dxa" w:w="110"/>
              <w:bottom w:type="dxa" w:w="80"/>
              <w:right w:type="dxa" w:w="110"/>
            </w:tcMar>
          </w:tcPr>
          <w:p>
            <w:pPr>
              <w:spacing w:after="0"/>
            </w:pPr>
            <w:r>
              <w:rPr>
                <w:rFonts w:ascii="Calibri" w:cs="Calibri" w:eastAsia="Calibri" w:hAnsi="Calibri"/>
                <w:sz w:val="19"/>
                <w:szCs w:val="19"/>
              </w:rPr>
              <w:t xml:space="preserve">yfinance remains the development source. The backtest of record — the one whose numbers appear in the preprint, the README and any interview — runs only on point-in-time data. Never publish a number produced from the free feed.</w:t>
            </w:r>
          </w:p>
        </w:tc>
      </w:tr>
    </w:tbl>
    <w:p>
      <w:r>
        <w:br w:type="page"/>
      </w:r>
    </w:p>
    <w:p>
      <w:pPr>
        <w:pStyle w:val="Heading1"/>
        <w:spacing w:after="160" w:before="360"/>
      </w:pPr>
      <w:r>
        <w:rPr>
          <w:rFonts w:ascii="Calibri" w:cs="Calibri" w:eastAsia="Calibri" w:hAnsi="Calibri"/>
          <w:b/>
          <w:bCs/>
          <w:color w:val="1F3864"/>
          <w:sz w:val="30"/>
          <w:szCs w:val="30"/>
        </w:rPr>
        <w:t xml:space="preserve">7. Delivery Roadmap [REVISED]</w:t>
      </w:r>
    </w:p>
    <w:p>
      <w:pPr>
        <w:pStyle w:val="Heading2"/>
        <w:spacing w:after="120" w:before="260"/>
      </w:pPr>
      <w:r>
        <w:rPr>
          <w:rFonts w:ascii="Calibri" w:cs="Calibri" w:eastAsia="Calibri" w:hAnsi="Calibri"/>
          <w:b/>
          <w:bCs/>
          <w:color w:val="1F3864"/>
          <w:sz w:val="25"/>
          <w:szCs w:val="25"/>
        </w:rPr>
        <w:t xml:space="preserve">7.1 Version ladder</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2100"/>
        <w:gridCol w:w="1800"/>
        <w:gridCol w:w="2200"/>
        <w:gridCol w:w="2900"/>
      </w:tblGrid>
      <w:tr>
        <w:trPr>
          <w:tblHeader/>
        </w:trPr>
        <w:tc>
          <w:tcPr>
            <w:tcW w:type="dxa" w:w="21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Version</w:t>
            </w:r>
          </w:p>
        </w:tc>
        <w:tc>
          <w:tcPr>
            <w:tcW w:type="dxa" w:w="18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Window</w:t>
            </w:r>
          </w:p>
        </w:tc>
        <w:tc>
          <w:tcPr>
            <w:tcW w:type="dxa" w:w="22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Theme</w:t>
            </w:r>
          </w:p>
        </w:tc>
        <w:tc>
          <w:tcPr>
            <w:tcW w:type="dxa" w:w="29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Exit criterion</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v1 — Solo Analyst</w:t>
            </w:r>
          </w:p>
        </w:tc>
        <w:tc>
          <w:tcPr>
            <w:tcW w:type="dxa" w:w="1800"/>
            <w:tcMar>
              <w:top w:type="dxa" w:w="80"/>
              <w:left w:type="dxa" w:w="110"/>
              <w:bottom w:type="dxa" w:w="80"/>
              <w:right w:type="dxa" w:w="110"/>
            </w:tcMar>
          </w:tcPr>
          <w:p>
            <w:pPr>
              <w:spacing w:after="0"/>
            </w:pPr>
            <w:r>
              <w:rPr>
                <w:rFonts w:ascii="Calibri" w:cs="Calibri" w:eastAsia="Calibri" w:hAnsi="Calibri"/>
                <w:sz w:val="19"/>
                <w:szCs w:val="19"/>
              </w:rPr>
              <w:t xml:space="preserve">Apr–Jun 2026</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Prove PAL computes end to end</w:t>
            </w:r>
          </w:p>
        </w:tc>
        <w:tc>
          <w:tcPr>
            <w:tcW w:type="dxa" w:w="2900"/>
            <w:tcMar>
              <w:top w:type="dxa" w:w="80"/>
              <w:left w:type="dxa" w:w="110"/>
              <w:bottom w:type="dxa" w:w="80"/>
              <w:right w:type="dxa" w:w="110"/>
            </w:tcMar>
          </w:tcPr>
          <w:p>
            <w:pPr>
              <w:spacing w:after="0"/>
            </w:pPr>
            <w:r>
              <w:rPr>
                <w:rFonts w:ascii="Calibri" w:cs="Calibri" w:eastAsia="Calibri" w:hAnsi="Calibri"/>
                <w:sz w:val="19"/>
                <w:szCs w:val="19"/>
              </w:rPr>
              <w:t xml:space="preserve">PAL numbers on 50 NSE events; findings post published</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v2 — Dual-Agent Live</w:t>
            </w:r>
          </w:p>
        </w:tc>
        <w:tc>
          <w:tcPr>
            <w:tcW w:type="dxa" w:w="1800"/>
            <w:tcMar>
              <w:top w:type="dxa" w:w="80"/>
              <w:left w:type="dxa" w:w="110"/>
              <w:bottom w:type="dxa" w:w="80"/>
              <w:right w:type="dxa" w:w="110"/>
            </w:tcMar>
          </w:tcPr>
          <w:p>
            <w:pPr>
              <w:spacing w:after="0"/>
            </w:pPr>
            <w:r>
              <w:rPr>
                <w:rFonts w:ascii="Calibri" w:cs="Calibri" w:eastAsia="Calibri" w:hAnsi="Calibri"/>
                <w:sz w:val="19"/>
                <w:szCs w:val="19"/>
              </w:rPr>
              <w:t xml:space="preserve">Jul–Oct 2026</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Agents + streaming + Snowflake + demo</w:t>
            </w:r>
          </w:p>
        </w:tc>
        <w:tc>
          <w:tcPr>
            <w:tcW w:type="dxa" w:w="2900"/>
            <w:tcMar>
              <w:top w:type="dxa" w:w="80"/>
              <w:left w:type="dxa" w:w="110"/>
              <w:bottom w:type="dxa" w:w="80"/>
              <w:right w:type="dxa" w:w="110"/>
            </w:tcMar>
          </w:tcPr>
          <w:p>
            <w:pPr>
              <w:spacing w:after="0"/>
            </w:pPr>
            <w:r>
              <w:rPr>
                <w:rFonts w:ascii="Calibri" w:cs="Calibri" w:eastAsia="Calibri" w:hAnsi="Calibri"/>
                <w:sz w:val="19"/>
                <w:szCs w:val="19"/>
              </w:rPr>
              <w:t xml:space="preserve">Live LangGraph pipeline on Redpanda; Streamlit app deployed</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v2.5 — Signal Layer [NEW]</w:t>
            </w:r>
          </w:p>
        </w:tc>
        <w:tc>
          <w:tcPr>
            <w:tcW w:type="dxa" w:w="1800"/>
            <w:tcMar>
              <w:top w:type="dxa" w:w="80"/>
              <w:left w:type="dxa" w:w="110"/>
              <w:bottom w:type="dxa" w:w="80"/>
              <w:right w:type="dxa" w:w="110"/>
            </w:tcMar>
          </w:tcPr>
          <w:p>
            <w:pPr>
              <w:spacing w:after="0"/>
            </w:pPr>
            <w:r>
              <w:rPr>
                <w:rFonts w:ascii="Calibri" w:cs="Calibri" w:eastAsia="Calibri" w:hAnsi="Calibri"/>
                <w:sz w:val="19"/>
                <w:szCs w:val="19"/>
              </w:rPr>
              <w:t xml:space="preserve">Nov 2026 – Jan 2027</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Turn PAL into a costed, validated signal</w:t>
            </w:r>
          </w:p>
        </w:tc>
        <w:tc>
          <w:tcPr>
            <w:tcW w:type="dxa" w:w="2900"/>
            <w:tcMar>
              <w:top w:type="dxa" w:w="80"/>
              <w:left w:type="dxa" w:w="110"/>
              <w:bottom w:type="dxa" w:w="80"/>
              <w:right w:type="dxa" w:w="110"/>
            </w:tcMar>
          </w:tcPr>
          <w:p>
            <w:pPr>
              <w:spacing w:after="0"/>
            </w:pPr>
            <w:r>
              <w:rPr>
                <w:rFonts w:ascii="Calibri" w:cs="Calibri" w:eastAsia="Calibri" w:hAnsi="Calibri"/>
                <w:sz w:val="19"/>
                <w:szCs w:val="19"/>
              </w:rPr>
              <w:t xml:space="preserve">Backtest of record on PIT data with kill criteria evaluated</w:t>
            </w:r>
          </w:p>
        </w:tc>
      </w:tr>
      <w:tr>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v3 — Production Swarm</w:t>
            </w:r>
          </w:p>
        </w:tc>
        <w:tc>
          <w:tcPr>
            <w:tcW w:type="dxa" w:w="1800"/>
            <w:tcMar>
              <w:top w:type="dxa" w:w="80"/>
              <w:left w:type="dxa" w:w="110"/>
              <w:bottom w:type="dxa" w:w="80"/>
              <w:right w:type="dxa" w:w="110"/>
            </w:tcMar>
          </w:tcPr>
          <w:p>
            <w:pPr>
              <w:spacing w:after="0"/>
            </w:pPr>
            <w:r>
              <w:rPr>
                <w:rFonts w:ascii="Calibri" w:cs="Calibri" w:eastAsia="Calibri" w:hAnsi="Calibri"/>
                <w:sz w:val="19"/>
                <w:szCs w:val="19"/>
              </w:rPr>
              <w:t xml:space="preserve">Feb–Apr 2027</w:t>
            </w:r>
          </w:p>
        </w:tc>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Forecaster, SHAP, RAG, Airflow at full scope, CI/CD</w:t>
            </w:r>
          </w:p>
        </w:tc>
        <w:tc>
          <w:tcPr>
            <w:tcW w:type="dxa" w:w="2900"/>
            <w:tcMar>
              <w:top w:type="dxa" w:w="80"/>
              <w:left w:type="dxa" w:w="110"/>
              <w:bottom w:type="dxa" w:w="80"/>
              <w:right w:type="dxa" w:w="110"/>
            </w:tcMar>
          </w:tcPr>
          <w:p>
            <w:pPr>
              <w:spacing w:after="0"/>
            </w:pPr>
            <w:r>
              <w:rPr>
                <w:rFonts w:ascii="Calibri" w:cs="Calibri" w:eastAsia="Calibri" w:hAnsi="Calibri"/>
                <w:sz w:val="19"/>
                <w:szCs w:val="19"/>
              </w:rPr>
              <w:t xml:space="preserve">Preprint submitted; full research plane automated</w:t>
            </w:r>
          </w:p>
        </w:tc>
      </w:tr>
    </w:tbl>
    <w:p>
      <w:pPr>
        <w:spacing w:after="140"/>
      </w:pPr>
      <w:r>
        <w:t xml:space="preserve"/>
      </w:r>
    </w:p>
    <w:p>
      <w:pPr>
        <w:pStyle w:val="Heading2"/>
        <w:spacing w:after="120" w:before="260"/>
      </w:pPr>
      <w:r>
        <w:rPr>
          <w:rFonts w:ascii="Calibri" w:cs="Calibri" w:eastAsia="Calibri" w:hAnsi="Calibri"/>
          <w:b/>
          <w:bCs/>
          <w:color w:val="1F3864"/>
          <w:sz w:val="25"/>
          <w:szCs w:val="25"/>
        </w:rPr>
        <w:t xml:space="preserve">7.2 v2.5 milestone plan — the new work</w:t>
      </w:r>
    </w:p>
    <w:p>
      <w:pPr>
        <w:spacing w:after="120" w:line="276"/>
      </w:pPr>
      <w:r>
        <w:rPr>
          <w:rFonts w:ascii="Calibri" w:cs="Calibri" w:eastAsia="Calibri" w:hAnsi="Calibri"/>
          <w:sz w:val="21"/>
          <w:szCs w:val="21"/>
        </w:rPr>
        <w:t xml:space="preserve">Estimated 90 hours across 12 weeks. This is the only block of genuinely new engineering the pivot requires.</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900"/>
        <w:gridCol w:w="900"/>
        <w:gridCol w:w="7200"/>
      </w:tblGrid>
      <w:tr>
        <w:trPr>
          <w:tblHeader/>
        </w:trPr>
        <w:tc>
          <w:tcPr>
            <w:tcW w:type="dxa" w:w="9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Week</w:t>
            </w:r>
          </w:p>
        </w:tc>
        <w:tc>
          <w:tcPr>
            <w:tcW w:type="dxa" w:w="9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Hours</w:t>
            </w:r>
          </w:p>
        </w:tc>
        <w:tc>
          <w:tcPr>
            <w:tcW w:type="dxa" w:w="72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Milestone</w:t>
            </w:r>
          </w:p>
        </w:tc>
      </w:tr>
      <w:tr>
        <w:tc>
          <w:tcPr>
            <w:tcW w:type="dxa" w:w="900"/>
            <w:tcMar>
              <w:top w:type="dxa" w:w="80"/>
              <w:left w:type="dxa" w:w="110"/>
              <w:bottom w:type="dxa" w:w="80"/>
              <w:right w:type="dxa" w:w="110"/>
            </w:tcMar>
          </w:tcPr>
          <w:p>
            <w:pPr>
              <w:spacing w:after="0"/>
            </w:pPr>
            <w:r>
              <w:rPr>
                <w:rFonts w:ascii="Calibri" w:cs="Calibri" w:eastAsia="Calibri" w:hAnsi="Calibri"/>
                <w:sz w:val="19"/>
                <w:szCs w:val="19"/>
              </w:rPr>
              <w:t xml:space="preserve">1–2</w:t>
            </w:r>
          </w:p>
        </w:tc>
        <w:tc>
          <w:tcPr>
            <w:tcW w:type="dxa" w:w="900"/>
            <w:tcMar>
              <w:top w:type="dxa" w:w="80"/>
              <w:left w:type="dxa" w:w="110"/>
              <w:bottom w:type="dxa" w:w="80"/>
              <w:right w:type="dxa" w:w="110"/>
            </w:tcMar>
          </w:tcPr>
          <w:p>
            <w:pPr>
              <w:spacing w:after="0"/>
            </w:pPr>
            <w:r>
              <w:rPr>
                <w:rFonts w:ascii="Calibri" w:cs="Calibri" w:eastAsia="Calibri" w:hAnsi="Calibri"/>
                <w:sz w:val="19"/>
                <w:szCs w:val="19"/>
              </w:rPr>
              <w:t xml:space="preserve">14</w:t>
            </w:r>
          </w:p>
        </w:tc>
        <w:tc>
          <w:tcPr>
            <w:tcW w:type="dxa" w:w="7200"/>
            <w:tcMar>
              <w:top w:type="dxa" w:w="80"/>
              <w:left w:type="dxa" w:w="110"/>
              <w:bottom w:type="dxa" w:w="80"/>
              <w:right w:type="dxa" w:w="110"/>
            </w:tcMar>
          </w:tcPr>
          <w:p>
            <w:pPr>
              <w:spacing w:after="0"/>
            </w:pPr>
            <w:r>
              <w:rPr>
                <w:rFonts w:ascii="Calibri" w:cs="Calibri" w:eastAsia="Calibri" w:hAnsi="Calibri"/>
                <w:sz w:val="19"/>
                <w:szCs w:val="19"/>
              </w:rPr>
              <w:t xml:space="preserve">Airflow deployed (Docker Compose, then managed). med_feature_refresh and med_ingest_eod running green.</w:t>
            </w:r>
          </w:p>
        </w:tc>
      </w:tr>
      <w:tr>
        <w:tc>
          <w:tcPr>
            <w:tcW w:type="dxa" w:w="900"/>
            <w:tcMar>
              <w:top w:type="dxa" w:w="80"/>
              <w:left w:type="dxa" w:w="110"/>
              <w:bottom w:type="dxa" w:w="80"/>
              <w:right w:type="dxa" w:w="110"/>
            </w:tcMar>
          </w:tcPr>
          <w:p>
            <w:pPr>
              <w:spacing w:after="0"/>
            </w:pPr>
            <w:r>
              <w:rPr>
                <w:rFonts w:ascii="Calibri" w:cs="Calibri" w:eastAsia="Calibri" w:hAnsi="Calibri"/>
                <w:sz w:val="19"/>
                <w:szCs w:val="19"/>
              </w:rPr>
              <w:t xml:space="preserve">3</w:t>
            </w:r>
          </w:p>
        </w:tc>
        <w:tc>
          <w:tcPr>
            <w:tcW w:type="dxa" w:w="900"/>
            <w:tcMar>
              <w:top w:type="dxa" w:w="80"/>
              <w:left w:type="dxa" w:w="110"/>
              <w:bottom w:type="dxa" w:w="80"/>
              <w:right w:type="dxa" w:w="110"/>
            </w:tcMar>
          </w:tcPr>
          <w:p>
            <w:pPr>
              <w:spacing w:after="0"/>
            </w:pPr>
            <w:r>
              <w:rPr>
                <w:rFonts w:ascii="Calibri" w:cs="Calibri" w:eastAsia="Calibri" w:hAnsi="Calibri"/>
                <w:sz w:val="19"/>
                <w:szCs w:val="19"/>
              </w:rPr>
              <w:t xml:space="preserve">8</w:t>
            </w:r>
          </w:p>
        </w:tc>
        <w:tc>
          <w:tcPr>
            <w:tcW w:type="dxa" w:w="7200"/>
            <w:tcMar>
              <w:top w:type="dxa" w:w="80"/>
              <w:left w:type="dxa" w:w="110"/>
              <w:bottom w:type="dxa" w:w="80"/>
              <w:right w:type="dxa" w:w="110"/>
            </w:tcMar>
          </w:tcPr>
          <w:p>
            <w:pPr>
              <w:spacing w:after="0"/>
            </w:pPr>
            <w:r>
              <w:rPr>
                <w:rFonts w:ascii="Calibri" w:cs="Calibri" w:eastAsia="Calibri" w:hAnsi="Calibri"/>
                <w:sz w:val="19"/>
                <w:szCs w:val="19"/>
              </w:rPr>
              <w:t xml:space="preserve">Point-in-time vendor evaluated and subscribed. First PIT snapshot loaded to Delta with vintage tags.</w:t>
            </w:r>
          </w:p>
        </w:tc>
      </w:tr>
      <w:tr>
        <w:tc>
          <w:tcPr>
            <w:tcW w:type="dxa" w:w="900"/>
            <w:tcMar>
              <w:top w:type="dxa" w:w="80"/>
              <w:left w:type="dxa" w:w="110"/>
              <w:bottom w:type="dxa" w:w="80"/>
              <w:right w:type="dxa" w:w="110"/>
            </w:tcMar>
          </w:tcPr>
          <w:p>
            <w:pPr>
              <w:spacing w:after="0"/>
            </w:pPr>
            <w:r>
              <w:rPr>
                <w:rFonts w:ascii="Calibri" w:cs="Calibri" w:eastAsia="Calibri" w:hAnsi="Calibri"/>
                <w:sz w:val="19"/>
                <w:szCs w:val="19"/>
              </w:rPr>
              <w:t xml:space="preserve">4–5</w:t>
            </w:r>
          </w:p>
        </w:tc>
        <w:tc>
          <w:tcPr>
            <w:tcW w:type="dxa" w:w="900"/>
            <w:tcMar>
              <w:top w:type="dxa" w:w="80"/>
              <w:left w:type="dxa" w:w="110"/>
              <w:bottom w:type="dxa" w:w="80"/>
              <w:right w:type="dxa" w:w="110"/>
            </w:tcMar>
          </w:tcPr>
          <w:p>
            <w:pPr>
              <w:spacing w:after="0"/>
            </w:pPr>
            <w:r>
              <w:rPr>
                <w:rFonts w:ascii="Calibri" w:cs="Calibri" w:eastAsia="Calibri" w:hAnsi="Calibri"/>
                <w:sz w:val="19"/>
                <w:szCs w:val="19"/>
              </w:rPr>
              <w:t xml:space="preserve">16</w:t>
            </w:r>
          </w:p>
        </w:tc>
        <w:tc>
          <w:tcPr>
            <w:tcW w:type="dxa" w:w="7200"/>
            <w:tcMar>
              <w:top w:type="dxa" w:w="80"/>
              <w:left w:type="dxa" w:w="110"/>
              <w:bottom w:type="dxa" w:w="80"/>
              <w:right w:type="dxa" w:w="110"/>
            </w:tcMar>
          </w:tcPr>
          <w:p>
            <w:pPr>
              <w:spacing w:after="0"/>
            </w:pPr>
            <w:r>
              <w:rPr>
                <w:rFonts w:ascii="Calibri" w:cs="Calibri" w:eastAsia="Calibri" w:hAnsi="Calibri"/>
                <w:sz w:val="19"/>
                <w:szCs w:val="19"/>
              </w:rPr>
              <w:t xml:space="preserve">Signal Generator node built in LangGraph. trade-signals topic live. Suppression reasons logged.</w:t>
            </w:r>
          </w:p>
        </w:tc>
      </w:tr>
      <w:tr>
        <w:tc>
          <w:tcPr>
            <w:tcW w:type="dxa" w:w="900"/>
            <w:tcMar>
              <w:top w:type="dxa" w:w="80"/>
              <w:left w:type="dxa" w:w="110"/>
              <w:bottom w:type="dxa" w:w="80"/>
              <w:right w:type="dxa" w:w="110"/>
            </w:tcMar>
          </w:tcPr>
          <w:p>
            <w:pPr>
              <w:spacing w:after="0"/>
            </w:pPr>
            <w:r>
              <w:rPr>
                <w:rFonts w:ascii="Calibri" w:cs="Calibri" w:eastAsia="Calibri" w:hAnsi="Calibri"/>
                <w:sz w:val="19"/>
                <w:szCs w:val="19"/>
              </w:rPr>
              <w:t xml:space="preserve">6–7</w:t>
            </w:r>
          </w:p>
        </w:tc>
        <w:tc>
          <w:tcPr>
            <w:tcW w:type="dxa" w:w="900"/>
            <w:tcMar>
              <w:top w:type="dxa" w:w="80"/>
              <w:left w:type="dxa" w:w="110"/>
              <w:bottom w:type="dxa" w:w="80"/>
              <w:right w:type="dxa" w:w="110"/>
            </w:tcMar>
          </w:tcPr>
          <w:p>
            <w:pPr>
              <w:spacing w:after="0"/>
            </w:pPr>
            <w:r>
              <w:rPr>
                <w:rFonts w:ascii="Calibri" w:cs="Calibri" w:eastAsia="Calibri" w:hAnsi="Calibri"/>
                <w:sz w:val="19"/>
                <w:szCs w:val="19"/>
              </w:rPr>
              <w:t xml:space="preserve">16</w:t>
            </w:r>
          </w:p>
        </w:tc>
        <w:tc>
          <w:tcPr>
            <w:tcW w:type="dxa" w:w="7200"/>
            <w:tcMar>
              <w:top w:type="dxa" w:w="80"/>
              <w:left w:type="dxa" w:w="110"/>
              <w:bottom w:type="dxa" w:w="80"/>
              <w:right w:type="dxa" w:w="110"/>
            </w:tcMar>
          </w:tcPr>
          <w:p>
            <w:pPr>
              <w:spacing w:after="0"/>
            </w:pPr>
            <w:r>
              <w:rPr>
                <w:rFonts w:ascii="Calibri" w:cs="Calibri" w:eastAsia="Calibri" w:hAnsi="Calibri"/>
                <w:sz w:val="19"/>
                <w:szCs w:val="19"/>
              </w:rPr>
              <w:t xml:space="preserve">vectorbt harness on Databricks. Naive backtest running end to end, costs not yet applied.</w:t>
            </w:r>
          </w:p>
        </w:tc>
      </w:tr>
      <w:tr>
        <w:tc>
          <w:tcPr>
            <w:tcW w:type="dxa" w:w="900"/>
            <w:tcMar>
              <w:top w:type="dxa" w:w="80"/>
              <w:left w:type="dxa" w:w="110"/>
              <w:bottom w:type="dxa" w:w="80"/>
              <w:right w:type="dxa" w:w="110"/>
            </w:tcMar>
          </w:tcPr>
          <w:p>
            <w:pPr>
              <w:spacing w:after="0"/>
            </w:pPr>
            <w:r>
              <w:rPr>
                <w:rFonts w:ascii="Calibri" w:cs="Calibri" w:eastAsia="Calibri" w:hAnsi="Calibri"/>
                <w:sz w:val="19"/>
                <w:szCs w:val="19"/>
              </w:rPr>
              <w:t xml:space="preserve">8</w:t>
            </w:r>
          </w:p>
        </w:tc>
        <w:tc>
          <w:tcPr>
            <w:tcW w:type="dxa" w:w="900"/>
            <w:tcMar>
              <w:top w:type="dxa" w:w="80"/>
              <w:left w:type="dxa" w:w="110"/>
              <w:bottom w:type="dxa" w:w="80"/>
              <w:right w:type="dxa" w:w="110"/>
            </w:tcMar>
          </w:tcPr>
          <w:p>
            <w:pPr>
              <w:spacing w:after="0"/>
            </w:pPr>
            <w:r>
              <w:rPr>
                <w:rFonts w:ascii="Calibri" w:cs="Calibri" w:eastAsia="Calibri" w:hAnsi="Calibri"/>
                <w:sz w:val="19"/>
                <w:szCs w:val="19"/>
              </w:rPr>
              <w:t xml:space="preserve">10</w:t>
            </w:r>
          </w:p>
        </w:tc>
        <w:tc>
          <w:tcPr>
            <w:tcW w:type="dxa" w:w="7200"/>
            <w:tcMar>
              <w:top w:type="dxa" w:w="80"/>
              <w:left w:type="dxa" w:w="110"/>
              <w:bottom w:type="dxa" w:w="80"/>
              <w:right w:type="dxa" w:w="110"/>
            </w:tcMar>
          </w:tcPr>
          <w:p>
            <w:pPr>
              <w:spacing w:after="0"/>
            </w:pPr>
            <w:r>
              <w:rPr>
                <w:rFonts w:ascii="Calibri" w:cs="Calibri" w:eastAsia="Calibri" w:hAnsi="Calibri"/>
                <w:sz w:val="19"/>
                <w:szCs w:val="19"/>
              </w:rPr>
              <w:t xml:space="preserve">Full transaction cost model implemented (§5.2). Three-curve reporting working.</w:t>
            </w:r>
          </w:p>
        </w:tc>
      </w:tr>
      <w:tr>
        <w:tc>
          <w:tcPr>
            <w:tcW w:type="dxa" w:w="900"/>
            <w:tcMar>
              <w:top w:type="dxa" w:w="80"/>
              <w:left w:type="dxa" w:w="110"/>
              <w:bottom w:type="dxa" w:w="80"/>
              <w:right w:type="dxa" w:w="110"/>
            </w:tcMar>
          </w:tcPr>
          <w:p>
            <w:pPr>
              <w:spacing w:after="0"/>
            </w:pPr>
            <w:r>
              <w:rPr>
                <w:rFonts w:ascii="Calibri" w:cs="Calibri" w:eastAsia="Calibri" w:hAnsi="Calibri"/>
                <w:sz w:val="19"/>
                <w:szCs w:val="19"/>
              </w:rPr>
              <w:t xml:space="preserve">9</w:t>
            </w:r>
          </w:p>
        </w:tc>
        <w:tc>
          <w:tcPr>
            <w:tcW w:type="dxa" w:w="900"/>
            <w:tcMar>
              <w:top w:type="dxa" w:w="80"/>
              <w:left w:type="dxa" w:w="110"/>
              <w:bottom w:type="dxa" w:w="80"/>
              <w:right w:type="dxa" w:w="110"/>
            </w:tcMar>
          </w:tcPr>
          <w:p>
            <w:pPr>
              <w:spacing w:after="0"/>
            </w:pPr>
            <w:r>
              <w:rPr>
                <w:rFonts w:ascii="Calibri" w:cs="Calibri" w:eastAsia="Calibri" w:hAnsi="Calibri"/>
                <w:sz w:val="19"/>
                <w:szCs w:val="19"/>
              </w:rPr>
              <w:t xml:space="preserve">8</w:t>
            </w:r>
          </w:p>
        </w:tc>
        <w:tc>
          <w:tcPr>
            <w:tcW w:type="dxa" w:w="7200"/>
            <w:tcMar>
              <w:top w:type="dxa" w:w="80"/>
              <w:left w:type="dxa" w:w="110"/>
              <w:bottom w:type="dxa" w:w="80"/>
              <w:right w:type="dxa" w:w="110"/>
            </w:tcMar>
          </w:tcPr>
          <w:p>
            <w:pPr>
              <w:spacing w:after="0"/>
            </w:pPr>
            <w:r>
              <w:rPr>
                <w:rFonts w:ascii="Calibri" w:cs="Calibri" w:eastAsia="Calibri" w:hAnsi="Calibri"/>
                <w:sz w:val="19"/>
                <w:szCs w:val="19"/>
              </w:rPr>
              <w:t xml:space="preserve">Lookahead guard tests. Survivorship reconstruction for the research universe.</w:t>
            </w:r>
          </w:p>
        </w:tc>
      </w:tr>
      <w:tr>
        <w:tc>
          <w:tcPr>
            <w:tcW w:type="dxa" w:w="900"/>
            <w:tcMar>
              <w:top w:type="dxa" w:w="80"/>
              <w:left w:type="dxa" w:w="110"/>
              <w:bottom w:type="dxa" w:w="80"/>
              <w:right w:type="dxa" w:w="110"/>
            </w:tcMar>
          </w:tcPr>
          <w:p>
            <w:pPr>
              <w:spacing w:after="0"/>
            </w:pPr>
            <w:r>
              <w:rPr>
                <w:rFonts w:ascii="Calibri" w:cs="Calibri" w:eastAsia="Calibri" w:hAnsi="Calibri"/>
                <w:sz w:val="19"/>
                <w:szCs w:val="19"/>
              </w:rPr>
              <w:t xml:space="preserve">10</w:t>
            </w:r>
          </w:p>
        </w:tc>
        <w:tc>
          <w:tcPr>
            <w:tcW w:type="dxa" w:w="900"/>
            <w:tcMar>
              <w:top w:type="dxa" w:w="80"/>
              <w:left w:type="dxa" w:w="110"/>
              <w:bottom w:type="dxa" w:w="80"/>
              <w:right w:type="dxa" w:w="110"/>
            </w:tcMar>
          </w:tcPr>
          <w:p>
            <w:pPr>
              <w:spacing w:after="0"/>
            </w:pPr>
            <w:r>
              <w:rPr>
                <w:rFonts w:ascii="Calibri" w:cs="Calibri" w:eastAsia="Calibri" w:hAnsi="Calibri"/>
                <w:sz w:val="19"/>
                <w:szCs w:val="19"/>
              </w:rPr>
              <w:t xml:space="preserve">8</w:t>
            </w:r>
          </w:p>
        </w:tc>
        <w:tc>
          <w:tcPr>
            <w:tcW w:type="dxa" w:w="7200"/>
            <w:tcMar>
              <w:top w:type="dxa" w:w="80"/>
              <w:left w:type="dxa" w:w="110"/>
              <w:bottom w:type="dxa" w:w="80"/>
              <w:right w:type="dxa" w:w="110"/>
            </w:tcMar>
          </w:tcPr>
          <w:p>
            <w:pPr>
              <w:spacing w:after="0"/>
            </w:pPr>
            <w:r>
              <w:rPr>
                <w:rFonts w:ascii="Calibri" w:cs="Calibri" w:eastAsia="Calibri" w:hAnsi="Calibri"/>
                <w:sz w:val="19"/>
                <w:szCs w:val="19"/>
              </w:rPr>
              <w:t xml:space="preserve">Walk-forward + purged CV harness. Variant counter table for deflated Sharpe.</w:t>
            </w:r>
          </w:p>
        </w:tc>
      </w:tr>
      <w:tr>
        <w:tc>
          <w:tcPr>
            <w:tcW w:type="dxa" w:w="900"/>
            <w:tcMar>
              <w:top w:type="dxa" w:w="80"/>
              <w:left w:type="dxa" w:w="110"/>
              <w:bottom w:type="dxa" w:w="80"/>
              <w:right w:type="dxa" w:w="110"/>
            </w:tcMar>
          </w:tcPr>
          <w:p>
            <w:pPr>
              <w:spacing w:after="0"/>
            </w:pPr>
            <w:r>
              <w:rPr>
                <w:rFonts w:ascii="Calibri" w:cs="Calibri" w:eastAsia="Calibri" w:hAnsi="Calibri"/>
                <w:sz w:val="19"/>
                <w:szCs w:val="19"/>
              </w:rPr>
              <w:t xml:space="preserve">11</w:t>
            </w:r>
          </w:p>
        </w:tc>
        <w:tc>
          <w:tcPr>
            <w:tcW w:type="dxa" w:w="900"/>
            <w:tcMar>
              <w:top w:type="dxa" w:w="80"/>
              <w:left w:type="dxa" w:w="110"/>
              <w:bottom w:type="dxa" w:w="80"/>
              <w:right w:type="dxa" w:w="110"/>
            </w:tcMar>
          </w:tcPr>
          <w:p>
            <w:pPr>
              <w:spacing w:after="0"/>
            </w:pPr>
            <w:r>
              <w:rPr>
                <w:rFonts w:ascii="Calibri" w:cs="Calibri" w:eastAsia="Calibri" w:hAnsi="Calibri"/>
                <w:sz w:val="19"/>
                <w:szCs w:val="19"/>
              </w:rPr>
              <w:t xml:space="preserve">6</w:t>
            </w:r>
          </w:p>
        </w:tc>
        <w:tc>
          <w:tcPr>
            <w:tcW w:type="dxa" w:w="7200"/>
            <w:tcMar>
              <w:top w:type="dxa" w:w="80"/>
              <w:left w:type="dxa" w:w="110"/>
              <w:bottom w:type="dxa" w:w="80"/>
              <w:right w:type="dxa" w:w="110"/>
            </w:tcMar>
          </w:tcPr>
          <w:p>
            <w:pPr>
              <w:spacing w:after="0"/>
            </w:pPr>
            <w:r>
              <w:rPr>
                <w:rFonts w:ascii="Calibri" w:cs="Calibri" w:eastAsia="Calibri" w:hAnsi="Calibri"/>
                <w:sz w:val="19"/>
                <w:szCs w:val="19"/>
              </w:rPr>
              <w:t xml:space="preserve">SGX out-of-market test. Regime split reporting.</w:t>
            </w:r>
          </w:p>
        </w:tc>
      </w:tr>
      <w:tr>
        <w:tc>
          <w:tcPr>
            <w:tcW w:type="dxa" w:w="900"/>
            <w:tcMar>
              <w:top w:type="dxa" w:w="80"/>
              <w:left w:type="dxa" w:w="110"/>
              <w:bottom w:type="dxa" w:w="80"/>
              <w:right w:type="dxa" w:w="110"/>
            </w:tcMar>
          </w:tcPr>
          <w:p>
            <w:pPr>
              <w:spacing w:after="0"/>
            </w:pPr>
            <w:r>
              <w:rPr>
                <w:rFonts w:ascii="Calibri" w:cs="Calibri" w:eastAsia="Calibri" w:hAnsi="Calibri"/>
                <w:sz w:val="19"/>
                <w:szCs w:val="19"/>
              </w:rPr>
              <w:t xml:space="preserve">12</w:t>
            </w:r>
          </w:p>
        </w:tc>
        <w:tc>
          <w:tcPr>
            <w:tcW w:type="dxa" w:w="900"/>
            <w:tcMar>
              <w:top w:type="dxa" w:w="80"/>
              <w:left w:type="dxa" w:w="110"/>
              <w:bottom w:type="dxa" w:w="80"/>
              <w:right w:type="dxa" w:w="110"/>
            </w:tcMar>
          </w:tcPr>
          <w:p>
            <w:pPr>
              <w:spacing w:after="0"/>
            </w:pPr>
            <w:r>
              <w:rPr>
                <w:rFonts w:ascii="Calibri" w:cs="Calibri" w:eastAsia="Calibri" w:hAnsi="Calibri"/>
                <w:sz w:val="19"/>
                <w:szCs w:val="19"/>
              </w:rPr>
              <w:t xml:space="preserve">4</w:t>
            </w:r>
          </w:p>
        </w:tc>
        <w:tc>
          <w:tcPr>
            <w:tcW w:type="dxa" w:w="7200"/>
            <w:tcMar>
              <w:top w:type="dxa" w:w="80"/>
              <w:left w:type="dxa" w:w="110"/>
              <w:bottom w:type="dxa" w:w="80"/>
              <w:right w:type="dxa" w:w="110"/>
            </w:tcMar>
          </w:tcPr>
          <w:p>
            <w:pPr>
              <w:spacing w:after="0"/>
            </w:pPr>
            <w:r>
              <w:rPr>
                <w:rFonts w:ascii="Calibri" w:cs="Calibri" w:eastAsia="Calibri" w:hAnsi="Calibri"/>
                <w:sz w:val="19"/>
                <w:szCs w:val="19"/>
              </w:rPr>
              <w:t xml:space="preserve">Kill criteria evaluated and documented. Results written up. Go / no-go on the signal claim.</w:t>
            </w:r>
          </w:p>
        </w:tc>
      </w:tr>
    </w:tbl>
    <w:p>
      <w:pPr>
        <w:spacing w:after="140"/>
      </w:pPr>
      <w:r>
        <w:t xml:space="preserve"/>
      </w:r>
    </w:p>
    <w:p>
      <w:pPr>
        <w:pStyle w:val="Heading2"/>
        <w:spacing w:after="120" w:before="260"/>
      </w:pPr>
      <w:r>
        <w:rPr>
          <w:rFonts w:ascii="Calibri" w:cs="Calibri" w:eastAsia="Calibri" w:hAnsi="Calibri"/>
          <w:b/>
          <w:bCs/>
          <w:color w:val="1F3864"/>
          <w:sz w:val="25"/>
          <w:szCs w:val="25"/>
        </w:rPr>
        <w:t xml:space="preserve">7.3 Dependencies and sequencing</w:t>
      </w:r>
    </w:p>
    <w:p>
      <w:pPr>
        <w:pStyle w:val="ListParagraph"/>
        <w:numPr>
          <w:ilvl w:val="0"/>
          <w:numId w:val="2"/>
        </w:numPr>
        <w:spacing w:after="80" w:line="276"/>
      </w:pPr>
      <w:r>
        <w:rPr>
          <w:rFonts w:ascii="Calibri" w:cs="Calibri" w:eastAsia="Calibri" w:hAnsi="Calibri"/>
          <w:sz w:val="21"/>
          <w:szCs w:val="21"/>
        </w:rPr>
        <w:t xml:space="preserve">v2.5 must not start before v2 is complete and the Streamlit demo is deployed. Partial systems compound.</w:t>
      </w:r>
    </w:p>
    <w:p>
      <w:pPr>
        <w:pStyle w:val="ListParagraph"/>
        <w:numPr>
          <w:ilvl w:val="0"/>
          <w:numId w:val="2"/>
        </w:numPr>
        <w:spacing w:after="80" w:line="276"/>
      </w:pPr>
      <w:r>
        <w:rPr>
          <w:rFonts w:ascii="Calibri" w:cs="Calibri" w:eastAsia="Calibri" w:hAnsi="Calibri"/>
          <w:sz w:val="21"/>
          <w:szCs w:val="21"/>
        </w:rPr>
        <w:t xml:space="preserve">Airflow must be running before the PIT vendor is subscribed — otherwise the subscription burns months while ingestion is hand-run.</w:t>
      </w:r>
    </w:p>
    <w:p>
      <w:pPr>
        <w:pStyle w:val="ListParagraph"/>
        <w:numPr>
          <w:ilvl w:val="0"/>
          <w:numId w:val="2"/>
        </w:numPr>
        <w:spacing w:after="80" w:line="276"/>
      </w:pPr>
      <w:r>
        <w:rPr>
          <w:rFonts w:ascii="Calibri" w:cs="Calibri" w:eastAsia="Calibri" w:hAnsi="Calibri"/>
          <w:sz w:val="21"/>
          <w:szCs w:val="21"/>
        </w:rPr>
        <w:t xml:space="preserve">The cost model (week 8) must land before any result is shown to anyone. A pre-cost number shared once cannot be unshared.</w:t>
      </w:r>
    </w:p>
    <w:p>
      <w:pPr>
        <w:pStyle w:val="ListParagraph"/>
        <w:numPr>
          <w:ilvl w:val="0"/>
          <w:numId w:val="2"/>
        </w:numPr>
        <w:spacing w:after="80" w:line="276"/>
      </w:pPr>
      <w:r>
        <w:rPr>
          <w:rFonts w:ascii="Calibri" w:cs="Calibri" w:eastAsia="Calibri" w:hAnsi="Calibri"/>
          <w:sz w:val="21"/>
          <w:szCs w:val="21"/>
        </w:rPr>
        <w:t xml:space="preserve">Kill criteria (§5.5) are written and committed to the repo in week 1, not week 12.</w:t>
      </w:r>
    </w:p>
    <w:p>
      <w:pPr>
        <w:pStyle w:val="Heading1"/>
        <w:spacing w:after="160" w:before="360"/>
      </w:pPr>
      <w:r>
        <w:rPr>
          <w:rFonts w:ascii="Calibri" w:cs="Calibri" w:eastAsia="Calibri" w:hAnsi="Calibri"/>
          <w:b/>
          <w:bCs/>
          <w:color w:val="1F3864"/>
          <w:sz w:val="30"/>
          <w:szCs w:val="30"/>
        </w:rPr>
        <w:t xml:space="preserve">8. Cost Model [REVISED]</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2400"/>
        <w:gridCol w:w="1900"/>
        <w:gridCol w:w="4700"/>
      </w:tblGrid>
      <w:tr>
        <w:trPr>
          <w:tblHeader/>
        </w:trPr>
        <w:tc>
          <w:tcPr>
            <w:tcW w:type="dxa" w:w="24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Phase</w:t>
            </w:r>
          </w:p>
        </w:tc>
        <w:tc>
          <w:tcPr>
            <w:tcW w:type="dxa" w:w="19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Monthly</w:t>
            </w:r>
          </w:p>
        </w:tc>
        <w:tc>
          <w:tcPr>
            <w:tcW w:type="dxa" w:w="47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Drivers</w:t>
            </w:r>
          </w:p>
        </w:tc>
      </w:tr>
      <w:tr>
        <w:tc>
          <w:tcPr>
            <w:tcW w:type="dxa" w:w="2400"/>
            <w:tcMar>
              <w:top w:type="dxa" w:w="80"/>
              <w:left w:type="dxa" w:w="110"/>
              <w:bottom w:type="dxa" w:w="80"/>
              <w:right w:type="dxa" w:w="110"/>
            </w:tcMar>
          </w:tcPr>
          <w:p>
            <w:pPr>
              <w:spacing w:after="0"/>
            </w:pPr>
            <w:r>
              <w:rPr>
                <w:rFonts w:ascii="Calibri" w:cs="Calibri" w:eastAsia="Calibri" w:hAnsi="Calibri"/>
                <w:sz w:val="19"/>
                <w:szCs w:val="19"/>
              </w:rPr>
              <w:t xml:space="preserve">v1 (Apr–Jun 2026)</w:t>
            </w:r>
          </w:p>
        </w:tc>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₹0</w:t>
            </w:r>
          </w:p>
        </w:tc>
        <w:tc>
          <w:tcPr>
            <w:tcW w:type="dxa" w:w="4700"/>
            <w:tcMar>
              <w:top w:type="dxa" w:w="80"/>
              <w:left w:type="dxa" w:w="110"/>
              <w:bottom w:type="dxa" w:w="80"/>
              <w:right w:type="dxa" w:w="110"/>
            </w:tcMar>
          </w:tcPr>
          <w:p>
            <w:pPr>
              <w:spacing w:after="0"/>
            </w:pPr>
            <w:r>
              <w:rPr>
                <w:rFonts w:ascii="Calibri" w:cs="Calibri" w:eastAsia="Calibri" w:hAnsi="Calibri"/>
                <w:sz w:val="19"/>
                <w:szCs w:val="19"/>
              </w:rPr>
              <w:t xml:space="preserve">All free tools</w:t>
            </w:r>
          </w:p>
        </w:tc>
      </w:tr>
      <w:tr>
        <w:tc>
          <w:tcPr>
            <w:tcW w:type="dxa" w:w="2400"/>
            <w:tcMar>
              <w:top w:type="dxa" w:w="80"/>
              <w:left w:type="dxa" w:w="110"/>
              <w:bottom w:type="dxa" w:w="80"/>
              <w:right w:type="dxa" w:w="110"/>
            </w:tcMar>
          </w:tcPr>
          <w:p>
            <w:pPr>
              <w:spacing w:after="0"/>
            </w:pPr>
            <w:r>
              <w:rPr>
                <w:rFonts w:ascii="Calibri" w:cs="Calibri" w:eastAsia="Calibri" w:hAnsi="Calibri"/>
                <w:sz w:val="19"/>
                <w:szCs w:val="19"/>
              </w:rPr>
              <w:t xml:space="preserve">v2 (Jul–Oct 2026)</w:t>
            </w:r>
          </w:p>
        </w:tc>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₹400–600</w:t>
            </w:r>
          </w:p>
        </w:tc>
        <w:tc>
          <w:tcPr>
            <w:tcW w:type="dxa" w:w="4700"/>
            <w:tcMar>
              <w:top w:type="dxa" w:w="80"/>
              <w:left w:type="dxa" w:w="110"/>
              <w:bottom w:type="dxa" w:w="80"/>
              <w:right w:type="dxa" w:w="110"/>
            </w:tcMar>
          </w:tcPr>
          <w:p>
            <w:pPr>
              <w:spacing w:after="0"/>
            </w:pPr>
            <w:r>
              <w:rPr>
                <w:rFonts w:ascii="Calibri" w:cs="Calibri" w:eastAsia="Calibri" w:hAnsi="Calibri"/>
                <w:sz w:val="19"/>
                <w:szCs w:val="19"/>
              </w:rPr>
              <w:t xml:space="preserve">Claude Haiku API ~₹200; Snowflake trial credit</w:t>
            </w:r>
          </w:p>
        </w:tc>
      </w:tr>
      <w:tr>
        <w:tc>
          <w:tcPr>
            <w:tcW w:type="dxa" w:w="2400"/>
            <w:tcMar>
              <w:top w:type="dxa" w:w="80"/>
              <w:left w:type="dxa" w:w="110"/>
              <w:bottom w:type="dxa" w:w="80"/>
              <w:right w:type="dxa" w:w="110"/>
            </w:tcMar>
          </w:tcPr>
          <w:p>
            <w:pPr>
              <w:spacing w:after="0"/>
            </w:pPr>
            <w:r>
              <w:rPr>
                <w:rFonts w:ascii="Calibri" w:cs="Calibri" w:eastAsia="Calibri" w:hAnsi="Calibri"/>
                <w:sz w:val="19"/>
                <w:szCs w:val="19"/>
              </w:rPr>
              <w:t xml:space="preserve">v2.5 (Nov 2026–Jan 2027)</w:t>
            </w:r>
          </w:p>
        </w:tc>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₹2,500–3,500</w:t>
            </w:r>
          </w:p>
        </w:tc>
        <w:tc>
          <w:tcPr>
            <w:tcW w:type="dxa" w:w="4700"/>
            <w:tcMar>
              <w:top w:type="dxa" w:w="80"/>
              <w:left w:type="dxa" w:w="110"/>
              <w:bottom w:type="dxa" w:w="80"/>
              <w:right w:type="dxa" w:w="110"/>
            </w:tcMar>
          </w:tcPr>
          <w:p>
            <w:pPr>
              <w:spacing w:after="0"/>
            </w:pPr>
            <w:r>
              <w:rPr>
                <w:rFonts w:ascii="Calibri" w:cs="Calibri" w:eastAsia="Calibri" w:hAnsi="Calibri"/>
                <w:sz w:val="19"/>
                <w:szCs w:val="19"/>
              </w:rPr>
              <w:t xml:space="preserve">PIT data ₹2,000–2,800; LLM ~₹300; Databricks compute for sweeps ~₹400</w:t>
            </w:r>
          </w:p>
        </w:tc>
      </w:tr>
      <w:tr>
        <w:tc>
          <w:tcPr>
            <w:tcW w:type="dxa" w:w="2400"/>
            <w:tcMar>
              <w:top w:type="dxa" w:w="80"/>
              <w:left w:type="dxa" w:w="110"/>
              <w:bottom w:type="dxa" w:w="80"/>
              <w:right w:type="dxa" w:w="110"/>
            </w:tcMar>
          </w:tcPr>
          <w:p>
            <w:pPr>
              <w:spacing w:after="0"/>
            </w:pPr>
            <w:r>
              <w:rPr>
                <w:rFonts w:ascii="Calibri" w:cs="Calibri" w:eastAsia="Calibri" w:hAnsi="Calibri"/>
                <w:sz w:val="19"/>
                <w:szCs w:val="19"/>
              </w:rPr>
              <w:t xml:space="preserve">v3 (Feb–Apr 2027)</w:t>
            </w:r>
          </w:p>
        </w:tc>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₹3,500–4,500</w:t>
            </w:r>
          </w:p>
        </w:tc>
        <w:tc>
          <w:tcPr>
            <w:tcW w:type="dxa" w:w="4700"/>
            <w:tcMar>
              <w:top w:type="dxa" w:w="80"/>
              <w:left w:type="dxa" w:w="110"/>
              <w:bottom w:type="dxa" w:w="80"/>
              <w:right w:type="dxa" w:w="110"/>
            </w:tcMar>
          </w:tcPr>
          <w:p>
            <w:pPr>
              <w:spacing w:after="0"/>
            </w:pPr>
            <w:r>
              <w:rPr>
                <w:rFonts w:ascii="Calibri" w:cs="Calibri" w:eastAsia="Calibri" w:hAnsi="Calibri"/>
                <w:sz w:val="19"/>
                <w:szCs w:val="19"/>
              </w:rPr>
              <w:t xml:space="preserve">PIT data; higher LLM volume from RAG; Pinecone; managed Airflow if self-hosting becomes a burden</w:t>
            </w:r>
          </w:p>
        </w:tc>
      </w:tr>
      <w:tr>
        <w:tc>
          <w:tcPr>
            <w:tcW w:type="dxa" w:w="2400"/>
            <w:tcMar>
              <w:top w:type="dxa" w:w="80"/>
              <w:left w:type="dxa" w:w="110"/>
              <w:bottom w:type="dxa" w:w="80"/>
              <w:right w:type="dxa" w:w="110"/>
            </w:tcMar>
          </w:tcPr>
          <w:p>
            <w:pPr>
              <w:spacing w:after="0"/>
            </w:pPr>
            <w:r>
              <w:rPr>
                <w:rFonts w:ascii="Calibri" w:cs="Calibri" w:eastAsia="Calibri" w:hAnsi="Calibri"/>
                <w:sz w:val="19"/>
                <w:szCs w:val="19"/>
              </w:rPr>
              <w:t xml:space="preserve">Total to Apr 2027</w:t>
            </w:r>
          </w:p>
        </w:tc>
        <w:tc>
          <w:tcPr>
            <w:tcW w:type="dxa" w:w="1900"/>
            <w:tcMar>
              <w:top w:type="dxa" w:w="80"/>
              <w:left w:type="dxa" w:w="110"/>
              <w:bottom w:type="dxa" w:w="80"/>
              <w:right w:type="dxa" w:w="110"/>
            </w:tcMar>
          </w:tcPr>
          <w:p>
            <w:pPr>
              <w:spacing w:after="0"/>
            </w:pPr>
            <w:r>
              <w:rPr>
                <w:rFonts w:ascii="Calibri" w:cs="Calibri" w:eastAsia="Calibri" w:hAnsi="Calibri"/>
                <w:sz w:val="19"/>
                <w:szCs w:val="19"/>
              </w:rPr>
              <w:t xml:space="preserve">~₹35,000–45,000</w:t>
            </w:r>
          </w:p>
        </w:tc>
        <w:tc>
          <w:tcPr>
            <w:tcW w:type="dxa" w:w="4700"/>
            <w:tcMar>
              <w:top w:type="dxa" w:w="80"/>
              <w:left w:type="dxa" w:w="110"/>
              <w:bottom w:type="dxa" w:w="80"/>
              <w:right w:type="dxa" w:w="110"/>
            </w:tcMar>
          </w:tcPr>
          <w:p>
            <w:pPr>
              <w:spacing w:after="0"/>
            </w:pPr>
            <w:r>
              <w:rPr>
                <w:rFonts w:ascii="Calibri" w:cs="Calibri" w:eastAsia="Calibri" w:hAnsi="Calibri"/>
                <w:sz w:val="19"/>
                <w:szCs w:val="19"/>
              </w:rPr>
              <w:t xml:space="preserve">Up from ~₹20,000 in v2.0; the delta is almost entirely point-in-time data</w:t>
            </w:r>
          </w:p>
        </w:tc>
      </w:tr>
    </w:tbl>
    <w:p>
      <w:pPr>
        <w:spacing w:after="140"/>
      </w:pPr>
      <w:r>
        <w:t xml:space="preserve"/>
      </w:r>
    </w:p>
    <w:p>
      <w:pPr>
        <w:spacing w:after="120" w:line="276"/>
      </w:pPr>
      <w:r>
        <w:rPr>
          <w:rFonts w:ascii="Calibri" w:cs="Calibri" w:eastAsia="Calibri" w:hAnsi="Calibri"/>
          <w:sz w:val="21"/>
          <w:szCs w:val="21"/>
        </w:rPr>
        <w:t xml:space="preserve">Funding assumption from v2.0 is retained: 2–3 small freelance data projects at up to 15 hrs/week cover this comfortably. The marginal ₹20,000 introduced by v3.0 buys the difference between a backtest that survives scrutiny and one that does not — it is the highest-leverage spend in the plan.</w:t>
      </w:r>
    </w:p>
    <w:p>
      <w:pPr>
        <w:pStyle w:val="Heading1"/>
        <w:spacing w:after="160" w:before="360"/>
      </w:pPr>
      <w:r>
        <w:rPr>
          <w:rFonts w:ascii="Calibri" w:cs="Calibri" w:eastAsia="Calibri" w:hAnsi="Calibri"/>
          <w:b/>
          <w:bCs/>
          <w:color w:val="1F3864"/>
          <w:sz w:val="30"/>
          <w:szCs w:val="30"/>
        </w:rPr>
        <w:t xml:space="preserve">9. Risk Register [REVISED]</w:t>
      </w:r>
    </w:p>
    <w:p>
      <w:pPr>
        <w:pStyle w:val="Heading2"/>
        <w:spacing w:after="120" w:before="260"/>
      </w:pPr>
      <w:r>
        <w:rPr>
          <w:rFonts w:ascii="Calibri" w:cs="Calibri" w:eastAsia="Calibri" w:hAnsi="Calibri"/>
          <w:b/>
          <w:bCs/>
          <w:color w:val="1F3864"/>
          <w:sz w:val="25"/>
          <w:szCs w:val="25"/>
        </w:rPr>
        <w:t xml:space="preserve">9.1 New risks introduced by the signal pivot</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2600"/>
        <w:gridCol w:w="1200"/>
        <w:gridCol w:w="1100"/>
        <w:gridCol w:w="4100"/>
      </w:tblGrid>
      <w:tr>
        <w:trPr>
          <w:tblHeader/>
        </w:trPr>
        <w:tc>
          <w:tcPr>
            <w:tcW w:type="dxa" w:w="26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Risk</w:t>
            </w:r>
          </w:p>
        </w:tc>
        <w:tc>
          <w:tcPr>
            <w:tcW w:type="dxa" w:w="12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Likelihood</w:t>
            </w:r>
          </w:p>
        </w:tc>
        <w:tc>
          <w:tcPr>
            <w:tcW w:type="dxa" w:w="11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Impact</w:t>
            </w:r>
          </w:p>
        </w:tc>
        <w:tc>
          <w:tcPr>
            <w:tcW w:type="dxa" w:w="41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Mitigation</w:t>
            </w:r>
          </w:p>
        </w:tc>
      </w:tr>
      <w:tr>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Signal has no economic edge after costs</w:t>
            </w:r>
          </w:p>
        </w:tc>
        <w:tc>
          <w:tcPr>
            <w:tcW w:type="dxa" w:w="1200"/>
            <w:tcMar>
              <w:top w:type="dxa" w:w="80"/>
              <w:left w:type="dxa" w:w="110"/>
              <w:bottom w:type="dxa" w:w="80"/>
              <w:right w:type="dxa" w:w="110"/>
            </w:tcMar>
          </w:tcPr>
          <w:p>
            <w:pPr>
              <w:spacing w:after="0"/>
            </w:pPr>
            <w:r>
              <w:rPr>
                <w:rFonts w:ascii="Calibri" w:cs="Calibri" w:eastAsia="Calibri" w:hAnsi="Calibri"/>
                <w:sz w:val="19"/>
                <w:szCs w:val="19"/>
              </w:rPr>
              <w:t xml:space="preserve">High</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Medium</w:t>
            </w:r>
          </w:p>
        </w:tc>
        <w:tc>
          <w:tcPr>
            <w:tcW w:type="dxa" w:w="4100"/>
            <w:tcMar>
              <w:top w:type="dxa" w:w="80"/>
              <w:left w:type="dxa" w:w="110"/>
              <w:bottom w:type="dxa" w:w="80"/>
              <w:right w:type="dxa" w:w="110"/>
            </w:tcMar>
          </w:tcPr>
          <w:p>
            <w:pPr>
              <w:spacing w:after="0"/>
            </w:pPr>
            <w:r>
              <w:rPr>
                <w:rFonts w:ascii="Calibri" w:cs="Calibri" w:eastAsia="Calibri" w:hAnsi="Calibri"/>
                <w:sz w:val="19"/>
                <w:szCs w:val="19"/>
              </w:rPr>
              <w:t xml:space="preserve">Pre-registered kill criteria (§5.5). Negative result is publishable and the metric framing survives intact.</w:t>
            </w:r>
          </w:p>
        </w:tc>
      </w:tr>
      <w:tr>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Overfitting through repeated sweeps</w:t>
            </w:r>
          </w:p>
        </w:tc>
        <w:tc>
          <w:tcPr>
            <w:tcW w:type="dxa" w:w="1200"/>
            <w:tcMar>
              <w:top w:type="dxa" w:w="80"/>
              <w:left w:type="dxa" w:w="110"/>
              <w:bottom w:type="dxa" w:w="80"/>
              <w:right w:type="dxa" w:w="110"/>
            </w:tcMar>
          </w:tcPr>
          <w:p>
            <w:pPr>
              <w:spacing w:after="0"/>
            </w:pPr>
            <w:r>
              <w:rPr>
                <w:rFonts w:ascii="Calibri" w:cs="Calibri" w:eastAsia="Calibri" w:hAnsi="Calibri"/>
                <w:sz w:val="19"/>
                <w:szCs w:val="19"/>
              </w:rPr>
              <w:t xml:space="preserve">High</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High</w:t>
            </w:r>
          </w:p>
        </w:tc>
        <w:tc>
          <w:tcPr>
            <w:tcW w:type="dxa" w:w="4100"/>
            <w:tcMar>
              <w:top w:type="dxa" w:w="80"/>
              <w:left w:type="dxa" w:w="110"/>
              <w:bottom w:type="dxa" w:w="80"/>
              <w:right w:type="dxa" w:w="110"/>
            </w:tcMar>
          </w:tcPr>
          <w:p>
            <w:pPr>
              <w:spacing w:after="0"/>
            </w:pPr>
            <w:r>
              <w:rPr>
                <w:rFonts w:ascii="Calibri" w:cs="Calibri" w:eastAsia="Calibri" w:hAnsi="Calibri"/>
                <w:sz w:val="19"/>
                <w:szCs w:val="19"/>
              </w:rPr>
              <w:t xml:space="preserve">Variant counter + deflated Sharpe; walk-forward only; SGX held out entirely until the end</w:t>
            </w:r>
          </w:p>
        </w:tc>
      </w:tr>
      <w:tr>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Lookahead bias invalidates results</w:t>
            </w:r>
          </w:p>
        </w:tc>
        <w:tc>
          <w:tcPr>
            <w:tcW w:type="dxa" w:w="1200"/>
            <w:tcMar>
              <w:top w:type="dxa" w:w="80"/>
              <w:left w:type="dxa" w:w="110"/>
              <w:bottom w:type="dxa" w:w="80"/>
              <w:right w:type="dxa" w:w="110"/>
            </w:tcMar>
          </w:tcPr>
          <w:p>
            <w:pPr>
              <w:spacing w:after="0"/>
            </w:pPr>
            <w:r>
              <w:rPr>
                <w:rFonts w:ascii="Calibri" w:cs="Calibri" w:eastAsia="Calibri" w:hAnsi="Calibri"/>
                <w:sz w:val="19"/>
                <w:szCs w:val="19"/>
              </w:rPr>
              <w:t xml:space="preserve">Medium</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Critical</w:t>
            </w:r>
          </w:p>
        </w:tc>
        <w:tc>
          <w:tcPr>
            <w:tcW w:type="dxa" w:w="4100"/>
            <w:tcMar>
              <w:top w:type="dxa" w:w="80"/>
              <w:left w:type="dxa" w:w="110"/>
              <w:bottom w:type="dxa" w:w="80"/>
              <w:right w:type="dxa" w:w="110"/>
            </w:tcMar>
          </w:tcPr>
          <w:p>
            <w:pPr>
              <w:spacing w:after="0"/>
            </w:pPr>
            <w:r>
              <w:rPr>
                <w:rFonts w:ascii="Calibri" w:cs="Calibri" w:eastAsia="Calibri" w:hAnsi="Calibri"/>
                <w:sz w:val="19"/>
                <w:szCs w:val="19"/>
              </w:rPr>
              <w:t xml:space="preserve">feature_asof_ts assertions; PIT vendor; unadjusted prices for signal logic</w:t>
            </w:r>
          </w:p>
        </w:tc>
      </w:tr>
      <w:tr>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Scope creep — project never ships</w:t>
            </w:r>
          </w:p>
        </w:tc>
        <w:tc>
          <w:tcPr>
            <w:tcW w:type="dxa" w:w="1200"/>
            <w:tcMar>
              <w:top w:type="dxa" w:w="80"/>
              <w:left w:type="dxa" w:w="110"/>
              <w:bottom w:type="dxa" w:w="80"/>
              <w:right w:type="dxa" w:w="110"/>
            </w:tcMar>
          </w:tcPr>
          <w:p>
            <w:pPr>
              <w:spacing w:after="0"/>
            </w:pPr>
            <w:r>
              <w:rPr>
                <w:rFonts w:ascii="Calibri" w:cs="Calibri" w:eastAsia="Calibri" w:hAnsi="Calibri"/>
                <w:sz w:val="19"/>
                <w:szCs w:val="19"/>
              </w:rPr>
              <w:t xml:space="preserve">High</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High</w:t>
            </w:r>
          </w:p>
        </w:tc>
        <w:tc>
          <w:tcPr>
            <w:tcW w:type="dxa" w:w="4100"/>
            <w:tcMar>
              <w:top w:type="dxa" w:w="80"/>
              <w:left w:type="dxa" w:w="110"/>
              <w:bottom w:type="dxa" w:w="80"/>
              <w:right w:type="dxa" w:w="110"/>
            </w:tcMar>
          </w:tcPr>
          <w:p>
            <w:pPr>
              <w:spacing w:after="0"/>
            </w:pPr>
            <w:r>
              <w:rPr>
                <w:rFonts w:ascii="Calibri" w:cs="Calibri" w:eastAsia="Calibri" w:hAnsi="Calibri"/>
                <w:sz w:val="19"/>
                <w:szCs w:val="19"/>
              </w:rPr>
              <w:t xml:space="preserve">v2.5 is hard-capped at 12 weeks. If week 12 arrives incomplete, report what exists and move to v3.</w:t>
            </w:r>
          </w:p>
        </w:tc>
      </w:tr>
      <w:tr>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PIT vendor coverage gaps for NSE mid-caps</w:t>
            </w:r>
          </w:p>
        </w:tc>
        <w:tc>
          <w:tcPr>
            <w:tcW w:type="dxa" w:w="1200"/>
            <w:tcMar>
              <w:top w:type="dxa" w:w="80"/>
              <w:left w:type="dxa" w:w="110"/>
              <w:bottom w:type="dxa" w:w="80"/>
              <w:right w:type="dxa" w:w="110"/>
            </w:tcMar>
          </w:tcPr>
          <w:p>
            <w:pPr>
              <w:spacing w:after="0"/>
            </w:pPr>
            <w:r>
              <w:rPr>
                <w:rFonts w:ascii="Calibri" w:cs="Calibri" w:eastAsia="Calibri" w:hAnsi="Calibri"/>
                <w:sz w:val="19"/>
                <w:szCs w:val="19"/>
              </w:rPr>
              <w:t xml:space="preserve">Medium</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Medium</w:t>
            </w:r>
          </w:p>
        </w:tc>
        <w:tc>
          <w:tcPr>
            <w:tcW w:type="dxa" w:w="4100"/>
            <w:tcMar>
              <w:top w:type="dxa" w:w="80"/>
              <w:left w:type="dxa" w:w="110"/>
              <w:bottom w:type="dxa" w:w="80"/>
              <w:right w:type="dxa" w:w="110"/>
            </w:tcMar>
          </w:tcPr>
          <w:p>
            <w:pPr>
              <w:spacing w:after="0"/>
            </w:pPr>
            <w:r>
              <w:rPr>
                <w:rFonts w:ascii="Calibri" w:cs="Calibri" w:eastAsia="Calibri" w:hAnsi="Calibri"/>
                <w:sz w:val="19"/>
                <w:szCs w:val="19"/>
              </w:rPr>
              <w:t xml:space="preserve">Evaluate coverage before subscribing; fall back to large-cap-only tradeable universe</w:t>
            </w:r>
          </w:p>
        </w:tc>
      </w:tr>
      <w:tr>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Regulatory perception of a "trading signal"</w:t>
            </w:r>
          </w:p>
        </w:tc>
        <w:tc>
          <w:tcPr>
            <w:tcW w:type="dxa" w:w="1200"/>
            <w:tcMar>
              <w:top w:type="dxa" w:w="80"/>
              <w:left w:type="dxa" w:w="110"/>
              <w:bottom w:type="dxa" w:w="80"/>
              <w:right w:type="dxa" w:w="110"/>
            </w:tcMar>
          </w:tcPr>
          <w:p>
            <w:pPr>
              <w:spacing w:after="0"/>
            </w:pPr>
            <w:r>
              <w:rPr>
                <w:rFonts w:ascii="Calibri" w:cs="Calibri" w:eastAsia="Calibri" w:hAnsi="Calibri"/>
                <w:sz w:val="19"/>
                <w:szCs w:val="19"/>
              </w:rPr>
              <w:t xml:space="preserve">Low</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High</w:t>
            </w:r>
          </w:p>
        </w:tc>
        <w:tc>
          <w:tcPr>
            <w:tcW w:type="dxa" w:w="4100"/>
            <w:tcMar>
              <w:top w:type="dxa" w:w="80"/>
              <w:left w:type="dxa" w:w="110"/>
              <w:bottom w:type="dxa" w:w="80"/>
              <w:right w:type="dxa" w:w="110"/>
            </w:tcMar>
          </w:tcPr>
          <w:p>
            <w:pPr>
              <w:spacing w:after="0"/>
            </w:pPr>
            <w:r>
              <w:rPr>
                <w:rFonts w:ascii="Calibri" w:cs="Calibri" w:eastAsia="Calibri" w:hAnsi="Calibri"/>
                <w:sz w:val="19"/>
                <w:szCs w:val="19"/>
              </w:rPr>
              <w:t xml:space="preserve">Non-advice framing everywhere; paper trading only; no third-party distribution (§10)</w:t>
            </w:r>
          </w:p>
        </w:tc>
      </w:tr>
      <w:tr>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Alpha decay during the study period</w:t>
            </w:r>
          </w:p>
        </w:tc>
        <w:tc>
          <w:tcPr>
            <w:tcW w:type="dxa" w:w="1200"/>
            <w:tcMar>
              <w:top w:type="dxa" w:w="80"/>
              <w:left w:type="dxa" w:w="110"/>
              <w:bottom w:type="dxa" w:w="80"/>
              <w:right w:type="dxa" w:w="110"/>
            </w:tcMar>
          </w:tcPr>
          <w:p>
            <w:pPr>
              <w:spacing w:after="0"/>
            </w:pPr>
            <w:r>
              <w:rPr>
                <w:rFonts w:ascii="Calibri" w:cs="Calibri" w:eastAsia="Calibri" w:hAnsi="Calibri"/>
                <w:sz w:val="19"/>
                <w:szCs w:val="19"/>
              </w:rPr>
              <w:t xml:space="preserve">Medium</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Low</w:t>
            </w:r>
          </w:p>
        </w:tc>
        <w:tc>
          <w:tcPr>
            <w:tcW w:type="dxa" w:w="4100"/>
            <w:tcMar>
              <w:top w:type="dxa" w:w="80"/>
              <w:left w:type="dxa" w:w="110"/>
              <w:bottom w:type="dxa" w:w="80"/>
              <w:right w:type="dxa" w:w="110"/>
            </w:tcMar>
          </w:tcPr>
          <w:p>
            <w:pPr>
              <w:spacing w:after="0"/>
            </w:pPr>
            <w:r>
              <w:rPr>
                <w:rFonts w:ascii="Calibri" w:cs="Calibri" w:eastAsia="Calibri" w:hAnsi="Calibri"/>
                <w:sz w:val="19"/>
                <w:szCs w:val="19"/>
              </w:rPr>
              <w:t xml:space="preserve">Report decay half-life as a finding rather than a defect</w:t>
            </w:r>
          </w:p>
        </w:tc>
      </w:tr>
    </w:tbl>
    <w:p>
      <w:pPr>
        <w:spacing w:after="140"/>
      </w:pPr>
      <w:r>
        <w:t xml:space="preserve"/>
      </w:r>
    </w:p>
    <w:p>
      <w:pPr>
        <w:pStyle w:val="Heading2"/>
        <w:spacing w:after="120" w:before="260"/>
      </w:pPr>
      <w:r>
        <w:rPr>
          <w:rFonts w:ascii="Calibri" w:cs="Calibri" w:eastAsia="Calibri" w:hAnsi="Calibri"/>
          <w:b/>
          <w:bCs/>
          <w:color w:val="1F3864"/>
          <w:sz w:val="25"/>
          <w:szCs w:val="25"/>
        </w:rPr>
        <w:t xml:space="preserve">9.2 Retained risks from v2.0</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3400"/>
        <w:gridCol w:w="5600"/>
      </w:tblGrid>
      <w:tr>
        <w:trPr>
          <w:tblHeader/>
        </w:trPr>
        <w:tc>
          <w:tcPr>
            <w:tcW w:type="dxa" w:w="34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Risk</w:t>
            </w:r>
          </w:p>
        </w:tc>
        <w:tc>
          <w:tcPr>
            <w:tcW w:type="dxa" w:w="56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Status</w:t>
            </w:r>
          </w:p>
        </w:tc>
      </w:tr>
      <w:tr>
        <w:tc>
          <w:tcPr>
            <w:tcW w:type="dxa" w:w="3400"/>
            <w:tcMar>
              <w:top w:type="dxa" w:w="80"/>
              <w:left w:type="dxa" w:w="110"/>
              <w:bottom w:type="dxa" w:w="80"/>
              <w:right w:type="dxa" w:w="110"/>
            </w:tcMar>
          </w:tcPr>
          <w:p>
            <w:pPr>
              <w:spacing w:after="0"/>
            </w:pPr>
            <w:r>
              <w:rPr>
                <w:rFonts w:ascii="Calibri" w:cs="Calibri" w:eastAsia="Calibri" w:hAnsi="Calibri"/>
                <w:sz w:val="19"/>
                <w:szCs w:val="19"/>
              </w:rPr>
              <w:t xml:space="preserve">High INCONCLUSIVE rate in illiquid names</w:t>
            </w:r>
          </w:p>
        </w:tc>
        <w:tc>
          <w:tcPr>
            <w:tcW w:type="dxa" w:w="5600"/>
            <w:tcMar>
              <w:top w:type="dxa" w:w="80"/>
              <w:left w:type="dxa" w:w="110"/>
              <w:bottom w:type="dxa" w:w="80"/>
              <w:right w:type="dxa" w:w="110"/>
            </w:tcMar>
          </w:tcPr>
          <w:p>
            <w:pPr>
              <w:spacing w:after="0"/>
            </w:pPr>
            <w:r>
              <w:rPr>
                <w:rFonts w:ascii="Calibri" w:cs="Calibri" w:eastAsia="Calibri" w:hAnsi="Calibri"/>
                <w:sz w:val="19"/>
                <w:szCs w:val="19"/>
              </w:rPr>
              <w:t xml:space="preserve">Mitigated — tiered T_efficient; small-caps excluded from tradeable universe</w:t>
            </w:r>
          </w:p>
        </w:tc>
      </w:tr>
      <w:tr>
        <w:tc>
          <w:tcPr>
            <w:tcW w:type="dxa" w:w="3400"/>
            <w:tcMar>
              <w:top w:type="dxa" w:w="80"/>
              <w:left w:type="dxa" w:w="110"/>
              <w:bottom w:type="dxa" w:w="80"/>
              <w:right w:type="dxa" w:w="110"/>
            </w:tcMar>
          </w:tcPr>
          <w:p>
            <w:pPr>
              <w:spacing w:after="0"/>
            </w:pPr>
            <w:r>
              <w:rPr>
                <w:rFonts w:ascii="Calibri" w:cs="Calibri" w:eastAsia="Calibri" w:hAnsi="Calibri"/>
                <w:sz w:val="19"/>
                <w:szCs w:val="19"/>
              </w:rPr>
              <w:t xml:space="preserve">NewsAPI rate limits break backtest</w:t>
            </w:r>
          </w:p>
        </w:tc>
        <w:tc>
          <w:tcPr>
            <w:tcW w:type="dxa" w:w="5600"/>
            <w:tcMar>
              <w:top w:type="dxa" w:w="80"/>
              <w:left w:type="dxa" w:w="110"/>
              <w:bottom w:type="dxa" w:w="80"/>
              <w:right w:type="dxa" w:w="110"/>
            </w:tcMar>
          </w:tcPr>
          <w:p>
            <w:pPr>
              <w:spacing w:after="0"/>
            </w:pPr>
            <w:r>
              <w:rPr>
                <w:rFonts w:ascii="Calibri" w:cs="Calibri" w:eastAsia="Calibri" w:hAnsi="Calibri"/>
                <w:sz w:val="19"/>
                <w:szCs w:val="19"/>
              </w:rPr>
              <w:t xml:space="preserve">Mitigated — cache every response on first fetch, never re-fetch</w:t>
            </w:r>
          </w:p>
        </w:tc>
      </w:tr>
      <w:tr>
        <w:tc>
          <w:tcPr>
            <w:tcW w:type="dxa" w:w="3400"/>
            <w:tcMar>
              <w:top w:type="dxa" w:w="80"/>
              <w:left w:type="dxa" w:w="110"/>
              <w:bottom w:type="dxa" w:w="80"/>
              <w:right w:type="dxa" w:w="110"/>
            </w:tcMar>
          </w:tcPr>
          <w:p>
            <w:pPr>
              <w:spacing w:after="0"/>
            </w:pPr>
            <w:r>
              <w:rPr>
                <w:rFonts w:ascii="Calibri" w:cs="Calibri" w:eastAsia="Calibri" w:hAnsi="Calibri"/>
                <w:sz w:val="19"/>
                <w:szCs w:val="19"/>
              </w:rPr>
              <w:t xml:space="preserve">LangGraph state corruption between async agents</w:t>
            </w:r>
          </w:p>
        </w:tc>
        <w:tc>
          <w:tcPr>
            <w:tcW w:type="dxa" w:w="5600"/>
            <w:tcMar>
              <w:top w:type="dxa" w:w="80"/>
              <w:left w:type="dxa" w:w="110"/>
              <w:bottom w:type="dxa" w:w="80"/>
              <w:right w:type="dxa" w:w="110"/>
            </w:tcMar>
          </w:tcPr>
          <w:p>
            <w:pPr>
              <w:spacing w:after="0"/>
            </w:pPr>
            <w:r>
              <w:rPr>
                <w:rFonts w:ascii="Calibri" w:cs="Calibri" w:eastAsia="Calibri" w:hAnsi="Calibri"/>
                <w:sz w:val="19"/>
                <w:szCs w:val="19"/>
              </w:rPr>
              <w:t xml:space="preserve">Mitigated — strict TypedDict, integration tests, max 3 retries</w:t>
            </w:r>
          </w:p>
        </w:tc>
      </w:tr>
      <w:tr>
        <w:tc>
          <w:tcPr>
            <w:tcW w:type="dxa" w:w="3400"/>
            <w:tcMar>
              <w:top w:type="dxa" w:w="80"/>
              <w:left w:type="dxa" w:w="110"/>
              <w:bottom w:type="dxa" w:w="80"/>
              <w:right w:type="dxa" w:w="110"/>
            </w:tcMar>
          </w:tcPr>
          <w:p>
            <w:pPr>
              <w:spacing w:after="0"/>
            </w:pPr>
            <w:r>
              <w:rPr>
                <w:rFonts w:ascii="Calibri" w:cs="Calibri" w:eastAsia="Calibri" w:hAnsi="Calibri"/>
                <w:sz w:val="19"/>
                <w:szCs w:val="19"/>
              </w:rPr>
              <w:t xml:space="preserve">Learning curve exceeds estimates</w:t>
            </w:r>
          </w:p>
        </w:tc>
        <w:tc>
          <w:tcPr>
            <w:tcW w:type="dxa" w:w="5600"/>
            <w:tcMar>
              <w:top w:type="dxa" w:w="80"/>
              <w:left w:type="dxa" w:w="110"/>
              <w:bottom w:type="dxa" w:w="80"/>
              <w:right w:type="dxa" w:w="110"/>
            </w:tcMar>
          </w:tcPr>
          <w:p>
            <w:pPr>
              <w:spacing w:after="0"/>
            </w:pPr>
            <w:r>
              <w:rPr>
                <w:rFonts w:ascii="Calibri" w:cs="Calibri" w:eastAsia="Calibri" w:hAnsi="Calibri"/>
                <w:sz w:val="19"/>
                <w:szCs w:val="19"/>
              </w:rPr>
              <w:t xml:space="preserve">Live — v2.5 hours already padded; 2-week buffer after each milestone</w:t>
            </w:r>
          </w:p>
        </w:tc>
      </w:tr>
      <w:tr>
        <w:tc>
          <w:tcPr>
            <w:tcW w:type="dxa" w:w="3400"/>
            <w:tcMar>
              <w:top w:type="dxa" w:w="80"/>
              <w:left w:type="dxa" w:w="110"/>
              <w:bottom w:type="dxa" w:w="80"/>
              <w:right w:type="dxa" w:w="110"/>
            </w:tcMar>
          </w:tcPr>
          <w:p>
            <w:pPr>
              <w:spacing w:after="0"/>
            </w:pPr>
            <w:r>
              <w:rPr>
                <w:rFonts w:ascii="Calibri" w:cs="Calibri" w:eastAsia="Calibri" w:hAnsi="Calibri"/>
                <w:sz w:val="19"/>
                <w:szCs w:val="19"/>
              </w:rPr>
              <w:t xml:space="preserve">Motivation dip mid-project</w:t>
            </w:r>
          </w:p>
        </w:tc>
        <w:tc>
          <w:tcPr>
            <w:tcW w:type="dxa" w:w="5600"/>
            <w:tcMar>
              <w:top w:type="dxa" w:w="80"/>
              <w:left w:type="dxa" w:w="110"/>
              <w:bottom w:type="dxa" w:w="80"/>
              <w:right w:type="dxa" w:w="110"/>
            </w:tcMar>
          </w:tcPr>
          <w:p>
            <w:pPr>
              <w:spacing w:after="0"/>
            </w:pPr>
            <w:r>
              <w:rPr>
                <w:rFonts w:ascii="Calibri" w:cs="Calibri" w:eastAsia="Calibri" w:hAnsi="Calibri"/>
                <w:sz w:val="19"/>
                <w:szCs w:val="19"/>
              </w:rPr>
              <w:t xml:space="preserve">Live — the week-12 go/no-go is a hard, dated decision point that creates closure either way</w:t>
            </w:r>
          </w:p>
        </w:tc>
      </w:tr>
    </w:tbl>
    <w:p>
      <w:pPr>
        <w:pStyle w:val="Heading1"/>
        <w:spacing w:after="160" w:before="360"/>
      </w:pPr>
      <w:r>
        <w:rPr>
          <w:rFonts w:ascii="Calibri" w:cs="Calibri" w:eastAsia="Calibri" w:hAnsi="Calibri"/>
          <w:b/>
          <w:bCs/>
          <w:color w:val="1F3864"/>
          <w:sz w:val="30"/>
          <w:szCs w:val="30"/>
        </w:rPr>
        <w:t xml:space="preserve">10. Compliance and Positioning Guardrails [NEW]</w:t>
      </w:r>
    </w:p>
    <w:p>
      <w:pPr>
        <w:spacing w:after="120" w:line="276"/>
      </w:pPr>
      <w:r>
        <w:rPr>
          <w:rFonts w:ascii="Calibri" w:cs="Calibri" w:eastAsia="Calibri" w:hAnsi="Calibri"/>
          <w:sz w:val="21"/>
          <w:szCs w:val="21"/>
        </w:rPr>
        <w:t xml:space="preserve">Building something that emits trade signals changes how the work is read. The following guardrails keep MED unambiguously a research artefact.</w:t>
      </w:r>
    </w:p>
    <w:p>
      <w:pPr>
        <w:pStyle w:val="ListParagraph"/>
        <w:numPr>
          <w:ilvl w:val="0"/>
          <w:numId w:val="2"/>
        </w:numPr>
        <w:spacing w:after="80" w:line="276"/>
      </w:pPr>
      <w:r>
        <w:rPr>
          <w:rFonts w:ascii="Calibri" w:cs="Calibri" w:eastAsia="Calibri" w:hAnsi="Calibri"/>
          <w:sz w:val="21"/>
          <w:szCs w:val="21"/>
        </w:rPr>
        <w:t xml:space="preserve">No live capital. All signals are paper-traded. No broker credentials exist anywhere in the codebase or infrastructure.</w:t>
      </w:r>
    </w:p>
    <w:p>
      <w:pPr>
        <w:pStyle w:val="ListParagraph"/>
        <w:numPr>
          <w:ilvl w:val="0"/>
          <w:numId w:val="2"/>
        </w:numPr>
        <w:spacing w:after="80" w:line="276"/>
      </w:pPr>
      <w:r>
        <w:rPr>
          <w:rFonts w:ascii="Calibri" w:cs="Calibri" w:eastAsia="Calibri" w:hAnsi="Calibri"/>
          <w:sz w:val="21"/>
          <w:szCs w:val="21"/>
        </w:rPr>
        <w:t xml:space="preserve">No third-party distribution. Signals are not published, sold, subscribed to, or shared as recommendations.</w:t>
      </w:r>
    </w:p>
    <w:p>
      <w:pPr>
        <w:pStyle w:val="ListParagraph"/>
        <w:numPr>
          <w:ilvl w:val="0"/>
          <w:numId w:val="2"/>
        </w:numPr>
        <w:spacing w:after="80" w:line="276"/>
      </w:pPr>
      <w:r>
        <w:rPr>
          <w:rFonts w:ascii="Calibri" w:cs="Calibri" w:eastAsia="Calibri" w:hAnsi="Calibri"/>
          <w:sz w:val="21"/>
          <w:szCs w:val="21"/>
        </w:rPr>
        <w:t xml:space="preserve">Explicit disclaimer on every public surface: README, Streamlit app footer, blog posts, preprint. Standard wording: research prototype; past simulated performance is not indicative of future results; not investment advice.</w:t>
      </w:r>
    </w:p>
    <w:p>
      <w:pPr>
        <w:pStyle w:val="ListParagraph"/>
        <w:numPr>
          <w:ilvl w:val="0"/>
          <w:numId w:val="2"/>
        </w:numPr>
        <w:spacing w:after="80" w:line="276"/>
      </w:pPr>
      <w:r>
        <w:rPr>
          <w:rFonts w:ascii="Calibri" w:cs="Calibri" w:eastAsia="Calibri" w:hAnsi="Calibri"/>
          <w:sz w:val="21"/>
          <w:szCs w:val="21"/>
        </w:rPr>
        <w:t xml:space="preserve">Data licensing respected. Vendor terms reviewed before any dataset is redistributed; derived statistics published, raw vendor data never.</w:t>
      </w:r>
    </w:p>
    <w:p>
      <w:pPr>
        <w:pStyle w:val="ListParagraph"/>
        <w:numPr>
          <w:ilvl w:val="0"/>
          <w:numId w:val="2"/>
        </w:numPr>
        <w:spacing w:after="80" w:line="276"/>
      </w:pPr>
      <w:r>
        <w:rPr>
          <w:rFonts w:ascii="Calibri" w:cs="Calibri" w:eastAsia="Calibri" w:hAnsi="Calibri"/>
          <w:sz w:val="21"/>
          <w:szCs w:val="21"/>
        </w:rPr>
        <w:t xml:space="preserve">Reproducibility over persuasion. Every published number traceable to a backtest_run_id, a data vintage and a git SHA.</w:t>
      </w:r>
    </w:p>
    <w:p>
      <w:pPr>
        <w:spacing w:after="140"/>
      </w:pPr>
      <w:r>
        <w:t xml:space="preserve"/>
      </w:r>
    </w:p>
    <w:p>
      <w:pPr>
        <w:spacing w:after="120" w:line="276"/>
      </w:pPr>
      <w:r>
        <w:rPr>
          <w:rFonts w:ascii="Calibri" w:cs="Calibri" w:eastAsia="Calibri" w:hAnsi="Calibri"/>
          <w:sz w:val="21"/>
          <w:szCs w:val="21"/>
        </w:rPr>
        <w:t xml:space="preserve">Note: this document does not constitute legal or regulatory advice. If MED ever moves toward third-party distribution or live capital, obtain professional advice on SEBI (India) and MAS (Singapore) requirements before doing so.</w:t>
      </w:r>
    </w:p>
    <w:p>
      <w:pPr>
        <w:pStyle w:val="Heading1"/>
        <w:spacing w:after="160" w:before="360"/>
      </w:pPr>
      <w:r>
        <w:rPr>
          <w:rFonts w:ascii="Calibri" w:cs="Calibri" w:eastAsia="Calibri" w:hAnsi="Calibri"/>
          <w:b/>
          <w:bCs/>
          <w:color w:val="1F3864"/>
          <w:sz w:val="30"/>
          <w:szCs w:val="30"/>
        </w:rPr>
        <w:t xml:space="preserve">11. Positioning and Narrative [REVISED]</w:t>
      </w:r>
    </w:p>
    <w:p>
      <w:pPr>
        <w:pStyle w:val="Heading2"/>
        <w:spacing w:after="120" w:before="260"/>
      </w:pPr>
      <w:r>
        <w:rPr>
          <w:rFonts w:ascii="Calibri" w:cs="Calibri" w:eastAsia="Calibri" w:hAnsi="Calibri"/>
          <w:b/>
          <w:bCs/>
          <w:color w:val="1F3864"/>
          <w:sz w:val="25"/>
          <w:szCs w:val="25"/>
        </w:rPr>
        <w:t xml:space="preserve">11.1 The hiring story</w:t>
      </w:r>
    </w:p>
    <w:p>
      <w:pPr>
        <w:spacing w:after="120" w:line="276"/>
      </w:pPr>
      <w:r>
        <w:rPr>
          <w:rFonts w:ascii="Calibri" w:cs="Calibri" w:eastAsia="Calibri" w:hAnsi="Calibri"/>
          <w:sz w:val="21"/>
          <w:szCs w:val="21"/>
        </w:rPr>
        <w:t xml:space="preserve">The dual-plane architecture is the sentence that does the most work in an interview, because it maps onto how real trading infrastructure is actually organised:</w:t>
      </w:r>
    </w:p>
    <w:p>
      <w:pPr>
        <w:spacing w:after="140"/>
      </w:pPr>
      <w:r>
        <w:t xml:space="preserve"/>
      </w:r>
    </w:p>
    <w:tbl>
      <w:tblPr>
        <w:tblW w:type="dxa" w:w="9000"/>
        <w:tblBorders>
          <w:top w:val="single" w:color="C9B896" w:sz="4"/>
          <w:left w:val="single" w:color="C9B896" w:sz="4"/>
          <w:bottom w:val="single" w:color="C9B896" w:sz="4"/>
          <w:right w:val="single" w:color="C9B896" w:sz="4"/>
          <w:insideH w:val="none" w:color="auto" w:sz="0"/>
          <w:insideV w:val="none" w:color="auto" w:sz="0"/>
        </w:tblBorders>
      </w:tblPr>
      <w:tblGrid>
        <w:gridCol w:w="1500"/>
        <w:gridCol w:w="7500"/>
      </w:tblGrid>
      <w:tr>
        <w:tc>
          <w:tcPr>
            <w:tcW w:type="dxa" w:w="1500"/>
            <w:shd w:fill="EAF4EC"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ONE-LINER</w:t>
            </w:r>
          </w:p>
        </w:tc>
        <w:tc>
          <w:tcPr>
            <w:tcW w:type="dxa" w:w="7500"/>
            <w:shd w:fill="EAF4EC" w:color="auto" w:val="clear"/>
            <w:tcMar>
              <w:top w:type="dxa" w:w="80"/>
              <w:left w:type="dxa" w:w="110"/>
              <w:bottom w:type="dxa" w:w="80"/>
              <w:right w:type="dxa" w:w="110"/>
            </w:tcMar>
          </w:tcPr>
          <w:p>
            <w:pPr>
              <w:spacing w:after="0"/>
            </w:pPr>
            <w:r>
              <w:rPr>
                <w:rFonts w:ascii="Calibri" w:cs="Calibri" w:eastAsia="Calibri" w:hAnsi="Calibri"/>
                <w:sz w:val="19"/>
                <w:szCs w:val="19"/>
              </w:rPr>
              <w:t xml:space="preserve">"I orchestrate the research pipeline with Airflow on Databricks and the live signal path with Kafka, with LangGraph agents doing the event interpretation in between — and I can show you the backtest, including the costs."</w:t>
            </w:r>
          </w:p>
        </w:tc>
      </w:tr>
    </w:tbl>
    <w:p>
      <w:pPr>
        <w:spacing w:after="140"/>
      </w:pPr>
      <w:r>
        <w:t xml:space="preserve"/>
      </w:r>
    </w:p>
    <w:p>
      <w:pPr>
        <w:spacing w:after="120" w:line="276"/>
      </w:pPr>
      <w:r>
        <w:rPr>
          <w:rFonts w:ascii="Calibri" w:cs="Calibri" w:eastAsia="Calibri" w:hAnsi="Calibri"/>
          <w:sz w:val="21"/>
          <w:szCs w:val="21"/>
        </w:rPr>
        <w:t xml:space="preserve">That is a recognisable, hireable pattern for fintech data engineering roles in Singapore and India. It signals three things at once: streaming competence, batch orchestration competence, and the judgement to know which belongs where.</w:t>
      </w:r>
    </w:p>
    <w:p>
      <w:pPr>
        <w:spacing w:after="140"/>
      </w:pPr>
      <w:r>
        <w:t xml:space="preserve"/>
      </w:r>
    </w:p>
    <w:p>
      <w:pPr>
        <w:pStyle w:val="Heading2"/>
        <w:spacing w:after="120" w:before="260"/>
      </w:pPr>
      <w:r>
        <w:rPr>
          <w:rFonts w:ascii="Calibri" w:cs="Calibri" w:eastAsia="Calibri" w:hAnsi="Calibri"/>
          <w:b/>
          <w:bCs/>
          <w:color w:val="1F3864"/>
          <w:sz w:val="25"/>
          <w:szCs w:val="25"/>
        </w:rPr>
        <w:t xml:space="preserve">11.2 Revised admissions narrative</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1400"/>
        <w:gridCol w:w="7600"/>
      </w:tblGrid>
      <w:tr>
        <w:trPr>
          <w:tblHeader/>
        </w:trPr>
        <w:tc>
          <w:tcPr>
            <w:tcW w:type="dxa" w:w="14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Version</w:t>
            </w:r>
          </w:p>
        </w:tc>
        <w:tc>
          <w:tcPr>
            <w:tcW w:type="dxa" w:w="76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The story</w:t>
            </w:r>
          </w:p>
        </w:tc>
      </w:tr>
      <w:tr>
        <w:tc>
          <w:tcPr>
            <w:tcW w:type="dxa" w:w="1400"/>
            <w:tcMar>
              <w:top w:type="dxa" w:w="80"/>
              <w:left w:type="dxa" w:w="110"/>
              <w:bottom w:type="dxa" w:w="80"/>
              <w:right w:type="dxa" w:w="110"/>
            </w:tcMar>
          </w:tcPr>
          <w:p>
            <w:pPr>
              <w:spacing w:after="0"/>
            </w:pPr>
            <w:r>
              <w:rPr>
                <w:rFonts w:ascii="Calibri" w:cs="Calibri" w:eastAsia="Calibri" w:hAnsi="Calibri"/>
                <w:sz w:val="19"/>
                <w:szCs w:val="19"/>
              </w:rPr>
              <w:t xml:space="preserve">v1</w:t>
            </w:r>
          </w:p>
        </w:tc>
        <w:tc>
          <w:tcPr>
            <w:tcW w:type="dxa" w:w="7600"/>
            <w:tcMar>
              <w:top w:type="dxa" w:w="80"/>
              <w:left w:type="dxa" w:w="110"/>
              <w:bottom w:type="dxa" w:w="80"/>
              <w:right w:type="dxa" w:w="110"/>
            </w:tcMar>
          </w:tcPr>
          <w:p>
            <w:pPr>
              <w:spacing w:after="0"/>
            </w:pPr>
            <w:r>
              <w:rPr>
                <w:rFonts w:ascii="Calibri" w:cs="Calibri" w:eastAsia="Calibri" w:hAnsi="Calibri"/>
                <w:sz w:val="19"/>
                <w:szCs w:val="19"/>
              </w:rPr>
              <w:t xml:space="preserve">I built a PAL calculator from scratch and found that NSE mid-caps took materially longer than large-caps to absorb earnings news, with a high INCONCLUSIVE rate for small-caps. I published it. That told me I needed real-time systems, not batch scripts.</w:t>
            </w:r>
          </w:p>
        </w:tc>
      </w:tr>
      <w:tr>
        <w:tc>
          <w:tcPr>
            <w:tcW w:type="dxa" w:w="1400"/>
            <w:tcMar>
              <w:top w:type="dxa" w:w="80"/>
              <w:left w:type="dxa" w:w="110"/>
              <w:bottom w:type="dxa" w:w="80"/>
              <w:right w:type="dxa" w:w="110"/>
            </w:tcMar>
          </w:tcPr>
          <w:p>
            <w:pPr>
              <w:spacing w:after="0"/>
            </w:pPr>
            <w:r>
              <w:rPr>
                <w:rFonts w:ascii="Calibri" w:cs="Calibri" w:eastAsia="Calibri" w:hAnsi="Calibri"/>
                <w:sz w:val="19"/>
                <w:szCs w:val="19"/>
              </w:rPr>
              <w:t xml:space="preserve">v2</w:t>
            </w:r>
          </w:p>
        </w:tc>
        <w:tc>
          <w:tcPr>
            <w:tcW w:type="dxa" w:w="7600"/>
            <w:tcMar>
              <w:top w:type="dxa" w:w="80"/>
              <w:left w:type="dxa" w:w="110"/>
              <w:bottom w:type="dxa" w:w="80"/>
              <w:right w:type="dxa" w:w="110"/>
            </w:tcMar>
          </w:tcPr>
          <w:p>
            <w:pPr>
              <w:spacing w:after="0"/>
            </w:pPr>
            <w:r>
              <w:rPr>
                <w:rFonts w:ascii="Calibri" w:cs="Calibri" w:eastAsia="Calibri" w:hAnsi="Calibri"/>
                <w:sz w:val="19"/>
                <w:szCs w:val="19"/>
              </w:rPr>
              <w:t xml:space="preserve">I rebuilt it as a dual-agent LangGraph workflow on a streaming bus. Maintaining shared state across two asynchronous agents — one statistical, one linguistic — taught me more about distributed design than any course.</w:t>
            </w:r>
          </w:p>
        </w:tc>
      </w:tr>
      <w:tr>
        <w:tc>
          <w:tcPr>
            <w:tcW w:type="dxa" w:w="1400"/>
            <w:tcMar>
              <w:top w:type="dxa" w:w="80"/>
              <w:left w:type="dxa" w:w="110"/>
              <w:bottom w:type="dxa" w:w="80"/>
              <w:right w:type="dxa" w:w="110"/>
            </w:tcMar>
          </w:tcPr>
          <w:p>
            <w:pPr>
              <w:spacing w:after="0"/>
            </w:pPr>
            <w:r>
              <w:rPr>
                <w:rFonts w:ascii="Calibri" w:cs="Calibri" w:eastAsia="Calibri" w:hAnsi="Calibri"/>
                <w:sz w:val="19"/>
                <w:szCs w:val="19"/>
              </w:rPr>
              <w:t xml:space="preserve">v2.5 [NEW]</w:t>
            </w:r>
          </w:p>
        </w:tc>
        <w:tc>
          <w:tcPr>
            <w:tcW w:type="dxa" w:w="7600"/>
            <w:tcMar>
              <w:top w:type="dxa" w:w="80"/>
              <w:left w:type="dxa" w:w="110"/>
              <w:bottom w:type="dxa" w:w="80"/>
              <w:right w:type="dxa" w:w="110"/>
            </w:tcMar>
          </w:tcPr>
          <w:p>
            <w:pPr>
              <w:spacing w:after="0"/>
            </w:pPr>
            <w:r>
              <w:rPr>
                <w:rFonts w:ascii="Calibri" w:cs="Calibri" w:eastAsia="Calibri" w:hAnsi="Calibri"/>
                <w:sz w:val="19"/>
                <w:szCs w:val="19"/>
              </w:rPr>
              <w:t xml:space="preserve">Then I asked the harder question: is the latency actually worth anything? I built a cost-aware backtest on point-in-time data, wrote down in advance the conditions under which I would call my own idea dead, and reported the result honestly.</w:t>
            </w:r>
          </w:p>
        </w:tc>
      </w:tr>
      <w:tr>
        <w:tc>
          <w:tcPr>
            <w:tcW w:type="dxa" w:w="1400"/>
            <w:tcMar>
              <w:top w:type="dxa" w:w="80"/>
              <w:left w:type="dxa" w:w="110"/>
              <w:bottom w:type="dxa" w:w="80"/>
              <w:right w:type="dxa" w:w="110"/>
            </w:tcMar>
          </w:tcPr>
          <w:p>
            <w:pPr>
              <w:spacing w:after="0"/>
            </w:pPr>
            <w:r>
              <w:rPr>
                <w:rFonts w:ascii="Calibri" w:cs="Calibri" w:eastAsia="Calibri" w:hAnsi="Calibri"/>
                <w:sz w:val="19"/>
                <w:szCs w:val="19"/>
              </w:rPr>
              <w:t xml:space="preserve">v3</w:t>
            </w:r>
          </w:p>
        </w:tc>
        <w:tc>
          <w:tcPr>
            <w:tcW w:type="dxa" w:w="7600"/>
            <w:tcMar>
              <w:top w:type="dxa" w:w="80"/>
              <w:left w:type="dxa" w:w="110"/>
              <w:bottom w:type="dxa" w:w="80"/>
              <w:right w:type="dxa" w:w="110"/>
            </w:tcMar>
          </w:tcPr>
          <w:p>
            <w:pPr>
              <w:spacing w:after="0"/>
            </w:pPr>
            <w:r>
              <w:rPr>
                <w:rFonts w:ascii="Calibri" w:cs="Calibri" w:eastAsia="Calibri" w:hAnsi="Calibri"/>
                <w:sz w:val="19"/>
                <w:szCs w:val="19"/>
              </w:rPr>
              <w:t xml:space="preserve">I added a Forecaster that predicts the latency regime before resolution and an explainability layer over the decision. Comparing NSE and SGX gave me the cross-market question I want to pursue in the programme.</w:t>
            </w:r>
          </w:p>
        </w:tc>
      </w:tr>
    </w:tbl>
    <w:p>
      <w:pPr>
        <w:spacing w:after="140"/>
      </w:pPr>
      <w:r>
        <w:t xml:space="preserve"/>
      </w:r>
    </w:p>
    <w:p>
      <w:pPr>
        <w:pStyle w:val="Heading2"/>
        <w:spacing w:after="120" w:before="260"/>
      </w:pPr>
      <w:r>
        <w:rPr>
          <w:rFonts w:ascii="Calibri" w:cs="Calibri" w:eastAsia="Calibri" w:hAnsi="Calibri"/>
          <w:b/>
          <w:bCs/>
          <w:color w:val="1F3864"/>
          <w:sz w:val="25"/>
          <w:szCs w:val="25"/>
        </w:rPr>
        <w:t xml:space="preserve">11.3 What this does not change</w:t>
      </w:r>
    </w:p>
    <w:p>
      <w:pPr>
        <w:spacing w:after="120" w:line="276"/>
      </w:pPr>
      <w:r>
        <w:rPr>
          <w:rFonts w:ascii="Calibri" w:cs="Calibri" w:eastAsia="Calibri" w:hAnsi="Calibri"/>
          <w:sz w:val="21"/>
          <w:szCs w:val="21"/>
        </w:rPr>
        <w:t xml:space="preserve">The academic contribution is unchanged and independent. If the signal fails its kill criteria, PAL remains a novel, measurable, publishable metric with genuine cross-market findings. The pivot adds upside without putting the original result at risk — which is the main reason it is worth doing.</w:t>
      </w:r>
    </w:p>
    <w:p>
      <w:r>
        <w:br w:type="page"/>
      </w:r>
    </w:p>
    <w:p>
      <w:pPr>
        <w:pStyle w:val="Heading1"/>
        <w:spacing w:after="160" w:before="360"/>
      </w:pPr>
      <w:r>
        <w:rPr>
          <w:rFonts w:ascii="Calibri" w:cs="Calibri" w:eastAsia="Calibri" w:hAnsi="Calibri"/>
          <w:b/>
          <w:bCs/>
          <w:color w:val="1F3864"/>
          <w:sz w:val="30"/>
          <w:szCs w:val="30"/>
        </w:rPr>
        <w:t xml:space="preserve">Appendix A: Changes from v2.0</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1600"/>
        <w:gridCol w:w="2100"/>
        <w:gridCol w:w="4200"/>
        <w:gridCol w:w="1100"/>
      </w:tblGrid>
      <w:tr>
        <w:trPr>
          <w:tblHeader/>
        </w:trPr>
        <w:tc>
          <w:tcPr>
            <w:tcW w:type="dxa" w:w="16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Area</w:t>
            </w:r>
          </w:p>
        </w:tc>
        <w:tc>
          <w:tcPr>
            <w:tcW w:type="dxa" w:w="21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v2.0</w:t>
            </w:r>
          </w:p>
        </w:tc>
        <w:tc>
          <w:tcPr>
            <w:tcW w:type="dxa" w:w="42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v3.0</w:t>
            </w:r>
          </w:p>
        </w:tc>
        <w:tc>
          <w:tcPr>
            <w:tcW w:type="dxa" w:w="11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Section</w:t>
            </w:r>
          </w:p>
        </w:tc>
      </w:tr>
      <w:tr>
        <w:tc>
          <w:tcPr>
            <w:tcW w:type="dxa" w:w="1600"/>
            <w:tcMar>
              <w:top w:type="dxa" w:w="80"/>
              <w:left w:type="dxa" w:w="110"/>
              <w:bottom w:type="dxa" w:w="80"/>
              <w:right w:type="dxa" w:w="110"/>
            </w:tcMar>
          </w:tcPr>
          <w:p>
            <w:pPr>
              <w:spacing w:after="0"/>
            </w:pPr>
            <w:r>
              <w:rPr>
                <w:rFonts w:ascii="Calibri" w:cs="Calibri" w:eastAsia="Calibri" w:hAnsi="Calibri"/>
                <w:sz w:val="19"/>
                <w:szCs w:val="19"/>
              </w:rPr>
              <w:t xml:space="preserve">Product framing</w:t>
            </w:r>
          </w:p>
        </w:tc>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Descriptive metric</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Costed, validated signal with a commercial claim</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1, 2</w:t>
            </w:r>
          </w:p>
        </w:tc>
      </w:tr>
      <w:tr>
        <w:tc>
          <w:tcPr>
            <w:tcW w:type="dxa" w:w="1600"/>
            <w:tcMar>
              <w:top w:type="dxa" w:w="80"/>
              <w:left w:type="dxa" w:w="110"/>
              <w:bottom w:type="dxa" w:w="80"/>
              <w:right w:type="dxa" w:w="110"/>
            </w:tcMar>
          </w:tcPr>
          <w:p>
            <w:pPr>
              <w:spacing w:after="0"/>
            </w:pPr>
            <w:r>
              <w:rPr>
                <w:rFonts w:ascii="Calibri" w:cs="Calibri" w:eastAsia="Calibri" w:hAnsi="Calibri"/>
                <w:sz w:val="19"/>
                <w:szCs w:val="19"/>
              </w:rPr>
              <w:t xml:space="preserve">Signal spec</w:t>
            </w:r>
          </w:p>
        </w:tc>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Absent</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Full entry/exit/sizing/capacity specification</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2.3</w:t>
            </w:r>
          </w:p>
        </w:tc>
      </w:tr>
      <w:tr>
        <w:tc>
          <w:tcPr>
            <w:tcW w:type="dxa" w:w="1600"/>
            <w:tcMar>
              <w:top w:type="dxa" w:w="80"/>
              <w:left w:type="dxa" w:w="110"/>
              <w:bottom w:type="dxa" w:w="80"/>
              <w:right w:type="dxa" w:w="110"/>
            </w:tcMar>
          </w:tcPr>
          <w:p>
            <w:pPr>
              <w:spacing w:after="0"/>
            </w:pPr>
            <w:r>
              <w:rPr>
                <w:rFonts w:ascii="Calibri" w:cs="Calibri" w:eastAsia="Calibri" w:hAnsi="Calibri"/>
                <w:sz w:val="19"/>
                <w:szCs w:val="19"/>
              </w:rPr>
              <w:t xml:space="preserve">Success metrics</w:t>
            </w:r>
          </w:p>
        </w:tc>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Implicit</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Signal, engineering and career KPIs with targets and floors</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3</w:t>
            </w:r>
          </w:p>
        </w:tc>
      </w:tr>
      <w:tr>
        <w:tc>
          <w:tcPr>
            <w:tcW w:type="dxa" w:w="1600"/>
            <w:tcMar>
              <w:top w:type="dxa" w:w="80"/>
              <w:left w:type="dxa" w:w="110"/>
              <w:bottom w:type="dxa" w:w="80"/>
              <w:right w:type="dxa" w:w="110"/>
            </w:tcMar>
          </w:tcPr>
          <w:p>
            <w:pPr>
              <w:spacing w:after="0"/>
            </w:pPr>
            <w:r>
              <w:rPr>
                <w:rFonts w:ascii="Calibri" w:cs="Calibri" w:eastAsia="Calibri" w:hAnsi="Calibri"/>
                <w:sz w:val="19"/>
                <w:szCs w:val="19"/>
              </w:rPr>
              <w:t xml:space="preserve">Orchestration</w:t>
            </w:r>
          </w:p>
        </w:tc>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Absent</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Airflow research plane with 8 named DAGs</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4.1, 4.3</w:t>
            </w:r>
          </w:p>
        </w:tc>
      </w:tr>
      <w:tr>
        <w:tc>
          <w:tcPr>
            <w:tcW w:type="dxa" w:w="1600"/>
            <w:tcMar>
              <w:top w:type="dxa" w:w="80"/>
              <w:left w:type="dxa" w:w="110"/>
              <w:bottom w:type="dxa" w:w="80"/>
              <w:right w:type="dxa" w:w="110"/>
            </w:tcMar>
          </w:tcPr>
          <w:p>
            <w:pPr>
              <w:spacing w:after="0"/>
            </w:pPr>
            <w:r>
              <w:rPr>
                <w:rFonts w:ascii="Calibri" w:cs="Calibri" w:eastAsia="Calibri" w:hAnsi="Calibri"/>
                <w:sz w:val="19"/>
                <w:szCs w:val="19"/>
              </w:rPr>
              <w:t xml:space="preserve">Architecture</w:t>
            </w:r>
          </w:p>
        </w:tc>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Single pipeline</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Explicit online / offline dual-plane separation</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4.1</w:t>
            </w:r>
          </w:p>
        </w:tc>
      </w:tr>
      <w:tr>
        <w:tc>
          <w:tcPr>
            <w:tcW w:type="dxa" w:w="1600"/>
            <w:tcMar>
              <w:top w:type="dxa" w:w="80"/>
              <w:left w:type="dxa" w:w="110"/>
              <w:bottom w:type="dxa" w:w="80"/>
              <w:right w:type="dxa" w:w="110"/>
            </w:tcMar>
          </w:tcPr>
          <w:p>
            <w:pPr>
              <w:spacing w:after="0"/>
            </w:pPr>
            <w:r>
              <w:rPr>
                <w:rFonts w:ascii="Calibri" w:cs="Calibri" w:eastAsia="Calibri" w:hAnsi="Calibri"/>
                <w:sz w:val="19"/>
                <w:szCs w:val="19"/>
              </w:rPr>
              <w:t xml:space="preserve">Kafka topics</w:t>
            </w:r>
          </w:p>
        </w:tc>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4 topics</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5 topics; trade-signals added with suppression audit trail</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4.4</w:t>
            </w:r>
          </w:p>
        </w:tc>
      </w:tr>
      <w:tr>
        <w:tc>
          <w:tcPr>
            <w:tcW w:type="dxa" w:w="1600"/>
            <w:tcMar>
              <w:top w:type="dxa" w:w="80"/>
              <w:left w:type="dxa" w:w="110"/>
              <w:bottom w:type="dxa" w:w="80"/>
              <w:right w:type="dxa" w:w="110"/>
            </w:tcMar>
          </w:tcPr>
          <w:p>
            <w:pPr>
              <w:spacing w:after="0"/>
            </w:pPr>
            <w:r>
              <w:rPr>
                <w:rFonts w:ascii="Calibri" w:cs="Calibri" w:eastAsia="Calibri" w:hAnsi="Calibri"/>
                <w:sz w:val="19"/>
                <w:szCs w:val="19"/>
              </w:rPr>
              <w:t xml:space="preserve">Backtesting</w:t>
            </w:r>
          </w:p>
        </w:tc>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One v3 line item</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Full subsystem: engine, costs, PIT, validation protocol, kill criteria</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5</w:t>
            </w:r>
          </w:p>
        </w:tc>
      </w:tr>
      <w:tr>
        <w:tc>
          <w:tcPr>
            <w:tcW w:type="dxa" w:w="1600"/>
            <w:tcMar>
              <w:top w:type="dxa" w:w="80"/>
              <w:left w:type="dxa" w:w="110"/>
              <w:bottom w:type="dxa" w:w="80"/>
              <w:right w:type="dxa" w:w="110"/>
            </w:tcMar>
          </w:tcPr>
          <w:p>
            <w:pPr>
              <w:spacing w:after="0"/>
            </w:pPr>
            <w:r>
              <w:rPr>
                <w:rFonts w:ascii="Calibri" w:cs="Calibri" w:eastAsia="Calibri" w:hAnsi="Calibri"/>
                <w:sz w:val="19"/>
                <w:szCs w:val="19"/>
              </w:rPr>
              <w:t xml:space="preserve">Transaction costs</w:t>
            </w:r>
          </w:p>
        </w:tc>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Absent</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Explicit NSE and SGX cost models, three-curve reporting</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5.2</w:t>
            </w:r>
          </w:p>
        </w:tc>
      </w:tr>
      <w:tr>
        <w:tc>
          <w:tcPr>
            <w:tcW w:type="dxa" w:w="1600"/>
            <w:tcMar>
              <w:top w:type="dxa" w:w="80"/>
              <w:left w:type="dxa" w:w="110"/>
              <w:bottom w:type="dxa" w:w="80"/>
              <w:right w:type="dxa" w:w="110"/>
            </w:tcMar>
          </w:tcPr>
          <w:p>
            <w:pPr>
              <w:spacing w:after="0"/>
            </w:pPr>
            <w:r>
              <w:rPr>
                <w:rFonts w:ascii="Calibri" w:cs="Calibri" w:eastAsia="Calibri" w:hAnsi="Calibri"/>
                <w:sz w:val="19"/>
                <w:szCs w:val="19"/>
              </w:rPr>
              <w:t xml:space="preserve">Data integrity</w:t>
            </w:r>
          </w:p>
        </w:tc>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Not addressed</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Point-in-time discipline with five named hazards and controls</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5.3</w:t>
            </w:r>
          </w:p>
        </w:tc>
      </w:tr>
      <w:tr>
        <w:tc>
          <w:tcPr>
            <w:tcW w:type="dxa" w:w="1600"/>
            <w:tcMar>
              <w:top w:type="dxa" w:w="80"/>
              <w:left w:type="dxa" w:w="110"/>
              <w:bottom w:type="dxa" w:w="80"/>
              <w:right w:type="dxa" w:w="110"/>
            </w:tcMar>
          </w:tcPr>
          <w:p>
            <w:pPr>
              <w:spacing w:after="0"/>
            </w:pPr>
            <w:r>
              <w:rPr>
                <w:rFonts w:ascii="Calibri" w:cs="Calibri" w:eastAsia="Calibri" w:hAnsi="Calibri"/>
                <w:sz w:val="19"/>
                <w:szCs w:val="19"/>
              </w:rPr>
              <w:t xml:space="preserve">Data strategy</w:t>
            </w:r>
          </w:p>
        </w:tc>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Free tiers only</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Dev vs backtest-of-record split; PIT vendor budgeted</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6</w:t>
            </w:r>
          </w:p>
        </w:tc>
      </w:tr>
      <w:tr>
        <w:tc>
          <w:tcPr>
            <w:tcW w:type="dxa" w:w="1600"/>
            <w:tcMar>
              <w:top w:type="dxa" w:w="80"/>
              <w:left w:type="dxa" w:w="110"/>
              <w:bottom w:type="dxa" w:w="80"/>
              <w:right w:type="dxa" w:w="110"/>
            </w:tcMar>
          </w:tcPr>
          <w:p>
            <w:pPr>
              <w:spacing w:after="0"/>
            </w:pPr>
            <w:r>
              <w:rPr>
                <w:rFonts w:ascii="Calibri" w:cs="Calibri" w:eastAsia="Calibri" w:hAnsi="Calibri"/>
                <w:sz w:val="19"/>
                <w:szCs w:val="19"/>
              </w:rPr>
              <w:t xml:space="preserve">Roadmap</w:t>
            </w:r>
          </w:p>
        </w:tc>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v1 / v2 / v3</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v2.5 signal layer inserted; 12-week hard-capped plan</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7</w:t>
            </w:r>
          </w:p>
        </w:tc>
      </w:tr>
      <w:tr>
        <w:tc>
          <w:tcPr>
            <w:tcW w:type="dxa" w:w="1600"/>
            <w:tcMar>
              <w:top w:type="dxa" w:w="80"/>
              <w:left w:type="dxa" w:w="110"/>
              <w:bottom w:type="dxa" w:w="80"/>
              <w:right w:type="dxa" w:w="110"/>
            </w:tcMar>
          </w:tcPr>
          <w:p>
            <w:pPr>
              <w:spacing w:after="0"/>
            </w:pPr>
            <w:r>
              <w:rPr>
                <w:rFonts w:ascii="Calibri" w:cs="Calibri" w:eastAsia="Calibri" w:hAnsi="Calibri"/>
                <w:sz w:val="19"/>
                <w:szCs w:val="19"/>
              </w:rPr>
              <w:t xml:space="preserve">Cost model</w:t>
            </w:r>
          </w:p>
        </w:tc>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~₹20,000 total</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~₹35,000–45,000 total; delta is PIT data</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8</w:t>
            </w:r>
          </w:p>
        </w:tc>
      </w:tr>
      <w:tr>
        <w:tc>
          <w:tcPr>
            <w:tcW w:type="dxa" w:w="1600"/>
            <w:tcMar>
              <w:top w:type="dxa" w:w="80"/>
              <w:left w:type="dxa" w:w="110"/>
              <w:bottom w:type="dxa" w:w="80"/>
              <w:right w:type="dxa" w:w="110"/>
            </w:tcMar>
          </w:tcPr>
          <w:p>
            <w:pPr>
              <w:spacing w:after="0"/>
            </w:pPr>
            <w:r>
              <w:rPr>
                <w:rFonts w:ascii="Calibri" w:cs="Calibri" w:eastAsia="Calibri" w:hAnsi="Calibri"/>
                <w:sz w:val="19"/>
                <w:szCs w:val="19"/>
              </w:rPr>
              <w:t xml:space="preserve">Risk register</w:t>
            </w:r>
          </w:p>
        </w:tc>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Technical + personal</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Adds overfitting, lookahead, alpha decay, regulatory perception</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9</w:t>
            </w:r>
          </w:p>
        </w:tc>
      </w:tr>
      <w:tr>
        <w:tc>
          <w:tcPr>
            <w:tcW w:type="dxa" w:w="1600"/>
            <w:tcMar>
              <w:top w:type="dxa" w:w="80"/>
              <w:left w:type="dxa" w:w="110"/>
              <w:bottom w:type="dxa" w:w="80"/>
              <w:right w:type="dxa" w:w="110"/>
            </w:tcMar>
          </w:tcPr>
          <w:p>
            <w:pPr>
              <w:spacing w:after="0"/>
            </w:pPr>
            <w:r>
              <w:rPr>
                <w:rFonts w:ascii="Calibri" w:cs="Calibri" w:eastAsia="Calibri" w:hAnsi="Calibri"/>
                <w:sz w:val="19"/>
                <w:szCs w:val="19"/>
              </w:rPr>
              <w:t xml:space="preserve">Compliance</w:t>
            </w:r>
          </w:p>
        </w:tc>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Absent</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Explicit non-advice guardrails and reproducibility rules</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10</w:t>
            </w:r>
          </w:p>
        </w:tc>
      </w:tr>
      <w:tr>
        <w:tc>
          <w:tcPr>
            <w:tcW w:type="dxa" w:w="1600"/>
            <w:tcMar>
              <w:top w:type="dxa" w:w="80"/>
              <w:left w:type="dxa" w:w="110"/>
              <w:bottom w:type="dxa" w:w="80"/>
              <w:right w:type="dxa" w:w="110"/>
            </w:tcMar>
          </w:tcPr>
          <w:p>
            <w:pPr>
              <w:spacing w:after="0"/>
            </w:pPr>
            <w:r>
              <w:rPr>
                <w:rFonts w:ascii="Calibri" w:cs="Calibri" w:eastAsia="Calibri" w:hAnsi="Calibri"/>
                <w:sz w:val="19"/>
                <w:szCs w:val="19"/>
              </w:rPr>
              <w:t xml:space="preserve">Narrative</w:t>
            </w:r>
          </w:p>
        </w:tc>
        <w:tc>
          <w:tcPr>
            <w:tcW w:type="dxa" w:w="2100"/>
            <w:tcMar>
              <w:top w:type="dxa" w:w="80"/>
              <w:left w:type="dxa" w:w="110"/>
              <w:bottom w:type="dxa" w:w="80"/>
              <w:right w:type="dxa" w:w="110"/>
            </w:tcMar>
          </w:tcPr>
          <w:p>
            <w:pPr>
              <w:spacing w:after="0"/>
            </w:pPr>
            <w:r>
              <w:rPr>
                <w:rFonts w:ascii="Calibri" w:cs="Calibri" w:eastAsia="Calibri" w:hAnsi="Calibri"/>
                <w:sz w:val="19"/>
                <w:szCs w:val="19"/>
              </w:rPr>
              <w:t xml:space="preserve">Three chapters</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Four chapters; adds the falsifiability chapter</w:t>
            </w:r>
          </w:p>
        </w:tc>
        <w:tc>
          <w:tcPr>
            <w:tcW w:type="dxa" w:w="1100"/>
            <w:tcMar>
              <w:top w:type="dxa" w:w="80"/>
              <w:left w:type="dxa" w:w="110"/>
              <w:bottom w:type="dxa" w:w="80"/>
              <w:right w:type="dxa" w:w="110"/>
            </w:tcMar>
          </w:tcPr>
          <w:p>
            <w:pPr>
              <w:spacing w:after="0"/>
            </w:pPr>
            <w:r>
              <w:rPr>
                <w:rFonts w:ascii="Calibri" w:cs="Calibri" w:eastAsia="Calibri" w:hAnsi="Calibri"/>
                <w:sz w:val="19"/>
                <w:szCs w:val="19"/>
              </w:rPr>
              <w:t xml:space="preserve">11.2</w:t>
            </w:r>
          </w:p>
        </w:tc>
      </w:tr>
    </w:tbl>
    <w:p>
      <w:pPr>
        <w:spacing w:after="140"/>
      </w:pPr>
      <w:r>
        <w:t xml:space="preserve"/>
      </w:r>
    </w:p>
    <w:p>
      <w:pPr>
        <w:pStyle w:val="Heading1"/>
        <w:spacing w:after="160" w:before="360"/>
      </w:pPr>
      <w:r>
        <w:rPr>
          <w:rFonts w:ascii="Calibri" w:cs="Calibri" w:eastAsia="Calibri" w:hAnsi="Calibri"/>
          <w:b/>
          <w:bCs/>
          <w:color w:val="1F3864"/>
          <w:sz w:val="30"/>
          <w:szCs w:val="30"/>
        </w:rPr>
        <w:t xml:space="preserve">Appendix B: Open decisions</w:t>
      </w:r>
    </w:p>
    <w:p>
      <w:pPr>
        <w:spacing w:after="120" w:line="276"/>
      </w:pPr>
      <w:r>
        <w:rPr>
          <w:rFonts w:ascii="Calibri" w:cs="Calibri" w:eastAsia="Calibri" w:hAnsi="Calibri"/>
          <w:sz w:val="21"/>
          <w:szCs w:val="21"/>
        </w:rPr>
        <w:t xml:space="preserve">Items requiring a decision before v2.5 week 1.</w:t>
      </w:r>
    </w:p>
    <w:p>
      <w:pPr>
        <w:spacing w:after="140"/>
      </w:pPr>
      <w:r>
        <w:t xml:space="preserve"/>
      </w:r>
    </w:p>
    <w:tbl>
      <w:tblPr>
        <w:tblW w:type="dxa" w:w="9000"/>
        <w:tblBorders>
          <w:top w:val="single" w:color="B4C2D9" w:sz="4"/>
          <w:left w:val="single" w:color="B4C2D9" w:sz="4"/>
          <w:bottom w:val="single" w:color="B4C2D9" w:sz="4"/>
          <w:right w:val="single" w:color="B4C2D9" w:sz="4"/>
          <w:insideH w:val="single" w:color="D3DCE9" w:sz="2"/>
          <w:insideV w:val="single" w:color="D3DCE9" w:sz="2"/>
        </w:tblBorders>
      </w:tblPr>
      <w:tblGrid>
        <w:gridCol w:w="2200"/>
        <w:gridCol w:w="3300"/>
        <w:gridCol w:w="3500"/>
      </w:tblGrid>
      <w:tr>
        <w:trPr>
          <w:tblHeader/>
        </w:trPr>
        <w:tc>
          <w:tcPr>
            <w:tcW w:type="dxa" w:w="22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Decision</w:t>
            </w:r>
          </w:p>
        </w:tc>
        <w:tc>
          <w:tcPr>
            <w:tcW w:type="dxa" w:w="33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Options</w:t>
            </w:r>
          </w:p>
        </w:tc>
        <w:tc>
          <w:tcPr>
            <w:tcW w:type="dxa" w:w="3500"/>
            <w:shd w:fill="E8EDF5"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Recommendation</w:t>
            </w:r>
          </w:p>
        </w:tc>
      </w:tr>
      <w:tr>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PIT data vendor</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Polygon.io · Tiingo · Indian vendor</w:t>
            </w:r>
          </w:p>
        </w:tc>
        <w:tc>
          <w:tcPr>
            <w:tcW w:type="dxa" w:w="3500"/>
            <w:tcMar>
              <w:top w:type="dxa" w:w="80"/>
              <w:left w:type="dxa" w:w="110"/>
              <w:bottom w:type="dxa" w:w="80"/>
              <w:right w:type="dxa" w:w="110"/>
            </w:tcMar>
          </w:tcPr>
          <w:p>
            <w:pPr>
              <w:spacing w:after="0"/>
            </w:pPr>
            <w:r>
              <w:rPr>
                <w:rFonts w:ascii="Calibri" w:cs="Calibri" w:eastAsia="Calibri" w:hAnsi="Calibri"/>
                <w:sz w:val="19"/>
                <w:szCs w:val="19"/>
              </w:rPr>
              <w:t xml:space="preserve">Evaluate NSE mid-cap coverage first; coverage beats price</w:t>
            </w:r>
          </w:p>
        </w:tc>
      </w:tr>
      <w:tr>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Airflow hosting</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Self-hosted Docker · Astronomer · MWAA</w:t>
            </w:r>
          </w:p>
        </w:tc>
        <w:tc>
          <w:tcPr>
            <w:tcW w:type="dxa" w:w="3500"/>
            <w:tcMar>
              <w:top w:type="dxa" w:w="80"/>
              <w:left w:type="dxa" w:w="110"/>
              <w:bottom w:type="dxa" w:w="80"/>
              <w:right w:type="dxa" w:w="110"/>
            </w:tcMar>
          </w:tcPr>
          <w:p>
            <w:pPr>
              <w:spacing w:after="0"/>
            </w:pPr>
            <w:r>
              <w:rPr>
                <w:rFonts w:ascii="Calibri" w:cs="Calibri" w:eastAsia="Calibri" w:hAnsi="Calibri"/>
                <w:sz w:val="19"/>
                <w:szCs w:val="19"/>
              </w:rPr>
              <w:t xml:space="preserve">Self-hosted for v2.5; revisit if DAG count exceeds ~15</w:t>
            </w:r>
          </w:p>
        </w:tc>
      </w:tr>
      <w:tr>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Databricks tier</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Community Edition · paid workspace</w:t>
            </w:r>
          </w:p>
        </w:tc>
        <w:tc>
          <w:tcPr>
            <w:tcW w:type="dxa" w:w="3500"/>
            <w:tcMar>
              <w:top w:type="dxa" w:w="80"/>
              <w:left w:type="dxa" w:w="110"/>
              <w:bottom w:type="dxa" w:w="80"/>
              <w:right w:type="dxa" w:w="110"/>
            </w:tcMar>
          </w:tcPr>
          <w:p>
            <w:pPr>
              <w:spacing w:after="0"/>
            </w:pPr>
            <w:r>
              <w:rPr>
                <w:rFonts w:ascii="Calibri" w:cs="Calibri" w:eastAsia="Calibri" w:hAnsi="Calibri"/>
                <w:sz w:val="19"/>
                <w:szCs w:val="19"/>
              </w:rPr>
              <w:t xml:space="preserve">CE until sweeps exceed its limits, then minimal paid tier</w:t>
            </w:r>
          </w:p>
        </w:tc>
      </w:tr>
      <w:tr>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Tradeable universe size</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25 names · 50 · 150</w:t>
            </w:r>
          </w:p>
        </w:tc>
        <w:tc>
          <w:tcPr>
            <w:tcW w:type="dxa" w:w="3500"/>
            <w:tcMar>
              <w:top w:type="dxa" w:w="80"/>
              <w:left w:type="dxa" w:w="110"/>
              <w:bottom w:type="dxa" w:w="80"/>
              <w:right w:type="dxa" w:w="110"/>
            </w:tcMar>
          </w:tcPr>
          <w:p>
            <w:pPr>
              <w:spacing w:after="0"/>
            </w:pPr>
            <w:r>
              <w:rPr>
                <w:rFonts w:ascii="Calibri" w:cs="Calibri" w:eastAsia="Calibri" w:hAnsi="Calibri"/>
                <w:sz w:val="19"/>
                <w:szCs w:val="19"/>
              </w:rPr>
              <w:t xml:space="preserve">Start at 50; fewer names means fewer signals means weaker statistics</w:t>
            </w:r>
          </w:p>
        </w:tc>
      </w:tr>
      <w:tr>
        <w:tc>
          <w:tcPr>
            <w:tcW w:type="dxa" w:w="2200"/>
            <w:tcMar>
              <w:top w:type="dxa" w:w="80"/>
              <w:left w:type="dxa" w:w="110"/>
              <w:bottom w:type="dxa" w:w="80"/>
              <w:right w:type="dxa" w:w="110"/>
            </w:tcMar>
          </w:tcPr>
          <w:p>
            <w:pPr>
              <w:spacing w:after="0"/>
            </w:pPr>
            <w:r>
              <w:rPr>
                <w:rFonts w:ascii="Calibri" w:cs="Calibri" w:eastAsia="Calibri" w:hAnsi="Calibri"/>
                <w:sz w:val="19"/>
                <w:szCs w:val="19"/>
              </w:rPr>
              <w:t xml:space="preserve">Publication order</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Signal result first · metric result first</w:t>
            </w:r>
          </w:p>
        </w:tc>
        <w:tc>
          <w:tcPr>
            <w:tcW w:type="dxa" w:w="3500"/>
            <w:tcMar>
              <w:top w:type="dxa" w:w="80"/>
              <w:left w:type="dxa" w:w="110"/>
              <w:bottom w:type="dxa" w:w="80"/>
              <w:right w:type="dxa" w:w="110"/>
            </w:tcMar>
          </w:tcPr>
          <w:p>
            <w:pPr>
              <w:spacing w:after="0"/>
            </w:pPr>
            <w:r>
              <w:rPr>
                <w:rFonts w:ascii="Calibri" w:cs="Calibri" w:eastAsia="Calibri" w:hAnsi="Calibri"/>
                <w:sz w:val="19"/>
                <w:szCs w:val="19"/>
              </w:rPr>
              <w:t xml:space="preserve">Metric first — it is already de-risked and does not depend on the backtest outcome</w:t>
            </w:r>
          </w:p>
        </w:tc>
      </w:tr>
    </w:tbl>
    <w:p>
      <w:pPr>
        <w:spacing w:after="140"/>
      </w:pPr>
      <w:r>
        <w:t xml:space="preserve"/>
      </w:r>
    </w:p>
    <w:p>
      <w:pPr>
        <w:spacing w:after="140"/>
      </w:pPr>
      <w:r>
        <w:t xml:space="preserve"/>
      </w:r>
    </w:p>
    <w:p>
      <w:pPr>
        <w:jc w:val="center"/>
      </w:pPr>
      <w:r>
        <w:rPr>
          <w:rFonts w:ascii="Calibri" w:cs="Calibri" w:eastAsia="Calibri" w:hAnsi="Calibri"/>
          <w:i/>
          <w:iCs/>
          <w:color w:val="595959"/>
          <w:sz w:val="19"/>
          <w:szCs w:val="19"/>
        </w:rPr>
        <w:t xml:space="preserve">This document is a living specification. Update the version number and revision date as each milestone completes.</w:t>
      </w:r>
    </w:p>
    <w:p>
      <w:pPr>
        <w:jc w:val="center"/>
      </w:pPr>
      <w:r>
        <w:rPr>
          <w:rFonts w:ascii="Calibri" w:cs="Calibri" w:eastAsia="Calibri" w:hAnsi="Calibri"/>
          <w:i/>
          <w:iCs/>
          <w:color w:val="595959"/>
          <w:sz w:val="19"/>
          <w:szCs w:val="19"/>
        </w:rPr>
        <w:t xml:space="preserve">Market Efficiency Detector — PRD v3.0 — September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2026-09-18T17:19:06.972Z</dcterms:created>
  <dcterms:modified xsi:type="dcterms:W3CDTF">2026-09-18T17:19:06.982Z</dcterms:modified>
</cp:coreProperties>
</file>

<file path=docProps/custom.xml><?xml version="1.0" encoding="utf-8"?>
<Properties xmlns="http://schemas.openxmlformats.org/officeDocument/2006/custom-properties" xmlns:vt="http://schemas.openxmlformats.org/officeDocument/2006/docPropsVTypes"/>
</file>