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20.jpg" ContentType="image/jpeg"/>
  <Override PartName="/word/media/rId33.png" ContentType="image/png"/>
  <Override PartName="/word/media/rId29.png" ContentType="image/png"/>
  <Override PartName="/word/media/rId41.jpg" ContentType="image/jpeg"/>
  <Override PartName="/word/media/rId69.svg" ContentType="image/svg+xml"/>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t xml:space="preserve">Graphs</w:t>
      </w:r>
    </w:p>
    <w:p>
      <w:pPr>
        <w:pStyle w:val="Subtitle"/>
      </w:pPr>
      <w:r>
        <w:t xml:space="preserve">Charts and How they are generated from Data</w:t>
      </w:r>
    </w:p>
    <w:p>
      <w:pPr>
        <w:pStyle w:val="Author"/>
      </w:pPr>
      <w:r>
        <w:t xml:space="preserve">Arvind V.</w:t>
      </w:r>
    </w:p>
    <w:p>
      <w:pPr>
        <w:pStyle w:val="Date"/>
      </w:pPr>
      <w:r>
        <w:t xml:space="preserve">2021-11-01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drawing>
          <wp:inline>
            <wp:extent cx="3528798" cy="2381250"/>
            <wp:effectExtent b="0" l="0" r="0" t="0"/>
            <wp:docPr descr="" title="" id="21" name="Picture"/>
            <a:graphic>
              <a:graphicData uri="http://schemas.openxmlformats.org/drawingml/2006/picture">
                <pic:pic>
                  <pic:nvPicPr>
                    <pic:cNvPr descr="../../../../../materials/images/2book11.jpg" id="22" name="Picture"/>
                    <pic:cNvPicPr>
                      <a:picLocks noChangeArrowheads="1" noChangeAspect="1"/>
                    </pic:cNvPicPr>
                  </pic:nvPicPr>
                  <pic:blipFill>
                    <a:blip r:embed="rId20"/>
                    <a:stretch>
                      <a:fillRect/>
                    </a:stretch>
                  </pic:blipFill>
                  <pic:spPr bwMode="auto">
                    <a:xfrm>
                      <a:off x="0" y="0"/>
                      <a:ext cx="3528798" cy="2381250"/>
                    </a:xfrm>
                    <a:prstGeom prst="rect">
                      <a:avLst/>
                    </a:prstGeom>
                    <a:noFill/>
                    <a:ln w="9525">
                      <a:noFill/>
                      <a:headEnd/>
                      <a:tailEnd/>
                    </a:ln>
                  </pic:spPr>
                </pic:pic>
              </a:graphicData>
            </a:graphic>
          </wp:inline>
        </w:drawing>
      </w:r>
    </w:p>
    <w:p>
      <w:pPr>
        <w:pStyle w:val="BodyText"/>
      </w:pPr>
      <w:r>
        <w:t xml:space="preserve">““He is one of those who don’t want millions, but an answer to their questions.”</w:t>
      </w:r>
    </w:p>
    <w:p>
      <w:pPr>
        <w:pStyle w:val="BodyText"/>
      </w:pPr>
      <w:r>
        <w:t xml:space="preserve">— Alyosha, in The Brothers Karamazov</w:t>
      </w:r>
    </w:p>
    <w:bookmarkStart w:id="24" w:name="setting-up-r-packages"/>
    <w:p>
      <w:pPr>
        <w:pStyle w:val="Heading2"/>
      </w:pPr>
      <w:r>
        <w:t xml:space="preserve"> </w:t>
      </w:r>
      <w:r>
        <w:t xml:space="preserve">Setting up R Packages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(mosaic) </w:t>
      </w:r>
      <w:r>
        <w:rPr>
          <w:rStyle w:val="CommentTok"/>
        </w:rPr>
        <w:t xml:space="preserve"># Our all-in-one package</w:t>
      </w:r>
      <w:r>
        <w:br/>
      </w:r>
      <w:r>
        <w:rPr>
          <w:rStyle w:val="FunctionTok"/>
        </w:rPr>
        <w:t xml:space="preserve">library</w:t>
      </w:r>
      <w:r>
        <w:rPr>
          <w:rStyle w:val="NormalTok"/>
        </w:rPr>
        <w:t xml:space="preserve">(skimr) </w:t>
      </w:r>
      <w:r>
        <w:rPr>
          <w:rStyle w:val="CommentTok"/>
        </w:rPr>
        <w:t xml:space="preserve"># Looking at data</w:t>
      </w:r>
      <w:r>
        <w:br/>
      </w:r>
      <w:r>
        <w:rPr>
          <w:rStyle w:val="FunctionTok"/>
        </w:rPr>
        <w:t xml:space="preserve">library</w:t>
      </w:r>
      <w:r>
        <w:rPr>
          <w:rStyle w:val="NormalTok"/>
        </w:rPr>
        <w:t xml:space="preserve">(ggformula) </w:t>
      </w:r>
      <w:r>
        <w:rPr>
          <w:rStyle w:val="CommentTok"/>
        </w:rPr>
        <w:t xml:space="preserve"># Our plotting package</w:t>
      </w:r>
      <w:r>
        <w:br/>
      </w:r>
      <w:r>
        <w:rPr>
          <w:rStyle w:val="FunctionTok"/>
        </w:rPr>
        <w:t xml:space="preserve">library</w:t>
      </w:r>
      <w:r>
        <w:rPr>
          <w:rStyle w:val="NormalTok"/>
        </w:rPr>
        <w:t xml:space="preserve">(visdat) </w:t>
      </w:r>
      <w:r>
        <w:rPr>
          <w:rStyle w:val="CommentTok"/>
        </w:rPr>
        <w:t xml:space="preserve"># Mapping missing data</w:t>
      </w:r>
      <w:r>
        <w:br/>
      </w:r>
      <w:r>
        <w:rPr>
          <w:rStyle w:val="FunctionTok"/>
        </w:rPr>
        <w:t xml:space="preserve">library</w:t>
      </w:r>
      <w:r>
        <w:rPr>
          <w:rStyle w:val="NormalTok"/>
        </w:rPr>
        <w:t xml:space="preserve">(naniar) </w:t>
      </w:r>
      <w:r>
        <w:rPr>
          <w:rStyle w:val="CommentTok"/>
        </w:rPr>
        <w:t xml:space="preserve"># Missing data visualization and munging</w:t>
      </w:r>
      <w:r>
        <w:br/>
      </w:r>
      <w:r>
        <w:rPr>
          <w:rStyle w:val="FunctionTok"/>
        </w:rPr>
        <w:t xml:space="preserve">library</w:t>
      </w:r>
      <w:r>
        <w:rPr>
          <w:rStyle w:val="NormalTok"/>
        </w:rPr>
        <w:t xml:space="preserve">(janitor) </w:t>
      </w:r>
      <w:r>
        <w:rPr>
          <w:rStyle w:val="CommentTok"/>
        </w:rPr>
        <w:t xml:space="preserve"># Clean the data</w:t>
      </w:r>
      <w:r>
        <w:br/>
      </w:r>
      <w:r>
        <w:rPr>
          <w:rStyle w:val="FunctionTok"/>
        </w:rPr>
        <w:t xml:space="preserve">library</w:t>
      </w:r>
      <w:r>
        <w:rPr>
          <w:rStyle w:val="NormalTok"/>
        </w:rPr>
        <w:t xml:space="preserve">(tinytable) </w:t>
      </w:r>
      <w:r>
        <w:rPr>
          <w:rStyle w:val="CommentTok"/>
        </w:rPr>
        <w:t xml:space="preserve"># Printing Tables for our data</w:t>
      </w:r>
      <w:r>
        <w:br/>
      </w:r>
      <w:r>
        <w:rPr>
          <w:rStyle w:val="FunctionTok"/>
        </w:rPr>
        <w:t xml:space="preserve">library</w:t>
      </w:r>
      <w:r>
        <w:rPr>
          <w:rStyle w:val="NormalTok"/>
        </w:rPr>
        <w:t xml:space="preserve">(DT) </w:t>
      </w:r>
      <w:r>
        <w:rPr>
          <w:rStyle w:val="CommentTok"/>
        </w:rPr>
        <w:t xml:space="preserve"># Interactive Tables for our data</w:t>
      </w:r>
      <w:r>
        <w:br/>
      </w:r>
      <w:r>
        <w:rPr>
          <w:rStyle w:val="DocumentationTok"/>
        </w:rPr>
        <w:t xml:space="preserve">##</w:t>
      </w:r>
      <w:r>
        <w:br/>
      </w:r>
      <w:r>
        <w:rPr>
          <w:rStyle w:val="CommentTok"/>
        </w:rPr>
        <w:t xml:space="preserve"># devtools::install_github("rpruim/Lock5withR")</w:t>
      </w:r>
      <w:r>
        <w:br/>
      </w:r>
      <w:r>
        <w:rPr>
          <w:rStyle w:val="FunctionTok"/>
        </w:rPr>
        <w:t xml:space="preserve">library</w:t>
      </w:r>
      <w:r>
        <w:rPr>
          <w:rStyle w:val="NormalTok"/>
        </w:rPr>
        <w:t xml:space="preserve">(Lock5withR)</w:t>
      </w:r>
      <w:r>
        <w:br/>
      </w:r>
      <w:r>
        <w:rPr>
          <w:rStyle w:val="FunctionTok"/>
        </w:rPr>
        <w:t xml:space="preserve">library</w:t>
      </w:r>
      <w:r>
        <w:rPr>
          <w:rStyle w:val="NormalTok"/>
        </w:rPr>
        <w:t xml:space="preserve">(Lock5Data) </w:t>
      </w:r>
      <w:r>
        <w:rPr>
          <w:rStyle w:val="CommentTok"/>
        </w:rPr>
        <w:t xml:space="preserve"># Some neat little datasets from a lovely textbook</w:t>
      </w:r>
    </w:p>
    <w:bookmarkStart w:id="23" w:name="plot-fonts-and-theme"/>
    <w:p>
      <w:pPr>
        <w:pStyle w:val="Heading4"/>
      </w:pPr>
      <w:r>
        <w:t xml:space="preserve">Plot Fonts and Theme</w:t>
      </w:r>
    </w:p>
    <w:p>
      <w:pPr>
        <w:pStyle w:val="SourceCode"/>
      </w:pPr>
      <w:r>
        <w:rPr>
          <w:rStyle w:val="FunctionTok"/>
        </w:rPr>
        <w:t xml:space="preserve">library</w:t>
      </w:r>
      <w:r>
        <w:rPr>
          <w:rStyle w:val="NormalTok"/>
        </w:rPr>
        <w:t xml:space="preserve">(systemfonts)</w:t>
      </w:r>
      <w:r>
        <w:br/>
      </w:r>
      <w:r>
        <w:rPr>
          <w:rStyle w:val="FunctionTok"/>
        </w:rPr>
        <w:t xml:space="preserve">library</w:t>
      </w:r>
      <w:r>
        <w:rPr>
          <w:rStyle w:val="NormalTok"/>
        </w:rPr>
        <w:t xml:space="preserve">(showtext)</w:t>
      </w:r>
      <w:r>
        <w:br/>
      </w:r>
      <w:r>
        <w:rPr>
          <w:rStyle w:val="DocumentationTok"/>
        </w:rPr>
        <w:t xml:space="preserve">## Clean the slate</w:t>
      </w:r>
      <w:r>
        <w:br/>
      </w:r>
      <w:r>
        <w:rPr>
          <w:rStyle w:val="NormalTok"/>
        </w:rPr>
        <w:t xml:space="preserve">systemfonts</w:t>
      </w:r>
      <w:r>
        <w:rPr>
          <w:rStyle w:val="SpecialCharTok"/>
        </w:rPr>
        <w:t xml:space="preserve">::</w:t>
      </w:r>
      <w:r>
        <w:rPr>
          <w:rStyle w:val="FunctionTok"/>
        </w:rPr>
        <w:t xml:space="preserve">clear_local_fonts</w:t>
      </w:r>
      <w:r>
        <w:rPr>
          <w:rStyle w:val="NormalTok"/>
        </w:rPr>
        <w:t xml:space="preserve">()</w:t>
      </w:r>
      <w:r>
        <w:br/>
      </w:r>
      <w:r>
        <w:rPr>
          <w:rStyle w:val="NormalTok"/>
        </w:rPr>
        <w:t xml:space="preserve">systemfonts</w:t>
      </w:r>
      <w:r>
        <w:rPr>
          <w:rStyle w:val="SpecialCharTok"/>
        </w:rPr>
        <w:t xml:space="preserve">::</w:t>
      </w:r>
      <w:r>
        <w:rPr>
          <w:rStyle w:val="FunctionTok"/>
        </w:rPr>
        <w:t xml:space="preserve">clear_registry</w:t>
      </w:r>
      <w:r>
        <w:rPr>
          <w:rStyle w:val="NormalTok"/>
        </w:rPr>
        <w:t xml:space="preserve">()</w:t>
      </w:r>
      <w:r>
        <w:br/>
      </w:r>
      <w:r>
        <w:rPr>
          <w:rStyle w:val="DocumentationTok"/>
        </w:rPr>
        <w:t xml:space="preserve">##</w:t>
      </w:r>
      <w:r>
        <w:br/>
      </w:r>
      <w:r>
        <w:rPr>
          <w:rStyle w:val="FunctionTok"/>
        </w:rPr>
        <w:t xml:space="preserve">showtext_opts</w:t>
      </w:r>
      <w:r>
        <w:rPr>
          <w:rStyle w:val="NormalTok"/>
        </w:rPr>
        <w:t xml:space="preserve">(</w:t>
      </w:r>
      <w:r>
        <w:rPr>
          <w:rStyle w:val="AttributeTok"/>
        </w:rPr>
        <w:t xml:space="preserve">dpi =</w:t>
      </w:r>
      <w:r>
        <w:rPr>
          <w:rStyle w:val="NormalTok"/>
        </w:rPr>
        <w:t xml:space="preserve"> </w:t>
      </w:r>
      <w:r>
        <w:rPr>
          <w:rStyle w:val="DecValTok"/>
        </w:rPr>
        <w:t xml:space="preserve">96</w:t>
      </w:r>
      <w:r>
        <w:rPr>
          <w:rStyle w:val="NormalTok"/>
        </w:rPr>
        <w:t xml:space="preserve">) </w:t>
      </w:r>
      <w:r>
        <w:rPr>
          <w:rStyle w:val="CommentTok"/>
        </w:rPr>
        <w:t xml:space="preserve"># set DPI for showtext</w:t>
      </w:r>
      <w:r>
        <w:br/>
      </w:r>
      <w:r>
        <w:rPr>
          <w:rStyle w:val="NormalTok"/>
        </w:rPr>
        <w:t xml:space="preserve">sysfonts</w:t>
      </w:r>
      <w:r>
        <w:rPr>
          <w:rStyle w:val="SpecialCharTok"/>
        </w:rPr>
        <w:t xml:space="preserve">::</w:t>
      </w:r>
      <w:r>
        <w:rPr>
          <w:rStyle w:val="FunctionTok"/>
        </w:rPr>
        <w:t xml:space="preserve">font_add</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"Alegreya"</w:t>
      </w:r>
      <w:r>
        <w:rPr>
          <w:rStyle w:val="NormalTok"/>
        </w:rPr>
        <w:t xml:space="preserve">,</w:t>
      </w:r>
      <w:r>
        <w:br/>
      </w:r>
      <w:r>
        <w:rPr>
          <w:rStyle w:val="NormalTok"/>
        </w:rPr>
        <w:t xml:space="preserve">  </w:t>
      </w:r>
      <w:r>
        <w:rPr>
          <w:rStyle w:val="AttributeTok"/>
        </w:rPr>
        <w:t xml:space="preserve">regular =</w:t>
      </w:r>
      <w:r>
        <w:rPr>
          <w:rStyle w:val="NormalTok"/>
        </w:rPr>
        <w:t xml:space="preserve"> </w:t>
      </w:r>
      <w:r>
        <w:rPr>
          <w:rStyle w:val="StringTok"/>
        </w:rPr>
        <w:t xml:space="preserve">"../../../../../../fonts/Alegreya-Regular.ttf"</w:t>
      </w:r>
      <w:r>
        <w:rPr>
          <w:rStyle w:val="NormalTok"/>
        </w:rPr>
        <w:t xml:space="preserve">,</w:t>
      </w:r>
      <w:r>
        <w:br/>
      </w:r>
      <w:r>
        <w:rPr>
          <w:rStyle w:val="NormalTok"/>
        </w:rPr>
        <w:t xml:space="preserve">  </w:t>
      </w:r>
      <w:r>
        <w:rPr>
          <w:rStyle w:val="AttributeTok"/>
        </w:rPr>
        <w:t xml:space="preserve">bold =</w:t>
      </w:r>
      <w:r>
        <w:rPr>
          <w:rStyle w:val="NormalTok"/>
        </w:rPr>
        <w:t xml:space="preserve"> </w:t>
      </w:r>
      <w:r>
        <w:rPr>
          <w:rStyle w:val="StringTok"/>
        </w:rPr>
        <w:t xml:space="preserve">"../../../../../../fonts/Alegreya-Bold.ttf"</w:t>
      </w:r>
      <w:r>
        <w:rPr>
          <w:rStyle w:val="NormalTok"/>
        </w:rPr>
        <w:t xml:space="preserve">,</w:t>
      </w:r>
      <w:r>
        <w:br/>
      </w:r>
      <w:r>
        <w:rPr>
          <w:rStyle w:val="NormalTok"/>
        </w:rPr>
        <w:t xml:space="preserve">  </w:t>
      </w:r>
      <w:r>
        <w:rPr>
          <w:rStyle w:val="AttributeTok"/>
        </w:rPr>
        <w:t xml:space="preserve">italic =</w:t>
      </w:r>
      <w:r>
        <w:rPr>
          <w:rStyle w:val="NormalTok"/>
        </w:rPr>
        <w:t xml:space="preserve"> </w:t>
      </w:r>
      <w:r>
        <w:rPr>
          <w:rStyle w:val="StringTok"/>
        </w:rPr>
        <w:t xml:space="preserve">"../../../../../../fonts/Alegreya-Italic.ttf"</w:t>
      </w:r>
      <w:r>
        <w:rPr>
          <w:rStyle w:val="NormalTok"/>
        </w:rPr>
        <w:t xml:space="preserve">,</w:t>
      </w:r>
      <w:r>
        <w:br/>
      </w:r>
      <w:r>
        <w:rPr>
          <w:rStyle w:val="NormalTok"/>
        </w:rPr>
        <w:t xml:space="preserve">  </w:t>
      </w:r>
      <w:r>
        <w:rPr>
          <w:rStyle w:val="AttributeTok"/>
        </w:rPr>
        <w:t xml:space="preserve">bolditalic =</w:t>
      </w:r>
      <w:r>
        <w:rPr>
          <w:rStyle w:val="NormalTok"/>
        </w:rPr>
        <w:t xml:space="preserve"> </w:t>
      </w:r>
      <w:r>
        <w:rPr>
          <w:rStyle w:val="StringTok"/>
        </w:rPr>
        <w:t xml:space="preserve">"../../../../../../fonts/Alegreya-BoldItalic.ttf"</w:t>
      </w:r>
      <w:r>
        <w:br/>
      </w:r>
      <w:r>
        <w:rPr>
          <w:rStyle w:val="NormalTok"/>
        </w:rPr>
        <w:t xml:space="preserve">)</w:t>
      </w:r>
      <w:r>
        <w:br/>
      </w:r>
      <w:r>
        <w:br/>
      </w:r>
      <w:r>
        <w:rPr>
          <w:rStyle w:val="NormalTok"/>
        </w:rPr>
        <w:t xml:space="preserve">sysfonts</w:t>
      </w:r>
      <w:r>
        <w:rPr>
          <w:rStyle w:val="SpecialCharTok"/>
        </w:rPr>
        <w:t xml:space="preserve">::</w:t>
      </w:r>
      <w:r>
        <w:rPr>
          <w:rStyle w:val="FunctionTok"/>
        </w:rPr>
        <w:t xml:space="preserve">font_add</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regular =</w:t>
      </w:r>
      <w:r>
        <w:rPr>
          <w:rStyle w:val="NormalTok"/>
        </w:rPr>
        <w:t xml:space="preserve"> </w:t>
      </w:r>
      <w:r>
        <w:rPr>
          <w:rStyle w:val="StringTok"/>
        </w:rPr>
        <w:t xml:space="preserve">"../../../../../../fonts/RobotoCondensed-Regular.ttf"</w:t>
      </w:r>
      <w:r>
        <w:rPr>
          <w:rStyle w:val="NormalTok"/>
        </w:rPr>
        <w:t xml:space="preserve">,</w:t>
      </w:r>
      <w:r>
        <w:br/>
      </w:r>
      <w:r>
        <w:rPr>
          <w:rStyle w:val="NormalTok"/>
        </w:rPr>
        <w:t xml:space="preserve">  </w:t>
      </w:r>
      <w:r>
        <w:rPr>
          <w:rStyle w:val="AttributeTok"/>
        </w:rPr>
        <w:t xml:space="preserve">bold =</w:t>
      </w:r>
      <w:r>
        <w:rPr>
          <w:rStyle w:val="NormalTok"/>
        </w:rPr>
        <w:t xml:space="preserve"> </w:t>
      </w:r>
      <w:r>
        <w:rPr>
          <w:rStyle w:val="StringTok"/>
        </w:rPr>
        <w:t xml:space="preserve">"../../../../../../fonts/RobotoCondensed-Bold.ttf"</w:t>
      </w:r>
      <w:r>
        <w:rPr>
          <w:rStyle w:val="NormalTok"/>
        </w:rPr>
        <w:t xml:space="preserve">,</w:t>
      </w:r>
      <w:r>
        <w:br/>
      </w:r>
      <w:r>
        <w:rPr>
          <w:rStyle w:val="NormalTok"/>
        </w:rPr>
        <w:t xml:space="preserve">  </w:t>
      </w:r>
      <w:r>
        <w:rPr>
          <w:rStyle w:val="AttributeTok"/>
        </w:rPr>
        <w:t xml:space="preserve">italic =</w:t>
      </w:r>
      <w:r>
        <w:rPr>
          <w:rStyle w:val="NormalTok"/>
        </w:rPr>
        <w:t xml:space="preserve"> </w:t>
      </w:r>
      <w:r>
        <w:rPr>
          <w:rStyle w:val="StringTok"/>
        </w:rPr>
        <w:t xml:space="preserve">"../../../../../../fonts/RobotoCondensed-Italic.ttf"</w:t>
      </w:r>
      <w:r>
        <w:rPr>
          <w:rStyle w:val="NormalTok"/>
        </w:rPr>
        <w:t xml:space="preserve">,</w:t>
      </w:r>
      <w:r>
        <w:br/>
      </w:r>
      <w:r>
        <w:rPr>
          <w:rStyle w:val="NormalTok"/>
        </w:rPr>
        <w:t xml:space="preserve">  </w:t>
      </w:r>
      <w:r>
        <w:rPr>
          <w:rStyle w:val="AttributeTok"/>
        </w:rPr>
        <w:t xml:space="preserve">bolditalic =</w:t>
      </w:r>
      <w:r>
        <w:rPr>
          <w:rStyle w:val="NormalTok"/>
        </w:rPr>
        <w:t xml:space="preserve"> </w:t>
      </w:r>
      <w:r>
        <w:rPr>
          <w:rStyle w:val="StringTok"/>
        </w:rPr>
        <w:t xml:space="preserve">"../../../../../../fonts/RobotoCondensed-BoldItalic.ttf"</w:t>
      </w:r>
      <w:r>
        <w:br/>
      </w:r>
      <w:r>
        <w:rPr>
          <w:rStyle w:val="NormalTok"/>
        </w:rPr>
        <w:t xml:space="preserve">)</w:t>
      </w:r>
      <w:r>
        <w:br/>
      </w:r>
      <w:r>
        <w:rPr>
          <w:rStyle w:val="FunctionTok"/>
        </w:rPr>
        <w:t xml:space="preserve">showtext_auto</w:t>
      </w:r>
      <w:r>
        <w:rPr>
          <w:rStyle w:val="NormalTok"/>
        </w:rPr>
        <w:t xml:space="preserve">(</w:t>
      </w:r>
      <w:r>
        <w:rPr>
          <w:rStyle w:val="AttributeTok"/>
        </w:rPr>
        <w:t xml:space="preserve">enable =</w:t>
      </w:r>
      <w:r>
        <w:rPr>
          <w:rStyle w:val="NormalTok"/>
        </w:rPr>
        <w:t xml:space="preserve"> </w:t>
      </w:r>
      <w:r>
        <w:rPr>
          <w:rStyle w:val="ConstantTok"/>
        </w:rPr>
        <w:t xml:space="preserve">TRUE</w:t>
      </w:r>
      <w:r>
        <w:rPr>
          <w:rStyle w:val="NormalTok"/>
        </w:rPr>
        <w:t xml:space="preserve">) </w:t>
      </w:r>
      <w:r>
        <w:rPr>
          <w:rStyle w:val="CommentTok"/>
        </w:rPr>
        <w:t xml:space="preserve"># enable showtext</w:t>
      </w:r>
      <w:r>
        <w:br/>
      </w:r>
      <w:r>
        <w:rPr>
          <w:rStyle w:val="DocumentationTok"/>
        </w:rPr>
        <w:t xml:space="preserve">##</w:t>
      </w:r>
      <w:r>
        <w:br/>
      </w:r>
      <w:r>
        <w:rPr>
          <w:rStyle w:val="NormalTok"/>
        </w:rPr>
        <w:t xml:space="preserve">theme_custom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font </w:t>
      </w:r>
      <w:r>
        <w:rPr>
          <w:rStyle w:val="OtherTok"/>
        </w:rPr>
        <w:t xml:space="preserve">&lt;-</w:t>
      </w:r>
      <w:r>
        <w:rPr>
          <w:rStyle w:val="NormalTok"/>
        </w:rPr>
        <w:t xml:space="preserve"> </w:t>
      </w:r>
      <w:r>
        <w:rPr>
          <w:rStyle w:val="StringTok"/>
        </w:rPr>
        <w:t xml:space="preserve">"Alegreya"</w:t>
      </w:r>
      <w:r>
        <w:rPr>
          <w:rStyle w:val="NormalTok"/>
        </w:rPr>
        <w:t xml:space="preserve"> </w:t>
      </w:r>
      <w:r>
        <w:rPr>
          <w:rStyle w:val="CommentTok"/>
        </w:rPr>
        <w:t xml:space="preserve"># assign font family up front</w:t>
      </w:r>
      <w:r>
        <w:br/>
      </w:r>
      <w:r>
        <w:rPr>
          <w:rStyle w:val="NormalTok"/>
        </w:rPr>
        <w:t xml:space="preserve">  </w:t>
      </w:r>
      <w:r>
        <w:rPr>
          <w:rStyle w:val="StringTok"/>
        </w:rPr>
        <w:t xml:space="preserve">"%+replace%"</w:t>
      </w:r>
      <w:r>
        <w:rPr>
          <w:rStyle w:val="NormalTok"/>
        </w:rPr>
        <w:t xml:space="preserve"> </w:t>
      </w:r>
      <w:r>
        <w:rPr>
          <w:rStyle w:val="OtherTok"/>
        </w:rPr>
        <w:t xml:space="preserve">&lt;-</w:t>
      </w:r>
      <w:r>
        <w:rPr>
          <w:rStyle w:val="NormalTok"/>
        </w:rPr>
        <w:t xml:space="preserve"> ggplot2</w:t>
      </w:r>
      <w:r>
        <w:rPr>
          <w:rStyle w:val="SpecialCharTok"/>
        </w:rPr>
        <w:t xml:space="preserve">::</w:t>
      </w:r>
      <w:r>
        <w:rPr>
          <w:rStyle w:val="StringTok"/>
        </w:rPr>
        <w:t xml:space="preserve">"%+replace%"</w:t>
      </w:r>
      <w:r>
        <w:rPr>
          <w:rStyle w:val="NormalTok"/>
        </w:rPr>
        <w:t xml:space="preserve"> </w:t>
      </w:r>
      <w:r>
        <w:rPr>
          <w:rStyle w:val="CommentTok"/>
        </w:rPr>
        <w:t xml:space="preserve"># nolint</w:t>
      </w:r>
      <w:r>
        <w:br/>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AttributeTok"/>
        </w:rPr>
        <w:t xml:space="preserve">base_family =</w:t>
      </w:r>
      <w:r>
        <w:rPr>
          <w:rStyle w:val="NormalTok"/>
        </w:rPr>
        <w:t xml:space="preserve"> font) </w:t>
      </w:r>
      <w:r>
        <w:rPr>
          <w:rStyle w:val="SpecialCharTok"/>
        </w:rPr>
        <w:t xml:space="preserve">%+replace%</w:t>
      </w:r>
      <w:r>
        <w:rPr>
          <w:rStyle w:val="NormalTok"/>
        </w:rPr>
        <w:t xml:space="preserve"> </w:t>
      </w:r>
      <w:r>
        <w:rPr>
          <w:rStyle w:val="CommentTok"/>
        </w:rPr>
        <w:t xml:space="preserve"># replace elements we want to change</w:t>
      </w:r>
      <w:r>
        <w:br/>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font), </w:t>
      </w:r>
      <w:r>
        <w:rPr>
          <w:rStyle w:val="CommentTok"/>
        </w:rPr>
        <w:t xml:space="preserve"># set base font family</w:t>
      </w:r>
      <w:r>
        <w:br/>
      </w:r>
      <w:r>
        <w:br/>
      </w:r>
      <w:r>
        <w:rPr>
          <w:rStyle w:val="NormalTok"/>
        </w:rPr>
        <w:t xml:space="preserve">      </w:t>
      </w:r>
      <w:r>
        <w:rPr>
          <w:rStyle w:val="CommentTok"/>
        </w:rPr>
        <w:t xml:space="preserve"># text elements</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 </w:t>
      </w:r>
      <w:r>
        <w:rPr>
          <w:rStyle w:val="CommentTok"/>
        </w:rPr>
        <w:t xml:space="preserve"># title</w:t>
      </w:r>
      <w:r>
        <w:br/>
      </w:r>
      <w:r>
        <w:rPr>
          <w:rStyle w:val="NormalTok"/>
        </w:rPr>
        <w:t xml:space="preserve">        </w:t>
      </w:r>
      <w:r>
        <w:rPr>
          <w:rStyle w:val="AttributeTok"/>
        </w:rPr>
        <w:t xml:space="preserve">family =</w:t>
      </w:r>
      <w:r>
        <w:rPr>
          <w:rStyle w:val="NormalTok"/>
        </w:rPr>
        <w:t xml:space="preserve"> font, </w:t>
      </w:r>
      <w:r>
        <w:rPr>
          <w:rStyle w:val="CommentTok"/>
        </w:rPr>
        <w:t xml:space="preserve"># set font family</w:t>
      </w:r>
      <w:r>
        <w:br/>
      </w:r>
      <w:r>
        <w:rPr>
          <w:rStyle w:val="NormalTok"/>
        </w:rPr>
        <w:t xml:space="preserve">        </w:t>
      </w:r>
      <w:r>
        <w:rPr>
          <w:rStyle w:val="AttributeTok"/>
        </w:rPr>
        <w:t xml:space="preserve">size =</w:t>
      </w:r>
      <w:r>
        <w:rPr>
          <w:rStyle w:val="NormalTok"/>
        </w:rPr>
        <w:t xml:space="preserve"> </w:t>
      </w:r>
      <w:r>
        <w:rPr>
          <w:rStyle w:val="DecValTok"/>
        </w:rPr>
        <w:t xml:space="preserve">24</w:t>
      </w:r>
      <w:r>
        <w:rPr>
          <w:rStyle w:val="NormalTok"/>
        </w:rPr>
        <w:t xml:space="preserve">, </w:t>
      </w:r>
      <w:r>
        <w:rPr>
          <w:rStyle w:val="CommentTok"/>
        </w:rPr>
        <w:t xml:space="preserve"># set font size</w:t>
      </w:r>
      <w:r>
        <w:br/>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CommentTok"/>
        </w:rPr>
        <w:t xml:space="preserve"># bold typeface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CommentTok"/>
        </w:rPr>
        <w:t xml:space="preserve"># left align</w:t>
      </w:r>
      <w:r>
        <w:br/>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0</w:t>
      </w:r>
      <w:r>
        <w:rPr>
          <w:rStyle w:val="NormalTok"/>
        </w:rPr>
        <w:t xml:space="preserve">, </w:t>
      </w:r>
      <w:r>
        <w:rPr>
          <w:rStyle w:val="AttributeTok"/>
        </w:rPr>
        <w:t xml:space="preserve">b =</w:t>
      </w:r>
      <w:r>
        <w:rPr>
          <w:rStyle w:val="NormalTok"/>
        </w:rPr>
        <w:t xml:space="preserve"> </w:t>
      </w:r>
      <w:r>
        <w:rPr>
          <w:rStyle w:val="DecValTok"/>
        </w:rPr>
        <w:t xml:space="preserve">5</w:t>
      </w:r>
      <w:r>
        <w:rPr>
          <w:rStyle w:val="NormalTok"/>
        </w:rPr>
        <w:t xml:space="preserve">, </w:t>
      </w:r>
      <w:r>
        <w:rPr>
          <w:rStyle w:val="AttributeTok"/>
        </w:rPr>
        <w:t xml:space="preserve">l =</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CommentTok"/>
        </w:rPr>
        <w:t xml:space="preserve"># margin</w:t>
      </w:r>
      <w:r>
        <w:br/>
      </w:r>
      <w:r>
        <w:rPr>
          <w:rStyle w:val="NormalTok"/>
        </w:rPr>
        <w:t xml:space="preserve">      </w:t>
      </w:r>
      <w:r>
        <w:rPr>
          <w:rStyle w:val="AttributeTok"/>
        </w:rPr>
        <w:t xml:space="preserve">plot.title.position =</w:t>
      </w:r>
      <w:r>
        <w:rPr>
          <w:rStyle w:val="NormalTok"/>
        </w:rPr>
        <w:t xml:space="preserve"> </w:t>
      </w:r>
      <w:r>
        <w:rPr>
          <w:rStyle w:val="StringTok"/>
        </w:rPr>
        <w:t xml:space="preserve">"plot"</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 </w:t>
      </w:r>
      <w:r>
        <w:rPr>
          <w:rStyle w:val="CommentTok"/>
        </w:rPr>
        <w:t xml:space="preserve"># subtitle</w:t>
      </w:r>
      <w:r>
        <w:br/>
      </w:r>
      <w:r>
        <w:rPr>
          <w:rStyle w:val="NormalTok"/>
        </w:rPr>
        <w:t xml:space="preserve">        </w:t>
      </w:r>
      <w:r>
        <w:rPr>
          <w:rStyle w:val="AttributeTok"/>
        </w:rPr>
        <w:t xml:space="preserve">family =</w:t>
      </w:r>
      <w:r>
        <w:rPr>
          <w:rStyle w:val="NormalTok"/>
        </w:rPr>
        <w:t xml:space="preserve"> font, </w:t>
      </w:r>
      <w:r>
        <w:rPr>
          <w:rStyle w:val="CommentTok"/>
        </w:rPr>
        <w:t xml:space="preserve"># font family</w:t>
      </w:r>
      <w:r>
        <w:br/>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CommentTok"/>
        </w:rPr>
        <w:t xml:space="preserve"># font size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CommentTok"/>
        </w:rPr>
        <w:t xml:space="preserve"># left align</w:t>
      </w:r>
      <w:r>
        <w:br/>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5</w:t>
      </w:r>
      <w:r>
        <w:rPr>
          <w:rStyle w:val="NormalTok"/>
        </w:rPr>
        <w:t xml:space="preserve">, </w:t>
      </w:r>
      <w:r>
        <w:rPr>
          <w:rStyle w:val="AttributeTok"/>
        </w:rPr>
        <w:t xml:space="preserve">r =</w:t>
      </w:r>
      <w:r>
        <w:rPr>
          <w:rStyle w:val="NormalTok"/>
        </w:rPr>
        <w:t xml:space="preserve"> </w:t>
      </w:r>
      <w:r>
        <w:rPr>
          <w:rStyle w:val="DecValTok"/>
        </w:rPr>
        <w:t xml:space="preserve">0</w:t>
      </w:r>
      <w:r>
        <w:rPr>
          <w:rStyle w:val="NormalTok"/>
        </w:rPr>
        <w:t xml:space="preserve">, </w:t>
      </w:r>
      <w:r>
        <w:rPr>
          <w:rStyle w:val="AttributeTok"/>
        </w:rPr>
        <w:t xml:space="preserve">b =</w:t>
      </w:r>
      <w:r>
        <w:rPr>
          <w:rStyle w:val="NormalTok"/>
        </w:rPr>
        <w:t xml:space="preserve"> </w:t>
      </w:r>
      <w:r>
        <w:rPr>
          <w:rStyle w:val="DecValTok"/>
        </w:rPr>
        <w:t xml:space="preserve">10</w:t>
      </w:r>
      <w:r>
        <w:rPr>
          <w:rStyle w:val="NormalTok"/>
        </w:rPr>
        <w:t xml:space="preserve">, </w:t>
      </w:r>
      <w:r>
        <w:rPr>
          <w:rStyle w:val="AttributeTok"/>
        </w:rPr>
        <w:t xml:space="preserve">l =</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CommentTok"/>
        </w:rPr>
        <w:t xml:space="preserve"># margin</w:t>
      </w:r>
      <w:r>
        <w:br/>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 </w:t>
      </w:r>
      <w:r>
        <w:rPr>
          <w:rStyle w:val="CommentTok"/>
        </w:rPr>
        <w:t xml:space="preserve"># caption</w:t>
      </w:r>
      <w:r>
        <w:br/>
      </w:r>
      <w:r>
        <w:rPr>
          <w:rStyle w:val="NormalTok"/>
        </w:rPr>
        <w:t xml:space="preserve">        </w:t>
      </w:r>
      <w:r>
        <w:rPr>
          <w:rStyle w:val="AttributeTok"/>
        </w:rPr>
        <w:t xml:space="preserve">family =</w:t>
      </w:r>
      <w:r>
        <w:rPr>
          <w:rStyle w:val="NormalTok"/>
        </w:rPr>
        <w:t xml:space="preserve"> font, </w:t>
      </w:r>
      <w:r>
        <w:rPr>
          <w:rStyle w:val="CommentTok"/>
        </w:rPr>
        <w:t xml:space="preserve"># font family</w:t>
      </w:r>
      <w:r>
        <w:br/>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 </w:t>
      </w:r>
      <w:r>
        <w:rPr>
          <w:rStyle w:val="CommentTok"/>
        </w:rPr>
        <w:t xml:space="preserve"># font size</w:t>
      </w:r>
      <w:r>
        <w:br/>
      </w:r>
      <w:r>
        <w:rPr>
          <w:rStyle w:val="NormalTok"/>
        </w:rPr>
        <w:t xml:space="preserve">        </w:t>
      </w:r>
      <w:r>
        <w:rPr>
          <w:rStyle w:val="AttributeTok"/>
        </w:rPr>
        <w:t xml:space="preserve">hjust =</w:t>
      </w:r>
      <w:r>
        <w:rPr>
          <w:rStyle w:val="NormalTok"/>
        </w:rPr>
        <w:t xml:space="preserve"> </w:t>
      </w:r>
      <w:r>
        <w:rPr>
          <w:rStyle w:val="DecValTok"/>
        </w:rPr>
        <w:t xml:space="preserve">1</w:t>
      </w:r>
      <w:r>
        <w:br/>
      </w:r>
      <w:r>
        <w:rPr>
          <w:rStyle w:val="NormalTok"/>
        </w:rPr>
        <w:t xml:space="preserve">      ), </w:t>
      </w:r>
      <w:r>
        <w:rPr>
          <w:rStyle w:val="CommentTok"/>
        </w:rPr>
        <w:t xml:space="preserve"># right align</w:t>
      </w:r>
      <w:r>
        <w:br/>
      </w:r>
      <w:r>
        <w:br/>
      </w:r>
      <w:r>
        <w:rPr>
          <w:rStyle w:val="NormalTok"/>
        </w:rPr>
        <w:t xml:space="preserve">      </w:t>
      </w:r>
      <w:r>
        <w:rPr>
          <w:rStyle w:val="AttributeTok"/>
        </w:rPr>
        <w:t xml:space="preserve">plot.caption.position =</w:t>
      </w:r>
      <w:r>
        <w:rPr>
          <w:rStyle w:val="NormalTok"/>
        </w:rPr>
        <w:t xml:space="preserve"> </w:t>
      </w:r>
      <w:r>
        <w:rPr>
          <w:rStyle w:val="StringTok"/>
        </w:rPr>
        <w:t xml:space="preserve">"plot"</w:t>
      </w:r>
      <w:r>
        <w:rPr>
          <w:rStyle w:val="NormalTok"/>
        </w:rPr>
        <w:t xml:space="preserve">, </w:t>
      </w:r>
      <w:r>
        <w:rPr>
          <w:rStyle w:val="CommentTok"/>
        </w:rPr>
        <w:t xml:space="preserve"># right align</w:t>
      </w:r>
      <w:r>
        <w:br/>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 </w:t>
      </w:r>
      <w:r>
        <w:rPr>
          <w:rStyle w:val="CommentTok"/>
        </w:rPr>
        <w:t xml:space="preserve"># axis titles</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 </w:t>
      </w:r>
      <w:r>
        <w:rPr>
          <w:rStyle w:val="CommentTok"/>
        </w:rPr>
        <w:t xml:space="preserve"># font family</w:t>
      </w:r>
      <w:r>
        <w:br/>
      </w:r>
      <w:r>
        <w:rPr>
          <w:rStyle w:val="NormalTok"/>
        </w:rPr>
        <w:t xml:space="preserve">        </w:t>
      </w:r>
      <w:r>
        <w:rPr>
          <w:rStyle w:val="AttributeTok"/>
        </w:rPr>
        <w:t xml:space="preserve">size =</w:t>
      </w:r>
      <w:r>
        <w:rPr>
          <w:rStyle w:val="NormalTok"/>
        </w:rPr>
        <w:t xml:space="preserve"> </w:t>
      </w:r>
      <w:r>
        <w:rPr>
          <w:rStyle w:val="DecValTok"/>
        </w:rPr>
        <w:t xml:space="preserve">12</w:t>
      </w:r>
      <w:r>
        <w:br/>
      </w:r>
      <w:r>
        <w:rPr>
          <w:rStyle w:val="NormalTok"/>
        </w:rPr>
        <w:t xml:space="preserve">      ), </w:t>
      </w:r>
      <w:r>
        <w:rPr>
          <w:rStyle w:val="CommentTok"/>
        </w:rPr>
        <w:t xml:space="preserve"># font size</w:t>
      </w:r>
      <w:r>
        <w:br/>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 </w:t>
      </w:r>
      <w:r>
        <w:rPr>
          <w:rStyle w:val="CommentTok"/>
        </w:rPr>
        <w:t xml:space="preserve"># axis text</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 </w:t>
      </w:r>
      <w:r>
        <w:rPr>
          <w:rStyle w:val="CommentTok"/>
        </w:rPr>
        <w:t xml:space="preserve"># font family</w:t>
      </w:r>
      <w:r>
        <w:br/>
      </w:r>
      <w:r>
        <w:rPr>
          <w:rStyle w:val="NormalTok"/>
        </w:rPr>
        <w:t xml:space="preserve">        </w:t>
      </w:r>
      <w:r>
        <w:rPr>
          <w:rStyle w:val="AttributeTok"/>
        </w:rPr>
        <w:t xml:space="preserve">size =</w:t>
      </w:r>
      <w:r>
        <w:rPr>
          <w:rStyle w:val="NormalTok"/>
        </w:rPr>
        <w:t xml:space="preserve"> </w:t>
      </w:r>
      <w:r>
        <w:rPr>
          <w:rStyle w:val="DecValTok"/>
        </w:rPr>
        <w:t xml:space="preserve">9</w:t>
      </w:r>
      <w:r>
        <w:br/>
      </w:r>
      <w:r>
        <w:rPr>
          <w:rStyle w:val="NormalTok"/>
        </w:rPr>
        <w:t xml:space="preserve">      ), </w:t>
      </w:r>
      <w:r>
        <w:rPr>
          <w:rStyle w:val="CommentTok"/>
        </w:rPr>
        <w:t xml:space="preserve"># font size</w:t>
      </w:r>
      <w:r>
        <w:br/>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 </w:t>
      </w:r>
      <w:r>
        <w:rPr>
          <w:rStyle w:val="CommentTok"/>
        </w:rPr>
        <w:t xml:space="preserve"># margin for axis text</w:t>
      </w:r>
      <w:r>
        <w:br/>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DecValTok"/>
        </w:rPr>
        <w:t xml:space="preserve">5</w:t>
      </w:r>
      <w:r>
        <w:rPr>
          <w:rStyle w:val="NormalTok"/>
        </w:rPr>
        <w:t xml:space="preserve">, </w:t>
      </w:r>
      <w:r>
        <w:rPr>
          <w:rStyle w:val="AttributeTok"/>
        </w:rPr>
        <w:t xml:space="preserve">b =</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NormalTok"/>
        </w:rPr>
        <w:t xml:space="preserve">      </w:t>
      </w:r>
      <w:r>
        <w:rPr>
          <w:rStyle w:val="CommentTok"/>
        </w:rPr>
        <w:t xml:space="preserve"># since the legend often requires manual tweaking</w:t>
      </w:r>
      <w:r>
        <w:br/>
      </w:r>
      <w:r>
        <w:rPr>
          <w:rStyle w:val="NormalTok"/>
        </w:rPr>
        <w:t xml:space="preserve">      </w:t>
      </w:r>
      <w:r>
        <w:rPr>
          <w:rStyle w:val="CommentTok"/>
        </w:rPr>
        <w:t xml:space="preserve"># based on plot content, don't define it here</w:t>
      </w:r>
      <w:r>
        <w:br/>
      </w:r>
      <w:r>
        <w:rPr>
          <w:rStyle w:val="NormalTok"/>
        </w:rPr>
        <w:t xml:space="preserve">    )</w:t>
      </w:r>
      <w:r>
        <w:br/>
      </w:r>
      <w:r>
        <w:rPr>
          <w:rStyle w:val="NormalTok"/>
        </w:rPr>
        <w:t xml:space="preserve">}</w:t>
      </w:r>
      <w:r>
        <w:br/>
      </w:r>
      <w:r>
        <w:br/>
      </w:r>
      <w:r>
        <w:rPr>
          <w:rStyle w:val="DocumentationTok"/>
        </w:rPr>
        <w:t xml:space="preserve">## Use available fonts in ggplot text geoms too!</w:t>
      </w:r>
      <w:r>
        <w:br/>
      </w:r>
      <w:r>
        <w:rPr>
          <w:rStyle w:val="NormalTok"/>
        </w:rPr>
        <w:t xml:space="preserve">ggplot2</w:t>
      </w:r>
      <w:r>
        <w:rPr>
          <w:rStyle w:val="SpecialCharTok"/>
        </w:rPr>
        <w:t xml:space="preserve">::</w:t>
      </w:r>
      <w:r>
        <w:rPr>
          <w:rStyle w:val="FunctionTok"/>
        </w:rPr>
        <w:t xml:space="preserve">update_geom_defaults</w:t>
      </w:r>
      <w:r>
        <w:rPr>
          <w:rStyle w:val="NormalTok"/>
        </w:rPr>
        <w:t xml:space="preserve">(</w:t>
      </w:r>
      <w:r>
        <w:rPr>
          <w:rStyle w:val="AttributeTok"/>
        </w:rPr>
        <w:t xml:space="preserve">geom =</w:t>
      </w:r>
      <w:r>
        <w:rPr>
          <w:rStyle w:val="NormalTok"/>
        </w:rPr>
        <w:t xml:space="preserve"> </w:t>
      </w:r>
      <w:r>
        <w:rPr>
          <w:rStyle w:val="StringTok"/>
        </w:rPr>
        <w:t xml:space="preserve">"text"</w:t>
      </w:r>
      <w:r>
        <w:rPr>
          <w:rStyle w:val="NormalTok"/>
        </w:rPr>
        <w:t xml:space="preserve">, </w:t>
      </w:r>
      <w:r>
        <w:rPr>
          <w:rStyle w:val="AttributeTok"/>
        </w:rPr>
        <w:t xml:space="preserve">new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"plain"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"#2b2b2b"</w:t>
      </w:r>
      <w:r>
        <w:br/>
      </w:r>
      <w:r>
        <w:rPr>
          <w:rStyle w:val="NormalTok"/>
        </w:rPr>
        <w:t xml:space="preserve">))</w:t>
      </w:r>
      <w:r>
        <w:br/>
      </w:r>
      <w:r>
        <w:rPr>
          <w:rStyle w:val="NormalTok"/>
        </w:rPr>
        <w:t xml:space="preserve">ggplot2</w:t>
      </w:r>
      <w:r>
        <w:rPr>
          <w:rStyle w:val="SpecialCharTok"/>
        </w:rPr>
        <w:t xml:space="preserve">::</w:t>
      </w:r>
      <w:r>
        <w:rPr>
          <w:rStyle w:val="FunctionTok"/>
        </w:rPr>
        <w:t xml:space="preserve">update_geom_defaults</w:t>
      </w:r>
      <w:r>
        <w:rPr>
          <w:rStyle w:val="NormalTok"/>
        </w:rPr>
        <w:t xml:space="preserve">(</w:t>
      </w:r>
      <w:r>
        <w:rPr>
          <w:rStyle w:val="AttributeTok"/>
        </w:rPr>
        <w:t xml:space="preserve">geom =</w:t>
      </w:r>
      <w:r>
        <w:rPr>
          <w:rStyle w:val="NormalTok"/>
        </w:rPr>
        <w:t xml:space="preserve"> </w:t>
      </w:r>
      <w:r>
        <w:rPr>
          <w:rStyle w:val="StringTok"/>
        </w:rPr>
        <w:t xml:space="preserve">"label"</w:t>
      </w:r>
      <w:r>
        <w:rPr>
          <w:rStyle w:val="NormalTok"/>
        </w:rPr>
        <w:t xml:space="preserve">, </w:t>
      </w:r>
      <w:r>
        <w:rPr>
          <w:rStyle w:val="AttributeTok"/>
        </w:rPr>
        <w:t xml:space="preserve">new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 Condensed"</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"plain"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"#2b2b2b"</w:t>
      </w:r>
      <w:r>
        <w:br/>
      </w:r>
      <w:r>
        <w:rPr>
          <w:rStyle w:val="NormalTok"/>
        </w:rPr>
        <w:t xml:space="preserve">))</w:t>
      </w:r>
      <w:r>
        <w:br/>
      </w:r>
      <w:r>
        <w:br/>
      </w:r>
      <w:r>
        <w:rPr>
          <w:rStyle w:val="DocumentationTok"/>
        </w:rPr>
        <w:t xml:space="preserve">## Set the theme</w:t>
      </w:r>
      <w:r>
        <w:br/>
      </w:r>
      <w:r>
        <w:rPr>
          <w:rStyle w:val="NormalTok"/>
        </w:rPr>
        <w:t xml:space="preserve">ggplot2</w:t>
      </w:r>
      <w:r>
        <w:rPr>
          <w:rStyle w:val="SpecialCharTok"/>
        </w:rPr>
        <w:t xml:space="preserve">::</w:t>
      </w:r>
      <w:r>
        <w:rPr>
          <w:rStyle w:val="FunctionTok"/>
        </w:rPr>
        <w:t xml:space="preserve">theme_set</w:t>
      </w:r>
      <w:r>
        <w:rPr>
          <w:rStyle w:val="NormalTok"/>
        </w:rPr>
        <w:t xml:space="preserve">(</w:t>
      </w:r>
      <w:r>
        <w:rPr>
          <w:rStyle w:val="AttributeTok"/>
        </w:rPr>
        <w:t xml:space="preserve">new =</w:t>
      </w:r>
      <w:r>
        <w:rPr>
          <w:rStyle w:val="NormalTok"/>
        </w:rPr>
        <w:t xml:space="preserve"> </w:t>
      </w:r>
      <w:r>
        <w:rPr>
          <w:rStyle w:val="FunctionTok"/>
        </w:rPr>
        <w:t xml:space="preserve">theme_custom</w:t>
      </w:r>
      <w:r>
        <w:rPr>
          <w:rStyle w:val="NormalTok"/>
        </w:rPr>
        <w:t xml:space="preserve">())</w:t>
      </w:r>
    </w:p>
    <w:bookmarkEnd w:id="23"/>
    <w:bookmarkEnd w:id="24"/>
    <w:bookmarkStart w:id="39" w:name="why-visualize"/>
    <w:p>
      <w:pPr>
        <w:pStyle w:val="Heading2"/>
      </w:pPr>
      <w:r>
        <w:t xml:space="preserve"> </w:t>
      </w:r>
      <w:r>
        <w:t xml:space="preserve">Why Visualize?</w:t>
      </w:r>
    </w:p>
    <w:bookmarkStart w:id="28" w:name="some-reasons"/>
    <w:p>
      <w:pPr>
        <w:pStyle w:val="Heading4"/>
      </w:pPr>
      <w:r>
        <w:t xml:space="preserve">Some Reasons</w:t>
      </w:r>
    </w:p>
    <w:p>
      <w:pPr>
        <w:pStyle w:val="Compact"/>
        <w:numPr>
          <w:ilvl w:val="0"/>
          <w:numId w:val="1001"/>
        </w:numPr>
      </w:pPr>
      <w:r>
        <w:t xml:space="preserve">We can digest information more easily when it is pictorial</w:t>
      </w:r>
    </w:p>
    <w:p>
      <w:pPr>
        <w:pStyle w:val="Compact"/>
        <w:numPr>
          <w:ilvl w:val="0"/>
          <w:numId w:val="1001"/>
        </w:numPr>
      </w:pPr>
      <w:r>
        <w:t xml:space="preserve">Our</w:t>
      </w:r>
      <w:r>
        <w:t xml:space="preserve"> </w:t>
      </w:r>
      <w:hyperlink r:id="rId25">
        <w:r>
          <w:rPr>
            <w:rStyle w:val="Hyperlink"/>
          </w:rPr>
          <w:t xml:space="preserve">Working</w:t>
        </w:r>
        <w:r>
          <w:rPr>
            <w:rStyle w:val="Hyperlink"/>
          </w:rPr>
          <w:t xml:space="preserve"> </w:t>
        </w:r>
        <w:r>
          <w:rPr>
            <w:rStyle w:val="Hyperlink"/>
          </w:rPr>
          <w:t xml:space="preserve">Memories</w:t>
        </w:r>
      </w:hyperlink>
      <w:r>
        <w:t xml:space="preserve"> </w:t>
      </w:r>
      <w:r>
        <w:t xml:space="preserve">are both</w:t>
      </w:r>
      <w:r>
        <w:t xml:space="preserve"> </w:t>
      </w:r>
      <w:r>
        <w:rPr>
          <w:i/>
          <w:iCs/>
        </w:rPr>
        <w:t xml:space="preserve">short-term</w:t>
      </w:r>
      <w:r>
        <w:t xml:space="preserve"> </w:t>
      </w:r>
      <w:r>
        <w:t xml:space="preserve">and</w:t>
      </w:r>
      <w:r>
        <w:t xml:space="preserve"> </w:t>
      </w:r>
      <w:r>
        <w:rPr>
          <w:i/>
          <w:iCs/>
        </w:rPr>
        <w:t xml:space="preserve">limited</w:t>
      </w:r>
      <w:r>
        <w:t xml:space="preserve"> </w:t>
      </w:r>
      <w:r>
        <w:t xml:space="preserve">in capacity. So a picture</w:t>
      </w:r>
      <w:r>
        <w:t xml:space="preserve"> </w:t>
      </w:r>
      <w:r>
        <w:t xml:space="preserve">abstracts the details and presents us with</w:t>
      </w:r>
      <w:r>
        <w:t xml:space="preserve"> </w:t>
      </w:r>
      <w:r>
        <w:t xml:space="preserve">an overall</w:t>
      </w:r>
      <w:r>
        <w:t xml:space="preserve"> </w:t>
      </w:r>
      <w:r>
        <w:t xml:space="preserve">summary</w:t>
      </w:r>
      <w:r>
        <w:t xml:space="preserve">, an insight, or a story</w:t>
      </w:r>
      <w:r>
        <w:t xml:space="preserve"> </w:t>
      </w:r>
      <w:r>
        <w:t xml:space="preserve">that is both easy to recall and easy on retention.</w:t>
      </w:r>
    </w:p>
    <w:p>
      <w:pPr>
        <w:pStyle w:val="Compact"/>
        <w:numPr>
          <w:ilvl w:val="0"/>
          <w:numId w:val="1001"/>
        </w:numPr>
      </w:pPr>
      <w:r>
        <w:t xml:space="preserve">Data Viz includes</w:t>
      </w:r>
      <w:r>
        <w:t xml:space="preserve"> </w:t>
      </w:r>
      <w:r>
        <w:rPr>
          <w:i/>
          <w:iCs/>
        </w:rPr>
        <w:t xml:space="preserve">shapes</w:t>
      </w:r>
      <w:r>
        <w:t xml:space="preserve"> </w:t>
      </w:r>
      <w:r>
        <w:t xml:space="preserve">that carry strong cultural</w:t>
      </w:r>
      <w:r>
        <w:t xml:space="preserve"> </w:t>
      </w:r>
      <w:r>
        <w:t xml:space="preserve">memories</w:t>
      </w:r>
      <w:r>
        <w:t xml:space="preserve">; and impressions for</w:t>
      </w:r>
      <w:r>
        <w:t xml:space="preserve"> </w:t>
      </w:r>
      <w:r>
        <w:t xml:space="preserve">us. These cultural memories help us to use data viz in a</w:t>
      </w:r>
      <w:r>
        <w:t xml:space="preserve"> </w:t>
      </w:r>
      <w:r>
        <w:rPr>
          <w:i/>
          <w:iCs/>
        </w:rPr>
        <w:t xml:space="preserve">universal</w:t>
      </w:r>
      <w:r>
        <w:rPr>
          <w:i/>
          <w:iCs/>
        </w:rPr>
        <w:t xml:space="preserve"> </w:t>
      </w:r>
      <w:r>
        <w:rPr>
          <w:i/>
          <w:iCs/>
        </w:rPr>
        <w:t xml:space="preserve">way</w:t>
      </w:r>
      <w:r>
        <w:t xml:space="preserve"> </w:t>
      </w:r>
      <w:r>
        <w:t xml:space="preserve">to appeal to a wide variety of audiences.</w:t>
      </w:r>
      <w:r>
        <w:t xml:space="preserve"> </w:t>
      </w:r>
      <w:r>
        <w:t xml:space="preserve">(Do humans have a</w:t>
      </w:r>
      <w:r>
        <w:t xml:space="preserve"> </w:t>
      </w:r>
      <w:r>
        <w:t xml:space="preserve">gene for</w:t>
      </w:r>
      <w:r>
        <w:t xml:space="preserve"> </w:t>
      </w:r>
      <w:r>
        <w:t xml:space="preserve">geometry?</w:t>
      </w:r>
      <w:r>
        <w:rPr>
          <w:rStyle w:val="FootnoteReference"/>
        </w:rPr>
        <w:footnoteReference w:id="26"/>
      </w:r>
      <w:r>
        <w:t xml:space="preserve">)</w:t>
      </w:r>
      <w:r>
        <w:t xml:space="preserve">;</w:t>
      </w:r>
    </w:p>
    <w:p>
      <w:pPr>
        <w:pStyle w:val="Compact"/>
        <w:numPr>
          <w:ilvl w:val="0"/>
          <w:numId w:val="1001"/>
        </w:numPr>
      </w:pPr>
      <w:r>
        <w:t xml:space="preserve">It helps sift facts from mere statements: for example:</w:t>
      </w:r>
    </w:p>
    <w:bookmarkEnd w:id="28"/>
    <w:bookmarkStart w:id="37" w:name="some-pictures"/>
    <w:p>
      <w:pPr>
        <w:pStyle w:val="Heading4"/>
      </w:pPr>
      <w:r>
        <w:t xml:space="preserve">Some Pictures</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32" w:name="fig-rape-capital"/>
                <w:p>
                  <w:pPr>
                    <w:pStyle w:val="Compact"/>
                    <w:jc w:val="center"/>
                    <w:jc w:val="left"/>
                  </w:pPr>
                  <w:r>
                    <w:drawing>
                      <wp:inline>
                        <wp:extent cx="5334000" cy="2838885"/>
                        <wp:effectExtent b="0" l="0" r="0" t="0"/>
                        <wp:docPr descr="" title="" id="30" name="Picture"/>
                        <a:graphic>
                          <a:graphicData uri="http://schemas.openxmlformats.org/drawingml/2006/picture">
                            <pic:pic>
                              <pic:nvPicPr>
                                <pic:cNvPr descr="../../../../../materials/images/rape-capital.png" id="31" name="Picture"/>
                                <pic:cNvPicPr>
                                  <a:picLocks noChangeArrowheads="1" noChangeAspect="1"/>
                                </pic:cNvPicPr>
                              </pic:nvPicPr>
                              <pic:blipFill>
                                <a:blip r:embed="rId29"/>
                                <a:stretch>
                                  <a:fillRect/>
                                </a:stretch>
                              </pic:blipFill>
                              <pic:spPr bwMode="auto">
                                <a:xfrm>
                                  <a:off x="0" y="0"/>
                                  <a:ext cx="5334000" cy="2838885"/>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 Rape</w:t>
                  </w:r>
                  <w:r>
                    <w:t xml:space="preserve"> </w:t>
                  </w:r>
                  <w:r>
                    <w:t xml:space="preserve">Capital</w:t>
                  </w:r>
                </w:p>
                <w:bookmarkEnd w:id="32"/>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36" w:name="fig-data_reveals-crime"/>
                <w:p>
                  <w:pPr>
                    <w:pStyle w:val="Compact"/>
                    <w:jc w:val="center"/>
                    <w:jc w:val="left"/>
                  </w:pPr>
                  <w:r>
                    <w:drawing>
                      <wp:inline>
                        <wp:extent cx="5334000" cy="2838885"/>
                        <wp:effectExtent b="0" l="0" r="0" t="0"/>
                        <wp:docPr descr="" title="" id="34" name="Picture"/>
                        <a:graphic>
                          <a:graphicData uri="http://schemas.openxmlformats.org/drawingml/2006/picture">
                            <pic:pic>
                              <pic:nvPicPr>
                                <pic:cNvPr descr="../../../../../materials/images/data-reveals-crime.png" id="35" name="Picture"/>
                                <pic:cNvPicPr>
                                  <a:picLocks noChangeArrowheads="1" noChangeAspect="1"/>
                                </pic:cNvPicPr>
                              </pic:nvPicPr>
                              <pic:blipFill>
                                <a:blip r:embed="rId33"/>
                                <a:stretch>
                                  <a:fillRect/>
                                </a:stretch>
                              </pic:blipFill>
                              <pic:spPr bwMode="auto">
                                <a:xfrm>
                                  <a:off x="0" y="0"/>
                                  <a:ext cx="5334000" cy="2838885"/>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 Data Reveals</w:t>
                  </w:r>
                  <w:r>
                    <w:t xml:space="preserve"> </w:t>
                  </w:r>
                  <w:r>
                    <w:t xml:space="preserve">Crime</w:t>
                  </w:r>
                </w:p>
                <w:bookmarkEnd w:id="36"/>
              </w:tc>
            </w:tr>
          </w:tbl>
          <w:p/>
        </w:tc>
      </w:tr>
    </w:tbl>
    <w:bookmarkEnd w:id="37"/>
    <w:bookmarkStart w:id="38" w:name="and-finally"/>
    <w:p>
      <w:pPr>
        <w:pStyle w:val="Heading4"/>
      </w:pPr>
      <w:r>
        <w:t xml:space="preserve">And Finally</w:t>
      </w:r>
    </w:p>
    <w:p>
      <w:pPr>
        <w:pStyle w:val="Compact"/>
        <w:numPr>
          <w:ilvl w:val="0"/>
          <w:numId w:val="1002"/>
        </w:numPr>
      </w:pPr>
      <w:r>
        <w:t xml:space="preserve">Visuals are a good starting point</w:t>
      </w:r>
      <w:r>
        <w:t xml:space="preserve"> </w:t>
      </w:r>
      <w:r>
        <w:t xml:space="preserve">to make</w:t>
      </w:r>
      <w:r>
        <w:t xml:space="preserve"> </w:t>
      </w:r>
      <w:r>
        <w:rPr>
          <w:b/>
          <w:bCs/>
        </w:rPr>
        <w:t xml:space="preserve">hypotheses</w:t>
      </w:r>
      <w:r>
        <w:t xml:space="preserve"> </w:t>
      </w:r>
      <w:r>
        <w:t xml:space="preserve">of what may be happening in the situation represented by the data</w:t>
      </w:r>
    </w:p>
    <w:bookmarkEnd w:id="38"/>
    <w:bookmarkEnd w:id="39"/>
    <w:bookmarkStart w:id="47" w:name="why-analyze"/>
    <w:p>
      <w:pPr>
        <w:pStyle w:val="Heading2"/>
      </w:pPr>
      <w:r>
        <w:t xml:space="preserve"> </w:t>
      </w:r>
      <w:r>
        <w:t xml:space="preserve">Why Analyze?</w:t>
      </w:r>
    </w:p>
    <w:bookmarkStart w:id="40" w:name="analysis"/>
    <w:p>
      <w:pPr>
        <w:pStyle w:val="Heading4"/>
      </w:pPr>
      <w:r>
        <w:t xml:space="preserve">Analysis</w:t>
      </w:r>
    </w:p>
    <w:p>
      <w:pPr>
        <w:pStyle w:val="Compact"/>
        <w:numPr>
          <w:ilvl w:val="0"/>
          <w:numId w:val="1003"/>
        </w:numPr>
      </w:pPr>
      <w:r>
        <w:t xml:space="preserve">Visualizations may not tell us the true magnitude or</w:t>
      </w:r>
      <w:r>
        <w:t xml:space="preserve"> </w:t>
      </w:r>
      <w:r>
        <w:rPr>
          <w:b/>
          <w:bCs/>
          <w:i/>
          <w:iCs/>
        </w:rPr>
        <w:t xml:space="preserve">significance</w:t>
      </w:r>
      <w:r>
        <w:t xml:space="preserve"> </w:t>
      </w:r>
      <w:r>
        <w:t xml:space="preserve">of things</w:t>
      </w:r>
      <w:r>
        <w:t xml:space="preserve">.</w:t>
      </w:r>
    </w:p>
    <w:p>
      <w:pPr>
        <w:pStyle w:val="Compact"/>
        <w:numPr>
          <w:ilvl w:val="0"/>
          <w:numId w:val="1003"/>
        </w:numPr>
      </w:pPr>
      <w:r>
        <w:t xml:space="preserve">We need</w:t>
      </w:r>
      <w:r>
        <w:t xml:space="preserve"> </w:t>
      </w:r>
      <w:r>
        <w:rPr>
          <w:b/>
          <w:bCs/>
          <w:i/>
          <w:iCs/>
        </w:rPr>
        <w:t xml:space="preserve">analytic methods or statistics</w:t>
      </w:r>
      <w:r>
        <w:t xml:space="preserve"> </w:t>
      </w:r>
      <w:r>
        <w:t xml:space="preserve">to assure ourselves that something is happening</w:t>
      </w:r>
    </w:p>
    <w:p>
      <w:pPr>
        <w:pStyle w:val="Compact"/>
        <w:numPr>
          <w:ilvl w:val="0"/>
          <w:numId w:val="1003"/>
        </w:numPr>
      </w:pPr>
      <w:r>
        <w:t xml:space="preserve">These methods remove human bias and ensure that we are speaking with the assurance that our problem deserves.</w:t>
      </w:r>
    </w:p>
    <w:p>
      <w:pPr>
        <w:pStyle w:val="Compact"/>
        <w:numPr>
          <w:ilvl w:val="0"/>
          <w:numId w:val="1003"/>
        </w:numPr>
      </w:pPr>
      <w:r>
        <w:t xml:space="preserve">Analysis uses</w:t>
      </w:r>
      <w:r>
        <w:t xml:space="preserve"> </w:t>
      </w:r>
      <w:r>
        <w:rPr>
          <w:b/>
          <w:bCs/>
          <w:i/>
          <w:iCs/>
        </w:rPr>
        <w:t xml:space="preserve">numbers, or metrics</w:t>
      </w:r>
      <w:r>
        <w:t xml:space="preserve">, that allow us to crystallize our ambiguous words/guesses.</w:t>
      </w:r>
    </w:p>
    <w:p>
      <w:pPr>
        <w:pStyle w:val="Compact"/>
        <w:numPr>
          <w:ilvl w:val="0"/>
          <w:numId w:val="1003"/>
        </w:numPr>
      </w:pPr>
      <w:r>
        <w:t xml:space="preserve">These metrics are calculable from our data, of course, but</w:t>
      </w:r>
      <w:r>
        <w:t xml:space="preserve"> </w:t>
      </w:r>
      <w:r>
        <w:rPr>
          <w:b/>
          <w:bCs/>
          <w:i/>
          <w:iCs/>
        </w:rPr>
        <w:t xml:space="preserve">are not directly visible</w:t>
      </w:r>
      <w:r>
        <w:t xml:space="preserve">, despite often being intuitive.</w:t>
      </w:r>
    </w:p>
    <w:p>
      <w:pPr>
        <w:pStyle w:val="Compact"/>
        <w:numPr>
          <w:ilvl w:val="0"/>
          <w:numId w:val="1003"/>
        </w:numPr>
      </w:pPr>
      <w:r>
        <w:t xml:space="preserve">Using these metrics, we need to become, paradoxically enough,</w:t>
      </w:r>
      <w:r>
        <w:t xml:space="preserve"> </w:t>
      </w:r>
      <w:r>
        <w:t xml:space="preserve">sure of our uncertainty</w:t>
      </w:r>
    </w:p>
    <w:p>
      <w:pPr>
        <w:pStyle w:val="FirstParagraph"/>
      </w:pPr>
      <w:r>
        <w:t xml:space="preserve">So we need both visuals and analytics. And as we will see, we will not be content with that:</w:t>
      </w:r>
      <w:r>
        <w:t xml:space="preserve"> </w:t>
      </w:r>
      <w:r>
        <w:rPr>
          <w:i/>
          <w:iCs/>
        </w:rPr>
        <w:t xml:space="preserve">we will visualize our analytics, and analyze our visualizations</w:t>
      </w:r>
      <w:r>
        <w:t xml:space="preserve">!</w:t>
      </w:r>
    </w:p>
    <w:bookmarkEnd w:id="40"/>
    <w:bookmarkStart w:id="45" w:name="what-is-tidy-data"/>
    <w:p>
      <w:pPr>
        <w:pStyle w:val="Heading4"/>
      </w:pPr>
      <w:r>
        <w:t xml:space="preserve">What is Tidy Data?</w:t>
      </w:r>
    </w:p>
    <w:p>
      <w:pPr>
        <w:pStyle w:val="FirstParagraph"/>
      </w:pPr>
      <w:r>
        <w:t xml:space="preserve">Let us recall first what we meant by</w:t>
      </w:r>
      <w:r>
        <w:t xml:space="preserve"> </w:t>
      </w:r>
      <w:r>
        <w:rPr>
          <w:b/>
          <w:bCs/>
          <w:i/>
          <w:iCs/>
        </w:rPr>
        <w:t xml:space="preserve">tidy data</w:t>
      </w:r>
      <w:r>
        <w:t xml:space="preserve">:</w:t>
      </w:r>
    </w:p>
    <w:tbl>
      <w:tblPr>
        <w:tblStyle w:val="Table"/>
        <w:tblW w:type="pct" w:w="5000"/>
        <w:tblLayout w:type="fixed"/>
        <w:tblLook w:firstRow="0" w:lastRow="0" w:firstColumn="0" w:lastColumn="0" w:noHBand="0" w:noVBand="0" w:val="0000"/>
      </w:tblPr>
      <w:tblGrid>
        <w:gridCol w:w="7920"/>
      </w:tblGrid>
      <w:tr>
        <w:tc>
          <w:tcPr/>
          <w:bookmarkStart w:id="44" w:name="fig-tidy-data"/>
          <w:p>
            <w:pPr>
              <w:pStyle w:val="Compact"/>
              <w:jc w:val="center"/>
            </w:pPr>
            <w:r>
              <w:drawing>
                <wp:inline>
                  <wp:extent cx="5334000" cy="3137647"/>
                  <wp:effectExtent b="0" l="0" r="0" t="0"/>
                  <wp:docPr descr="" title="" id="42" name="Picture"/>
                  <a:graphic>
                    <a:graphicData uri="http://schemas.openxmlformats.org/drawingml/2006/picture">
                      <pic:pic>
                        <pic:nvPicPr>
                          <pic:cNvPr descr="../../../../../materials/images/tidydata.jpg" id="43" name="Picture"/>
                          <pic:cNvPicPr>
                            <a:picLocks noChangeArrowheads="1" noChangeAspect="1"/>
                          </pic:cNvPicPr>
                        </pic:nvPicPr>
                        <pic:blipFill>
                          <a:blip r:embed="rId41"/>
                          <a:stretch>
                            <a:fillRect/>
                          </a:stretch>
                        </pic:blipFill>
                        <pic:spPr bwMode="auto">
                          <a:xfrm>
                            <a:off x="0" y="0"/>
                            <a:ext cx="5334000" cy="313764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Tidy Data</w:t>
            </w:r>
          </w:p>
          <w:bookmarkEnd w:id="44"/>
        </w:tc>
      </w:tr>
    </w:tbl>
    <w:bookmarkEnd w:id="45"/>
    <w:bookmarkStart w:id="46" w:name="tidy-data-principles"/>
    <w:p>
      <w:pPr>
        <w:pStyle w:val="Heading4"/>
      </w:pPr>
      <w:r>
        <w:t xml:space="preserve">Tidy Data Principles</w:t>
      </w:r>
    </w:p>
    <w:p>
      <w:pPr>
        <w:pStyle w:val="Compact"/>
        <w:numPr>
          <w:ilvl w:val="0"/>
          <w:numId w:val="1004"/>
        </w:numPr>
      </w:pPr>
      <w:r>
        <w:t xml:space="preserve">Each</w:t>
      </w:r>
      <w:r>
        <w:t xml:space="preserve"> </w:t>
      </w:r>
      <w:r>
        <w:rPr>
          <w:b/>
          <w:bCs/>
        </w:rPr>
        <w:t xml:space="preserve">variable</w:t>
      </w:r>
      <w:r>
        <w:t xml:space="preserve"> </w:t>
      </w:r>
      <w:r>
        <w:t xml:space="preserve">is a column;</w:t>
      </w:r>
    </w:p>
    <w:p>
      <w:pPr>
        <w:pStyle w:val="Compact"/>
        <w:numPr>
          <w:ilvl w:val="0"/>
          <w:numId w:val="1004"/>
        </w:numPr>
      </w:pPr>
      <w:r>
        <w:t xml:space="preserve">Each column contains</w:t>
      </w:r>
      <w:r>
        <w:t xml:space="preserve"> </w:t>
      </w:r>
      <w:r>
        <w:rPr>
          <w:i/>
          <w:iCs/>
        </w:rPr>
        <w:t xml:space="preserve">one kind</w:t>
      </w:r>
      <w:r>
        <w:t xml:space="preserve"> </w:t>
      </w:r>
      <w:r>
        <w:t xml:space="preserve">of data.</w:t>
      </w:r>
    </w:p>
    <w:p>
      <w:pPr>
        <w:pStyle w:val="Compact"/>
        <w:numPr>
          <w:ilvl w:val="0"/>
          <w:numId w:val="1004"/>
        </w:numPr>
      </w:pPr>
      <w:r>
        <w:t xml:space="preserve">Each</w:t>
      </w:r>
      <w:r>
        <w:t xml:space="preserve"> </w:t>
      </w:r>
      <w:r>
        <w:rPr>
          <w:b/>
          <w:bCs/>
        </w:rPr>
        <w:t xml:space="preserve">observation</w:t>
      </w:r>
      <w:r>
        <w:t xml:space="preserve"> </w:t>
      </w:r>
      <w:r>
        <w:t xml:space="preserve">or</w:t>
      </w:r>
      <w:r>
        <w:t xml:space="preserve"> </w:t>
      </w:r>
      <w:r>
        <w:rPr>
          <w:b/>
          <w:bCs/>
        </w:rPr>
        <w:t xml:space="preserve">case</w:t>
      </w:r>
      <w:r>
        <w:t xml:space="preserve"> </w:t>
      </w:r>
      <w:r>
        <w:t xml:space="preserve">is a row.</w:t>
      </w:r>
    </w:p>
    <w:p>
      <w:pPr>
        <w:pStyle w:val="Compact"/>
        <w:numPr>
          <w:ilvl w:val="0"/>
          <w:numId w:val="1004"/>
        </w:numPr>
      </w:pPr>
      <w:r>
        <w:t xml:space="preserve">Each</w:t>
      </w:r>
      <w:r>
        <w:t xml:space="preserve"> </w:t>
      </w:r>
      <w:r>
        <w:rPr>
          <w:b/>
          <w:bCs/>
        </w:rPr>
        <w:t xml:space="preserve">observations</w:t>
      </w:r>
      <w:r>
        <w:t xml:space="preserve"> </w:t>
      </w:r>
      <w:r>
        <w:t xml:space="preserve">contains</w:t>
      </w:r>
      <w:r>
        <w:t xml:space="preserve"> </w:t>
      </w:r>
      <w:r>
        <w:rPr>
          <w:i/>
          <w:iCs/>
        </w:rPr>
        <w:t xml:space="preserve">one value</w:t>
      </w:r>
      <w:r>
        <w:t xml:space="preserve"> </w:t>
      </w:r>
      <w:r>
        <w:t xml:space="preserve">for each variable.</w:t>
      </w:r>
    </w:p>
    <w:bookmarkEnd w:id="46"/>
    <w:bookmarkEnd w:id="47"/>
    <w:bookmarkStart w:id="65" w:name="what-is-a-data-visualization"/>
    <w:p>
      <w:pPr>
        <w:pStyle w:val="Heading2"/>
      </w:pPr>
      <w:r>
        <w:t xml:space="preserve"> </w:t>
      </w:r>
      <w:r>
        <w:t xml:space="preserve">What is a Data Visualization?</w:t>
      </w:r>
    </w:p>
    <w:bookmarkStart w:id="52" w:name="data-viz-data-geometry"/>
    <w:p>
      <w:pPr>
        <w:pStyle w:val="Heading4"/>
      </w:pPr>
      <w:r>
        <w:t xml:space="preserve"> </w:t>
      </w:r>
      <w:r>
        <w:t xml:space="preserve">Data Viz = Data + Geometry</w:t>
      </w:r>
    </w:p>
    <w:p>
      <w:pPr>
        <w:pStyle w:val="Compact"/>
        <w:numPr>
          <w:ilvl w:val="0"/>
          <w:numId w:val="1005"/>
        </w:numPr>
      </w:pPr>
      <w:r>
        <w:t xml:space="preserve">How many</w:t>
      </w:r>
      <w:r>
        <w:t xml:space="preserve"> </w:t>
      </w:r>
      <w:r>
        <w:rPr>
          <w:i/>
          <w:iCs/>
        </w:rPr>
        <w:t xml:space="preserve">geometric things</w:t>
      </w:r>
      <w:r>
        <w:t xml:space="preserve"> </w:t>
      </w:r>
      <w:r>
        <w:t xml:space="preserve">do we know?</w:t>
      </w:r>
    </w:p>
    <w:p>
      <w:pPr>
        <w:pStyle w:val="Compact"/>
        <w:numPr>
          <w:ilvl w:val="0"/>
          <w:numId w:val="1005"/>
        </w:numPr>
      </w:pPr>
      <w:r>
        <w:t xml:space="preserve">Shapes? Lines? Axes? Curves? Angles? Patterns? Textures? Colours? Sizes? Positions? Lengths? Heights? Breadths? Radii? Textures?</w:t>
      </w:r>
    </w:p>
    <w:p>
      <w:pPr>
        <w:pStyle w:val="Compact"/>
        <w:numPr>
          <w:ilvl w:val="0"/>
          <w:numId w:val="1005"/>
        </w:numPr>
      </w:pPr>
      <w:r>
        <w:t xml:space="preserve">All these are</w:t>
      </w:r>
      <w:r>
        <w:t xml:space="preserve"> </w:t>
      </w:r>
      <w:r>
        <w:rPr>
          <w:b/>
          <w:bCs/>
        </w:rPr>
        <w:t xml:space="preserve">geometric aspects</w:t>
      </w:r>
      <w:r>
        <w:t xml:space="preserve"> </w:t>
      </w:r>
      <w:r>
        <w:t xml:space="preserve">or</w:t>
      </w:r>
      <w:r>
        <w:t xml:space="preserve"> </w:t>
      </w:r>
      <w:r>
        <w:rPr>
          <w:b/>
          <w:bCs/>
        </w:rPr>
        <w:t xml:space="preserve">aesthetics</w:t>
      </w:r>
      <w:r>
        <w:t xml:space="preserve">, each with</w:t>
      </w:r>
      <w:r>
        <w:t xml:space="preserve"> </w:t>
      </w:r>
      <w:r>
        <w:rPr>
          <w:b/>
          <w:bCs/>
          <w:i/>
          <w:iCs/>
        </w:rPr>
        <w:t xml:space="preserve">a unique property</w:t>
      </w:r>
      <w:r>
        <w:t xml:space="preserve">.</w:t>
      </w:r>
    </w:p>
    <w:p>
      <w:pPr>
        <w:pStyle w:val="Compact"/>
        <w:numPr>
          <w:ilvl w:val="0"/>
          <w:numId w:val="1005"/>
        </w:numPr>
      </w:pPr>
      <w:r>
        <w:t xml:space="preserve">Some</w:t>
      </w:r>
      <w:r>
        <w:t xml:space="preserve"> </w:t>
      </w:r>
      <w:r>
        <w:t xml:space="preserve">“geometric things”</w:t>
      </w:r>
      <w:r>
        <w:t xml:space="preserve"> </w:t>
      </w:r>
      <w:r>
        <w:t xml:space="preserve">which we might consider are shown in the figure below.</w:t>
      </w:r>
    </w:p>
    <w:tbl>
      <w:tblPr>
        <w:tblStyle w:val="Table"/>
        <w:tblW w:type="pct" w:w="5000"/>
        <w:tblLayout w:type="fixed"/>
        <w:tblLook w:firstRow="0" w:lastRow="0" w:firstColumn="0" w:lastColumn="0" w:noHBand="0" w:noVBand="0" w:val="0000"/>
      </w:tblPr>
      <w:tblGrid>
        <w:gridCol w:w="7920"/>
      </w:tblGrid>
      <w:tr>
        <w:tc>
          <w:tcPr/>
          <w:bookmarkStart w:id="51" w:name="fig-common-aesthetics"/>
          <w:p>
            <w:pPr>
              <w:pStyle w:val="Compact"/>
              <w:jc w:val="center"/>
            </w:pPr>
            <w:r>
              <w:drawing>
                <wp:inline>
                  <wp:extent cx="5334000" cy="2398447"/>
                  <wp:effectExtent b="0" l="0" r="0" t="0"/>
                  <wp:docPr descr="" title="" id="49" name="Picture"/>
                  <a:graphic>
                    <a:graphicData uri="http://schemas.openxmlformats.org/drawingml/2006/picture">
                      <pic:pic>
                        <pic:nvPicPr>
                          <pic:cNvPr descr="../../../../../../content/materials/images/common-aesthetics-1.png" id="50" name="Picture"/>
                          <pic:cNvPicPr>
                            <a:picLocks noChangeArrowheads="1" noChangeAspect="1"/>
                          </pic:cNvPicPr>
                        </pic:nvPicPr>
                        <pic:blipFill>
                          <a:blip r:embed="rId48"/>
                          <a:stretch>
                            <a:fillRect/>
                          </a:stretch>
                        </pic:blipFill>
                        <pic:spPr bwMode="auto">
                          <a:xfrm>
                            <a:off x="0" y="0"/>
                            <a:ext cx="5334000" cy="239844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Common Geometric Aesthetics in</w:t>
            </w:r>
            <w:r>
              <w:t xml:space="preserve"> </w:t>
            </w:r>
            <w:r>
              <w:t xml:space="preserve">Charts</w:t>
            </w:r>
          </w:p>
          <w:bookmarkEnd w:id="51"/>
        </w:tc>
      </w:tr>
    </w:tbl>
    <w:bookmarkEnd w:id="52"/>
    <w:bookmarkStart w:id="53" w:name="mapping"/>
    <w:p>
      <w:pPr>
        <w:pStyle w:val="Heading4"/>
      </w:pPr>
      <w:r>
        <w:t xml:space="preserve"> </w:t>
      </w:r>
      <w:r>
        <w:t xml:space="preserve">Mapping</w:t>
      </w:r>
    </w:p>
    <w:p>
      <w:pPr>
        <w:pStyle w:val="Compact"/>
        <w:numPr>
          <w:ilvl w:val="0"/>
          <w:numId w:val="1006"/>
        </w:numPr>
      </w:pPr>
      <w:r>
        <w:t xml:space="preserve">How can we</w:t>
      </w:r>
      <w:r>
        <w:t xml:space="preserve"> </w:t>
      </w:r>
      <w:r>
        <w:rPr>
          <w:b/>
          <w:bCs/>
          <w:i/>
          <w:iCs/>
        </w:rPr>
        <w:t xml:space="preserve">manipulate</w:t>
      </w:r>
      <w:r>
        <w:t xml:space="preserve"> </w:t>
      </w:r>
      <w:r>
        <w:t xml:space="preserve">these geometric aesthetics, perhaps like Kandinsky?</w:t>
      </w:r>
    </w:p>
    <w:p>
      <w:pPr>
        <w:pStyle w:val="Compact"/>
        <w:numPr>
          <w:ilvl w:val="0"/>
          <w:numId w:val="1006"/>
        </w:numPr>
      </w:pPr>
      <w:r>
        <w:t xml:space="preserve">The aesthetic has a property, an atribute, which we can manipulate in accordance with a data variable!</w:t>
      </w:r>
    </w:p>
    <w:p>
      <w:pPr>
        <w:pStyle w:val="Compact"/>
        <w:numPr>
          <w:ilvl w:val="0"/>
          <w:numId w:val="1006"/>
        </w:numPr>
      </w:pPr>
      <w:r>
        <w:t xml:space="preserve">This act of</w:t>
      </w:r>
      <w:r>
        <w:t xml:space="preserve"> </w:t>
      </w:r>
      <w:r>
        <w:t xml:space="preserve">“mapping”</w:t>
      </w:r>
      <w:r>
        <w:t xml:space="preserve"> </w:t>
      </w:r>
      <w:r>
        <w:t xml:space="preserve">a</w:t>
      </w:r>
      <w:r>
        <w:t xml:space="preserve"> </w:t>
      </w:r>
      <w:r>
        <w:rPr>
          <w:b/>
          <w:bCs/>
        </w:rPr>
        <w:t xml:space="preserve">geometric thing</w:t>
      </w:r>
      <w:r>
        <w:t xml:space="preserve"> </w:t>
      </w:r>
      <w:r>
        <w:t xml:space="preserve">to a</w:t>
      </w:r>
      <w:r>
        <w:t xml:space="preserve"> </w:t>
      </w:r>
      <w:r>
        <w:rPr>
          <w:b/>
          <w:bCs/>
        </w:rPr>
        <w:t xml:space="preserve">variable</w:t>
      </w:r>
      <w:r>
        <w:t xml:space="preserve"> </w:t>
      </w:r>
      <w:r>
        <w:t xml:space="preserve">and modifying its essential property is called Data Visualization</w:t>
      </w:r>
    </w:p>
    <w:bookmarkEnd w:id="53"/>
    <w:bookmarkStart w:id="54" w:name="mapping-examples"/>
    <w:p>
      <w:pPr>
        <w:pStyle w:val="Heading4"/>
      </w:pPr>
      <w:r>
        <w:t xml:space="preserve">Mapping Examples</w:t>
      </w:r>
    </w:p>
    <w:p>
      <w:pPr>
        <w:pStyle w:val="Compact"/>
        <w:numPr>
          <w:ilvl w:val="0"/>
          <w:numId w:val="1007"/>
        </w:numPr>
      </w:pPr>
      <w:r>
        <w:rPr>
          <w:rStyle w:val="VerbatimChar"/>
        </w:rPr>
        <w:t xml:space="preserve">length</w:t>
      </w:r>
      <w:r>
        <w:t xml:space="preserve"> </w:t>
      </w:r>
      <w:r>
        <w:t xml:space="preserve">or</w:t>
      </w:r>
      <w:r>
        <w:t xml:space="preserve"> </w:t>
      </w:r>
      <w:r>
        <w:rPr>
          <w:rStyle w:val="VerbatimChar"/>
        </w:rPr>
        <w:t xml:space="preserve">height</w:t>
      </w:r>
      <w:r>
        <w:t xml:space="preserve"> </w:t>
      </w:r>
      <w:r>
        <w:t xml:space="preserve">of a</w:t>
      </w:r>
      <w:r>
        <w:t xml:space="preserve"> </w:t>
      </w:r>
      <w:r>
        <w:rPr>
          <w:rStyle w:val="VerbatimChar"/>
        </w:rPr>
        <w:t xml:space="preserve">bar</w:t>
      </w:r>
      <w:r>
        <w:t xml:space="preserve"> </w:t>
      </w:r>
      <w:r>
        <w:t xml:space="preserve">can be made proportional</w:t>
      </w:r>
      <w:r>
        <w:t xml:space="preserve"> </w:t>
      </w:r>
      <w:r>
        <w:t xml:space="preserve">to the</w:t>
      </w:r>
      <w:r>
        <w:rPr>
          <w:rStyle w:val="VerbatimChar"/>
        </w:rPr>
        <w:t xml:space="preserve">age</w:t>
      </w:r>
      <w:r>
        <w:t xml:space="preserve"> </w:t>
      </w:r>
      <w:r>
        <w:t xml:space="preserve">or</w:t>
      </w:r>
      <w:r>
        <w:t xml:space="preserve"> </w:t>
      </w:r>
      <w:r>
        <w:rPr>
          <w:rStyle w:val="VerbatimChar"/>
        </w:rPr>
        <w:t xml:space="preserve">income</w:t>
      </w:r>
      <w:r>
        <w:t xml:space="preserve"> </w:t>
      </w:r>
      <w:r>
        <w:t xml:space="preserve">of a person</w:t>
      </w:r>
    </w:p>
    <w:p>
      <w:pPr>
        <w:pStyle w:val="Compact"/>
        <w:numPr>
          <w:ilvl w:val="0"/>
          <w:numId w:val="1007"/>
        </w:numPr>
      </w:pPr>
      <w:r>
        <w:rPr>
          <w:rStyle w:val="VerbatimChar"/>
        </w:rPr>
        <w:t xml:space="preserve">Colour</w:t>
      </w:r>
      <w:r>
        <w:t xml:space="preserve"> </w:t>
      </w:r>
      <w:r>
        <w:t xml:space="preserve">of points can be mapped to</w:t>
      </w:r>
      <w:r>
        <w:t xml:space="preserve"> </w:t>
      </w:r>
      <w:r>
        <w:rPr>
          <w:rStyle w:val="VerbatimChar"/>
        </w:rPr>
        <w:t xml:space="preserve">gender</w:t>
      </w:r>
      <w:r>
        <w:t xml:space="preserve">, with a unique</w:t>
      </w:r>
      <w:r>
        <w:t xml:space="preserve"> </w:t>
      </w:r>
      <w:r>
        <w:rPr>
          <w:rStyle w:val="VerbatimChar"/>
        </w:rPr>
        <w:t xml:space="preserve">colour</w:t>
      </w:r>
      <w:r>
        <w:t xml:space="preserve"> </w:t>
      </w:r>
      <w:r>
        <w:t xml:space="preserve">for each</w:t>
      </w:r>
      <w:r>
        <w:t xml:space="preserve"> </w:t>
      </w:r>
      <w:r>
        <w:rPr>
          <w:rStyle w:val="VerbatimChar"/>
        </w:rPr>
        <w:t xml:space="preserve">gender</w:t>
      </w:r>
      <w:r>
        <w:t xml:space="preserve">.</w:t>
      </w:r>
    </w:p>
    <w:p>
      <w:pPr>
        <w:pStyle w:val="Compact"/>
        <w:numPr>
          <w:ilvl w:val="0"/>
          <w:numId w:val="1007"/>
        </w:numPr>
      </w:pPr>
      <w:r>
        <w:rPr>
          <w:rStyle w:val="VerbatimChar"/>
        </w:rPr>
        <w:t xml:space="preserve">Position</w:t>
      </w:r>
      <w:r>
        <w:t xml:space="preserve"> </w:t>
      </w:r>
      <w:r>
        <w:t xml:space="preserve">along an X-axis can vary in accordance with a</w:t>
      </w:r>
      <w:r>
        <w:t xml:space="preserve"> </w:t>
      </w:r>
      <w:r>
        <w:rPr>
          <w:rStyle w:val="VerbatimChar"/>
        </w:rPr>
        <w:t xml:space="preserve">height</w:t>
      </w:r>
      <w:r>
        <w:t xml:space="preserve"> </w:t>
      </w:r>
      <w:r>
        <w:t xml:space="preserve">variable, and</w:t>
      </w:r>
    </w:p>
    <w:p>
      <w:pPr>
        <w:pStyle w:val="Compact"/>
        <w:numPr>
          <w:ilvl w:val="0"/>
          <w:numId w:val="1007"/>
        </w:numPr>
      </w:pPr>
      <w:r>
        <w:rPr>
          <w:rStyle w:val="VerbatimChar"/>
        </w:rPr>
        <w:t xml:space="preserve">Position</w:t>
      </w:r>
      <w:r>
        <w:t xml:space="preserve"> </w:t>
      </w:r>
      <w:r>
        <w:t xml:space="preserve">along the Y-axis can vary with a</w:t>
      </w:r>
      <w:r>
        <w:t xml:space="preserve"> </w:t>
      </w:r>
      <w:r>
        <w:rPr>
          <w:rStyle w:val="VerbatimChar"/>
        </w:rPr>
        <w:t xml:space="preserve">bodyWeight</w:t>
      </w:r>
      <w:r>
        <w:t xml:space="preserve"> </w:t>
      </w:r>
      <w:r>
        <w:t xml:space="preserve">variable.</w:t>
      </w:r>
    </w:p>
    <w:bookmarkEnd w:id="54"/>
    <w:bookmarkStart w:id="55" w:name="using-multiple-geometries"/>
    <w:p>
      <w:pPr>
        <w:pStyle w:val="Heading4"/>
      </w:pPr>
      <w:r>
        <w:t xml:space="preserve">Using Multiple geometries</w:t>
      </w:r>
    </w:p>
    <w:p>
      <w:pPr>
        <w:pStyle w:val="Compact"/>
        <w:numPr>
          <w:ilvl w:val="0"/>
          <w:numId w:val="1008"/>
        </w:numPr>
      </w:pPr>
      <w:r>
        <w:t xml:space="preserve">A chart may use more than one aesthetic:</w:t>
      </w:r>
      <w:r>
        <w:t xml:space="preserve"> </w:t>
      </w:r>
      <w:r>
        <w:rPr>
          <w:rStyle w:val="VerbatimChar"/>
        </w:rPr>
        <w:t xml:space="preserve">position</w:t>
      </w:r>
      <w:r>
        <w:t xml:space="preserve">,</w:t>
      </w:r>
      <w:r>
        <w:t xml:space="preserve"> </w:t>
      </w:r>
      <w:r>
        <w:rPr>
          <w:rStyle w:val="VerbatimChar"/>
        </w:rPr>
        <w:t xml:space="preserve">shape</w:t>
      </w:r>
      <w:r>
        <w:t xml:space="preserve">,</w:t>
      </w:r>
      <w:r>
        <w:t xml:space="preserve"> </w:t>
      </w:r>
      <w:r>
        <w:rPr>
          <w:rStyle w:val="VerbatimChar"/>
        </w:rPr>
        <w:t xml:space="preserve">colour</w:t>
      </w:r>
      <w:r>
        <w:t xml:space="preserve">,</w:t>
      </w:r>
      <w:r>
        <w:rPr>
          <w:rStyle w:val="VerbatimChar"/>
        </w:rPr>
        <w:t xml:space="preserve">height</w:t>
      </w:r>
      <w:r>
        <w:t xml:space="preserve"> </w:t>
      </w:r>
      <w:r>
        <w:t xml:space="preserve">and</w:t>
      </w:r>
      <w:r>
        <w:t xml:space="preserve"> </w:t>
      </w:r>
      <w:r>
        <w:rPr>
          <w:rStyle w:val="VerbatimChar"/>
        </w:rPr>
        <w:t xml:space="preserve">angle</w:t>
      </w:r>
      <w:r>
        <w:t xml:space="preserve">,</w:t>
      </w:r>
      <w:r>
        <w:t xml:space="preserve"> </w:t>
      </w:r>
      <w:r>
        <w:rPr>
          <w:rStyle w:val="VerbatimChar"/>
        </w:rPr>
        <w:t xml:space="preserve">pattern</w:t>
      </w:r>
      <w:r>
        <w:t xml:space="preserve"> </w:t>
      </w:r>
      <w:r>
        <w:t xml:space="preserve">or</w:t>
      </w:r>
      <w:r>
        <w:t xml:space="preserve"> </w:t>
      </w:r>
      <w:r>
        <w:rPr>
          <w:rStyle w:val="VerbatimChar"/>
        </w:rPr>
        <w:t xml:space="preserve">texture</w:t>
      </w:r>
      <w:r>
        <w:t xml:space="preserve"> </w:t>
      </w:r>
      <w:r>
        <w:t xml:space="preserve">to name several.</w:t>
      </w:r>
    </w:p>
    <w:p>
      <w:pPr>
        <w:pStyle w:val="Compact"/>
        <w:numPr>
          <w:ilvl w:val="0"/>
          <w:numId w:val="1008"/>
        </w:numPr>
      </w:pPr>
      <w:r>
        <w:t xml:space="preserve">Usually, each aesthetic is mapped to</w:t>
      </w:r>
      <w:r>
        <w:t xml:space="preserve"> </w:t>
      </w:r>
      <w:r>
        <w:rPr>
          <w:b/>
          <w:bCs/>
        </w:rPr>
        <w:t xml:space="preserve">just one</w:t>
      </w:r>
      <w:r>
        <w:t xml:space="preserve"> </w:t>
      </w:r>
      <w:r>
        <w:t xml:space="preserve">variable to ensure there is no cognitive error.</w:t>
      </w:r>
    </w:p>
    <w:p>
      <w:pPr>
        <w:pStyle w:val="Compact"/>
        <w:numPr>
          <w:ilvl w:val="0"/>
          <w:numId w:val="1008"/>
        </w:numPr>
      </w:pPr>
      <w:r>
        <w:t xml:space="preserve">There is of course a choice and you should be able to</w:t>
      </w:r>
      <w:r>
        <w:t xml:space="preserve"> </w:t>
      </w:r>
      <w:r>
        <w:rPr>
          <w:b/>
          <w:bCs/>
        </w:rPr>
        <w:t xml:space="preserve">map</w:t>
      </w:r>
      <w:r>
        <w:t xml:space="preserve"> </w:t>
      </w:r>
      <w:r>
        <w:t xml:space="preserve">any kind of variable to any geometric aspect/aesthetic that may be available.</w:t>
      </w:r>
    </w:p>
    <w:bookmarkEnd w:id="55"/>
    <w:bookmarkStart w:id="56" w:name="a-natural-mapping"/>
    <w:p>
      <w:pPr>
        <w:pStyle w:val="Heading4"/>
      </w:pPr>
      <w:r>
        <w:t xml:space="preserve">A Natural Mapping</w:t>
      </w:r>
    </w:p>
    <w:p>
      <w:pPr>
        <w:pStyle w:val="Compact"/>
        <w:numPr>
          <w:ilvl w:val="0"/>
          <w:numId w:val="1009"/>
        </w:numPr>
      </w:pPr>
      <w:r>
        <w:t xml:space="preserve">Note that here is also a</w:t>
      </w:r>
      <w:r>
        <w:t xml:space="preserve"> </w:t>
      </w:r>
      <w:r>
        <w:t xml:space="preserve">“natural”</w:t>
      </w:r>
      <w:r>
        <w:t xml:space="preserve"> </w:t>
      </w:r>
      <w:r>
        <w:t xml:space="preserve">mapping between aesthetic and</w:t>
      </w:r>
      <w:r>
        <w:t xml:space="preserve"> </w:t>
      </w:r>
      <w:r>
        <w:rPr>
          <w:b/>
          <w:bCs/>
        </w:rPr>
        <w:t xml:space="preserve">kind of variable</w:t>
      </w:r>
      <w:r>
        <w:t xml:space="preserve"> </w:t>
      </w:r>
      <w:r>
        <w:t xml:space="preserve">Quantitative or Qualitative as seen in</w:t>
      </w:r>
      <w:r>
        <w:t xml:space="preserve"> </w:t>
      </w:r>
      <w:hyperlink w:anchor="fig-tidy-data">
        <w:r>
          <w:rPr>
            <w:rStyle w:val="Hyperlink"/>
          </w:rPr>
          <w:t xml:space="preserve">Figure 3</w:t>
        </w:r>
      </w:hyperlink>
      <w:r>
        <w:t xml:space="preserve">.</w:t>
      </w:r>
    </w:p>
    <w:p>
      <w:pPr>
        <w:pStyle w:val="Compact"/>
        <w:numPr>
          <w:ilvl w:val="0"/>
          <w:numId w:val="1009"/>
        </w:numPr>
      </w:pPr>
      <w:r>
        <w:t xml:space="preserve">For instance,</w:t>
      </w:r>
      <w:r>
        <w:t xml:space="preserve"> </w:t>
      </w:r>
      <w:r>
        <w:rPr>
          <w:rStyle w:val="VerbatimChar"/>
        </w:rPr>
        <w:t xml:space="preserve">shape</w:t>
      </w:r>
      <w:r>
        <w:t xml:space="preserve"> </w:t>
      </w:r>
      <w:r>
        <w:t xml:space="preserve">is rarely mapped to a Quantitative variable;</w:t>
      </w:r>
    </w:p>
    <w:p>
      <w:pPr>
        <w:pStyle w:val="Compact"/>
        <w:numPr>
          <w:ilvl w:val="0"/>
          <w:numId w:val="1009"/>
        </w:numPr>
      </w:pPr>
      <w:r>
        <w:t xml:space="preserve">the nature of variation between the Quantitative</w:t>
      </w:r>
      <w:r>
        <w:t xml:space="preserve"> </w:t>
      </w:r>
      <w:r>
        <w:t xml:space="preserve">variable and the</w:t>
      </w:r>
      <w:r>
        <w:t xml:space="preserve"> </w:t>
      </w:r>
      <w:r>
        <w:rPr>
          <w:rStyle w:val="VerbatimChar"/>
        </w:rPr>
        <w:t xml:space="preserve">shape</w:t>
      </w:r>
      <w:r>
        <w:t xml:space="preserve"> </w:t>
      </w:r>
      <w:r>
        <w:t xml:space="preserve">aesthetic is not similar (i.e. not continuous).</w:t>
      </w:r>
    </w:p>
    <w:p>
      <w:pPr>
        <w:pStyle w:val="Compact"/>
        <w:numPr>
          <w:ilvl w:val="0"/>
          <w:numId w:val="1009"/>
        </w:numPr>
      </w:pPr>
      <w:r>
        <w:t xml:space="preserve">Bad choices may lead to bad, or worse, misleading charts!</w:t>
      </w:r>
    </w:p>
    <w:bookmarkEnd w:id="56"/>
    <w:bookmarkStart w:id="61" w:name="a-data-visualization-example"/>
    <w:p>
      <w:pPr>
        <w:pStyle w:val="Heading4"/>
      </w:pPr>
      <w:r>
        <w:t xml:space="preserve">A Data Visualization Example</w:t>
      </w:r>
    </w:p>
    <w:p>
      <w:pPr>
        <w:pStyle w:val="SourceCode"/>
      </w:pPr>
      <w:r>
        <w:rPr>
          <w:rStyle w:val="FunctionTok"/>
        </w:rPr>
        <w:t xml:space="preserve">set.seed</w:t>
      </w:r>
      <w:r>
        <w:rPr>
          <w:rStyle w:val="NormalTok"/>
        </w:rPr>
        <w:t xml:space="preserve">(</w:t>
      </w:r>
      <w:r>
        <w:rPr>
          <w:rStyle w:val="DecValTok"/>
        </w:rPr>
        <w:t xml:space="preserve">1947</w:t>
      </w:r>
      <w:r>
        <w:rPr>
          <w:rStyle w:val="NormalTok"/>
        </w:rPr>
        <w:t xml:space="preserve">)</w:t>
      </w:r>
      <w:r>
        <w:br/>
      </w:r>
      <w:r>
        <w:rPr>
          <w:rStyle w:val="NormalTok"/>
        </w:rPr>
        <w:t xml:space="preserve">diamonds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150</w:t>
      </w:r>
      <w:r>
        <w:rPr>
          <w:rStyle w:val="NormalTok"/>
        </w:rPr>
        <w:t xml:space="preserve">, </w:t>
      </w:r>
      <w:r>
        <w:rPr>
          <w:rStyle w:val="AttributeTok"/>
        </w:rPr>
        <w:t xml:space="preserve">weight_by =</w:t>
      </w:r>
      <w:r>
        <w:rPr>
          <w:rStyle w:val="NormalTok"/>
        </w:rPr>
        <w:t xml:space="preserve"> cut) </w:t>
      </w:r>
      <w:r>
        <w:rPr>
          <w:rStyle w:val="SpecialCharTok"/>
        </w:rPr>
        <w:t xml:space="preserve">%&gt;%</w:t>
      </w:r>
      <w:r>
        <w:br/>
      </w:r>
      <w:r>
        <w:rPr>
          <w:rStyle w:val="NormalTok"/>
        </w:rPr>
        <w:t xml:space="preserve">  </w:t>
      </w:r>
      <w:r>
        <w:rPr>
          <w:rStyle w:val="FunctionTok"/>
        </w:rPr>
        <w:t xml:space="preserve">gf_point</w:t>
      </w:r>
      <w:r>
        <w:rPr>
          <w:rStyle w:val="NormalTok"/>
        </w:rPr>
        <w:t xml:space="preserve">(price </w:t>
      </w:r>
      <w:r>
        <w:rPr>
          <w:rStyle w:val="SpecialCharTok"/>
        </w:rPr>
        <w:t xml:space="preserve">~</w:t>
      </w:r>
      <w:r>
        <w:rPr>
          <w:rStyle w:val="NormalTok"/>
        </w:rPr>
        <w:t xml:space="preserve"> carat,</w:t>
      </w:r>
      <w:r>
        <w:br/>
      </w:r>
      <w:r>
        <w:rPr>
          <w:rStyle w:val="NormalTok"/>
        </w:rPr>
        <w:t xml:space="preserve">    </w:t>
      </w:r>
      <w:r>
        <w:rPr>
          <w:rStyle w:val="AttributeTok"/>
        </w:rPr>
        <w:t xml:space="preserve">colour =</w:t>
      </w:r>
      <w:r>
        <w:rPr>
          <w:rStyle w:val="NormalTok"/>
        </w:rPr>
        <w:t xml:space="preserve"> </w:t>
      </w:r>
      <w:r>
        <w:rPr>
          <w:rStyle w:val="SpecialCharTok"/>
        </w:rPr>
        <w:t xml:space="preserve">~</w:t>
      </w:r>
      <w:r>
        <w:rPr>
          <w:rStyle w:val="NormalTok"/>
        </w:rPr>
        <w:t xml:space="preserve">cut,</w:t>
      </w:r>
      <w:r>
        <w:br/>
      </w:r>
      <w:r>
        <w:rPr>
          <w:rStyle w:val="NormalTok"/>
        </w:rPr>
        <w:t xml:space="preserve">    </w:t>
      </w:r>
      <w:r>
        <w:rPr>
          <w:rStyle w:val="AttributeTok"/>
        </w:rPr>
        <w:t xml:space="preserve">shape =</w:t>
      </w:r>
      <w:r>
        <w:rPr>
          <w:rStyle w:val="NormalTok"/>
        </w:rPr>
        <w:t xml:space="preserve"> </w:t>
      </w:r>
      <w:r>
        <w:rPr>
          <w:rStyle w:val="SpecialCharTok"/>
        </w:rPr>
        <w:t xml:space="preserve">~</w:t>
      </w:r>
      <w:r>
        <w:rPr>
          <w:rStyle w:val="NormalTok"/>
        </w:rPr>
        <w:t xml:space="preserve">cut,</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data =</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gf_labs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Title = DIAMONDS ARE FOREVER"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"Plot Subtitle = AND A GIRL'S BEST FRIEND"</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"Plot Caption = From the diamonds dataset"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"x-Axis Title = CARAT"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"y-Axis Title = PRICE"</w:t>
      </w:r>
      <w:r>
        <w:br/>
      </w:r>
      <w:r>
        <w:rPr>
          <w:rStyle w:val="NormalTok"/>
        </w:rPr>
        <w:t xml:space="preserve">  ) </w:t>
      </w:r>
      <w:r>
        <w:rPr>
          <w:rStyle w:val="SpecialCharTok"/>
        </w:rPr>
        <w:t xml:space="preserve">%&gt;%</w:t>
      </w:r>
      <w:r>
        <w:br/>
      </w:r>
      <w:r>
        <w:rPr>
          <w:rStyle w:val="NormalTok"/>
        </w:rPr>
        <w:t xml:space="preserve">  </w:t>
      </w:r>
      <w:r>
        <w:rPr>
          <w:rStyle w:val="CommentTok"/>
        </w:rPr>
        <w:t xml:space="preserve"># Use same name for scales to merge legends</w:t>
      </w:r>
      <w:r>
        <w:br/>
      </w:r>
      <w:r>
        <w:rPr>
          <w:rStyle w:val="NormalTok"/>
        </w:rPr>
        <w:t xml:space="preserve">  </w:t>
      </w:r>
      <w:r>
        <w:rPr>
          <w:rStyle w:val="FunctionTok"/>
        </w:rPr>
        <w:t xml:space="preserve">gf_refine</w:t>
      </w:r>
      <w:r>
        <w:rPr>
          <w:rStyle w:val="NormalTok"/>
        </w:rPr>
        <w:t xml:space="preserve">(</w:t>
      </w:r>
      <w:r>
        <w:br/>
      </w:r>
      <w:r>
        <w:rPr>
          <w:rStyle w:val="NormalTok"/>
        </w:rPr>
        <w:t xml:space="preserve">    </w:t>
      </w:r>
      <w:r>
        <w:rPr>
          <w:rStyle w:val="FunctionTok"/>
        </w:rPr>
        <w:t xml:space="preserve">scale_color_brewer</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"Legend = DIAMOND QUALITY"</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"Set1"</w:t>
      </w:r>
      <w:r>
        <w:br/>
      </w:r>
      <w:r>
        <w:rPr>
          <w:rStyle w:val="NormalTok"/>
        </w:rPr>
        <w:t xml:space="preserve">    ),</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"Legend = DIAMOND QUALITY"</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DecValTok"/>
        </w:rPr>
        <w:t xml:space="preserve">15</w:t>
      </w:r>
      <w:r>
        <w:rPr>
          <w:rStyle w:val="SpecialCharTok"/>
        </w:rPr>
        <w:t xml:space="preserve">:</w:t>
      </w:r>
      <w:r>
        <w:rPr>
          <w:rStyle w:val="DecValTok"/>
        </w:rPr>
        <w:t xml:space="preserve">21</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gf_annotate</w:t>
      </w:r>
      <w:r>
        <w:rPr>
          <w:rStyle w:val="NormalTok"/>
        </w:rPr>
        <w:t xml:space="preserve">(</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1.0</w:t>
      </w:r>
      <w:r>
        <w:rPr>
          <w:rStyle w:val="NormalTok"/>
        </w:rPr>
        <w:t xml:space="preserve">, </w:t>
      </w:r>
      <w:r>
        <w:rPr>
          <w:rStyle w:val="AttributeTok"/>
        </w:rPr>
        <w:t xml:space="preserve">y =</w:t>
      </w:r>
      <w:r>
        <w:rPr>
          <w:rStyle w:val="NormalTok"/>
        </w:rPr>
        <w:t xml:space="preserve"> </w:t>
      </w:r>
      <w:r>
        <w:rPr>
          <w:rStyle w:val="DecValTok"/>
        </w:rPr>
        <w:t xml:space="preserve">16000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"These DIAMONDS are</w:t>
      </w:r>
      <w:r>
        <w:rPr>
          <w:rStyle w:val="SpecialCharTok"/>
        </w:rPr>
        <w:t xml:space="preserve">\n</w:t>
      </w:r>
      <w:r>
        <w:rPr>
          <w:rStyle w:val="StringTok"/>
        </w:rPr>
        <w:t xml:space="preserve"> Super Affordable!!"</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br/>
      </w:r>
      <w:r>
        <w:rPr>
          <w:rStyle w:val="NormalTok"/>
        </w:rPr>
        <w:t xml:space="preserve">  ) </w:t>
      </w:r>
      <w:r>
        <w:rPr>
          <w:rStyle w:val="SpecialCharTok"/>
        </w:rPr>
        <w:t xml:space="preserve">%&gt;%</w:t>
      </w:r>
      <w:r>
        <w:br/>
      </w:r>
      <w:r>
        <w:rPr>
          <w:rStyle w:val="NormalTok"/>
        </w:rPr>
        <w:t xml:space="preserve">  </w:t>
      </w:r>
      <w:r>
        <w:rPr>
          <w:rStyle w:val="FunctionTok"/>
        </w:rPr>
        <w:t xml:space="preserve">gf_annotate</w:t>
      </w:r>
      <w:r>
        <w:rPr>
          <w:rStyle w:val="NormalTok"/>
        </w:rPr>
        <w:t xml:space="preserve">(</w:t>
      </w:r>
      <w:r>
        <w:rPr>
          <w:rStyle w:val="StringTok"/>
        </w:rPr>
        <w:t xml:space="preserve">"curve"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14500</w:t>
      </w:r>
      <w:r>
        <w:rPr>
          <w:rStyle w:val="NormalTok"/>
        </w:rPr>
        <w:t xml:space="preserve">,</w:t>
      </w:r>
      <w:r>
        <w:br/>
      </w:r>
      <w:r>
        <w:rPr>
          <w:rStyle w:val="NormalTok"/>
        </w:rPr>
        <w:t xml:space="preserve">    </w:t>
      </w:r>
      <w:r>
        <w:rPr>
          <w:rStyle w:val="AttributeTok"/>
        </w:rPr>
        <w:t xml:space="preserve">yend =</w:t>
      </w:r>
      <w:r>
        <w:rPr>
          <w:rStyle w:val="NormalTok"/>
        </w:rPr>
        <w:t xml:space="preserve"> </w:t>
      </w:r>
      <w:r>
        <w:rPr>
          <w:rStyle w:val="DecValTok"/>
        </w:rPr>
        <w:t xml:space="preserve">8000</w:t>
      </w:r>
      <w:r>
        <w:rPr>
          <w:rStyle w:val="NormalTok"/>
        </w:rPr>
        <w:t xml:space="preserve">,</w:t>
      </w:r>
      <w:r>
        <w:br/>
      </w:r>
      <w:r>
        <w:rPr>
          <w:rStyle w:val="NormalTok"/>
        </w:rPr>
        <w:t xml:space="preserve">    </w:t>
      </w:r>
      <w:r>
        <w:rPr>
          <w:rStyle w:val="AttributeTok"/>
        </w:rPr>
        <w:t xml:space="preserve">xend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curvature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0.5</w:t>
      </w:r>
      <w:r>
        <w:rPr>
          <w:rStyle w:val="NormalTok"/>
        </w:rPr>
        <w:t xml:space="preserve">, </w:t>
      </w:r>
      <w:r>
        <w:rPr>
          <w:rStyle w:val="StringTok"/>
        </w:rPr>
        <w:t xml:space="preserve">"cm"</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gf_annotate</w:t>
      </w:r>
      <w:r>
        <w:rPr>
          <w:rStyle w:val="NormalTok"/>
        </w:rPr>
        <w:t xml:space="preserve">(</w:t>
      </w:r>
      <w:r>
        <w:br/>
      </w:r>
      <w:r>
        <w:rPr>
          <w:rStyle w:val="NormalTok"/>
        </w:rPr>
        <w:t xml:space="preserve">    </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loatTok"/>
        </w:rPr>
        <w:t xml:space="preserve">1.25</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DecValTok"/>
        </w:rPr>
        <w:t xml:space="preserve">2250</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"grey80"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br/>
      </w:r>
      <w:r>
        <w:rPr>
          <w:rStyle w:val="NormalTok"/>
        </w:rPr>
        <w:t xml:space="preserve">  ) </w:t>
      </w:r>
      <w:r>
        <w:rPr>
          <w:rStyle w:val="SpecialCharTok"/>
        </w:rPr>
        <w:t xml:space="preserve">%&gt;%</w:t>
      </w:r>
      <w:r>
        <w:br/>
      </w:r>
      <w:r>
        <w:rPr>
          <w:rStyle w:val="NormalTok"/>
        </w:rPr>
        <w:t xml:space="preserve">  </w:t>
      </w:r>
      <w:r>
        <w:rPr>
          <w:rStyle w:val="FunctionTok"/>
        </w:rPr>
        <w:t xml:space="preserve">gf_theme</w:t>
      </w:r>
      <w:r>
        <w:rPr>
          <w:rStyle w:val="NormalTok"/>
        </w:rPr>
        <w:t xml:space="preserve">(</w:t>
      </w:r>
      <w:r>
        <w:rPr>
          <w:rStyle w:val="FunctionTok"/>
        </w:rPr>
        <w:t xml:space="preserve">theme_custom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0" w:name="fig-data-vis-r"/>
          <w:p>
            <w:pPr>
              <w:pStyle w:val="Compact"/>
              <w:jc w:val="center"/>
            </w:pPr>
            <w:r>
              <w:drawing>
                <wp:inline>
                  <wp:extent cx="5334000" cy="3809999"/>
                  <wp:effectExtent b="0" l="0" r="0" t="0"/>
                  <wp:docPr descr="" title="" id="58" name="Picture"/>
                  <a:graphic>
                    <a:graphicData uri="http://schemas.openxmlformats.org/drawingml/2006/picture">
                      <pic:pic>
                        <pic:nvPicPr>
                          <pic:cNvPr descr="index_files/figure-docx/fig-data-vis-r-1.png" id="59" name="Picture"/>
                          <pic:cNvPicPr>
                            <a:picLocks noChangeArrowheads="1" noChangeAspect="1"/>
                          </pic:cNvPicPr>
                        </pic:nvPicPr>
                        <pic:blipFill>
                          <a:blip r:embed="rId57"/>
                          <a:stretch>
                            <a:fillRect/>
                          </a:stretch>
                        </pic:blipFill>
                        <pic:spPr bwMode="auto">
                          <a:xfrm>
                            <a:off x="0" y="0"/>
                            <a:ext cx="5334000" cy="3809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Data Vis Components and Features</w:t>
            </w:r>
          </w:p>
          <w:bookmarkEnd w:id="60"/>
        </w:tc>
      </w:tr>
    </w:tbl>
    <w:bookmarkEnd w:id="61"/>
    <w:bookmarkStart w:id="62" w:name="what-is-the-mapping-here"/>
    <w:p>
      <w:pPr>
        <w:pStyle w:val="Heading4"/>
      </w:pPr>
      <w:r>
        <w:t xml:space="preserve">What is the Mapping Here?</w:t>
      </w:r>
    </w:p>
    <w:p>
      <w:pPr>
        <w:pStyle w:val="Compact"/>
        <w:numPr>
          <w:ilvl w:val="0"/>
          <w:numId w:val="1010"/>
        </w:numPr>
      </w:pPr>
      <w:r>
        <w:t xml:space="preserve">In the above chart, it is pretty clear what kind of variable is plotted</w:t>
      </w:r>
      <w:r>
        <w:t xml:space="preserve"> </w:t>
      </w:r>
      <w:r>
        <w:t xml:space="preserve">on the</w:t>
      </w:r>
      <w:r>
        <w:t xml:space="preserve"> </w:t>
      </w:r>
      <w:r>
        <w:rPr>
          <w:rStyle w:val="VerbatimChar"/>
        </w:rPr>
        <w:t xml:space="preserve">x-axis</w:t>
      </w:r>
      <w:r>
        <w:t xml:space="preserve"> </w:t>
      </w:r>
      <w:r>
        <w:t xml:space="preserve">and the</w:t>
      </w:r>
      <w:r>
        <w:t xml:space="preserve"> </w:t>
      </w:r>
      <w:r>
        <w:rPr>
          <w:rStyle w:val="VerbatimChar"/>
        </w:rPr>
        <w:t xml:space="preserve">y-axis</w:t>
      </w:r>
      <w:r>
        <w:t xml:space="preserve">.</w:t>
      </w:r>
    </w:p>
    <w:p>
      <w:pPr>
        <w:pStyle w:val="Compact"/>
        <w:numPr>
          <w:ilvl w:val="0"/>
          <w:numId w:val="1010"/>
        </w:numPr>
      </w:pPr>
      <w:r>
        <w:t xml:space="preserve">What about</w:t>
      </w:r>
      <w:r>
        <w:t xml:space="preserve"> </w:t>
      </w:r>
      <w:r>
        <w:rPr>
          <w:rStyle w:val="VerbatimChar"/>
        </w:rPr>
        <w:t xml:space="preserve">colour</w:t>
      </w:r>
      <w:r>
        <w:t xml:space="preserve">? Could this be</w:t>
      </w:r>
      <w:r>
        <w:t xml:space="preserve"> </w:t>
      </w:r>
      <w:r>
        <w:t xml:space="preserve">considered as</w:t>
      </w:r>
      <w:r>
        <w:t xml:space="preserve"> </w:t>
      </w:r>
      <w:r>
        <w:rPr>
          <w:b/>
          <w:bCs/>
        </w:rPr>
        <w:t xml:space="preserve">another axis</w:t>
      </w:r>
      <w:r>
        <w:t xml:space="preserve"> </w:t>
      </w:r>
      <w:r>
        <w:t xml:space="preserve">in the chart?</w:t>
      </w:r>
    </w:p>
    <w:p>
      <w:pPr>
        <w:pStyle w:val="Compact"/>
        <w:numPr>
          <w:ilvl w:val="0"/>
          <w:numId w:val="1010"/>
        </w:numPr>
      </w:pPr>
      <w:r>
        <w:t xml:space="preserve">There are also other aspects that</w:t>
      </w:r>
      <w:r>
        <w:t xml:space="preserve"> </w:t>
      </w:r>
      <w:r>
        <w:t xml:space="preserve">you can choose (not explicitly shown here) such as the</w:t>
      </w:r>
      <w:r>
        <w:t xml:space="preserve"> </w:t>
      </w:r>
      <w:r>
        <w:rPr>
          <w:rStyle w:val="VerbatimChar"/>
        </w:rPr>
        <w:t xml:space="preserve">plot theme</w:t>
      </w:r>
      <w:r>
        <w:t xml:space="preserve">(colours, fonts, backgrounds etc)</w:t>
      </w:r>
    </w:p>
    <w:p>
      <w:pPr>
        <w:pStyle w:val="Compact"/>
        <w:numPr>
          <w:ilvl w:val="0"/>
          <w:numId w:val="1010"/>
        </w:numPr>
      </w:pPr>
      <w:r>
        <w:t xml:space="preserve">which may</w:t>
      </w:r>
      <w:r>
        <w:t xml:space="preserve"> </w:t>
      </w:r>
      <w:r>
        <w:rPr>
          <w:b/>
          <w:bCs/>
        </w:rPr>
        <w:t xml:space="preserve">not be</w:t>
      </w:r>
      <w:r>
        <w:rPr>
          <w:b/>
          <w:bCs/>
        </w:rPr>
        <w:t xml:space="preserve"> </w:t>
      </w:r>
      <w:r>
        <w:rPr>
          <w:b/>
          <w:bCs/>
        </w:rPr>
        <w:t xml:space="preserve">mapped</w:t>
      </w:r>
      <w:r>
        <w:t xml:space="preserve"> </w:t>
      </w:r>
      <w:r>
        <w:t xml:space="preserve">to data, but are nonetheless choices to be made.</w:t>
      </w:r>
    </w:p>
    <w:p>
      <w:pPr>
        <w:pStyle w:val="Compact"/>
        <w:numPr>
          <w:ilvl w:val="0"/>
          <w:numId w:val="1010"/>
        </w:numPr>
      </w:pPr>
      <w:r>
        <w:t xml:space="preserve">We will get</w:t>
      </w:r>
      <w:r>
        <w:t xml:space="preserve"> </w:t>
      </w:r>
      <w:r>
        <w:t xml:space="preserve">acquainted with this aspect as we build charts.</w:t>
      </w:r>
    </w:p>
    <w:bookmarkEnd w:id="62"/>
    <w:bookmarkStart w:id="63" w:name="transformations"/>
    <w:p>
      <w:pPr>
        <w:pStyle w:val="Heading4"/>
      </w:pPr>
      <w:r>
        <w:t xml:space="preserve">Transformations</w:t>
      </w:r>
    </w:p>
    <w:p>
      <w:pPr>
        <w:pStyle w:val="Compact"/>
        <w:numPr>
          <w:ilvl w:val="0"/>
          <w:numId w:val="1011"/>
        </w:numPr>
      </w:pPr>
      <w:r>
        <w:t xml:space="preserve">As we will see, Data Variables may be</w:t>
      </w:r>
      <w:r>
        <w:t xml:space="preserve"> </w:t>
      </w:r>
      <w:r>
        <w:rPr>
          <w:b/>
          <w:bCs/>
          <w:i/>
          <w:iCs/>
        </w:rPr>
        <w:t xml:space="preserve">transformed</w:t>
      </w:r>
      <w:r>
        <w:t xml:space="preserve"> </w:t>
      </w:r>
      <w:r>
        <w:t xml:space="preserve">before being mapped to some geometric aesthetic</w:t>
      </w:r>
    </w:p>
    <w:p>
      <w:pPr>
        <w:pStyle w:val="Compact"/>
        <w:numPr>
          <w:ilvl w:val="0"/>
          <w:numId w:val="1011"/>
        </w:numPr>
      </w:pPr>
      <w:r>
        <w:t xml:space="preserve">e.g. we may perform</w:t>
      </w:r>
      <w:r>
        <w:t xml:space="preserve"> </w:t>
      </w:r>
      <w:r>
        <w:rPr>
          <w:b/>
          <w:bCs/>
          <w:i/>
          <w:iCs/>
        </w:rPr>
        <w:t xml:space="preserve">counts</w:t>
      </w:r>
      <w:r>
        <w:t xml:space="preserve"> </w:t>
      </w:r>
      <w:r>
        <w:t xml:space="preserve">with a Qual variable that contains</w:t>
      </w:r>
      <w:r>
        <w:t xml:space="preserve"> </w:t>
      </w:r>
      <w:r>
        <w:rPr>
          <w:b/>
          <w:bCs/>
          <w:i/>
          <w:iCs/>
        </w:rPr>
        <w:t xml:space="preserve">only</w:t>
      </w:r>
      <w:r>
        <w:t xml:space="preserve"> </w:t>
      </w:r>
      <w:r>
        <w:t xml:space="preserve">the entries</w:t>
      </w:r>
      <w:r>
        <w:t xml:space="preserve"> </w:t>
      </w:r>
      <w:r>
        <w:rPr>
          <w:rStyle w:val="VerbatimChar"/>
        </w:rPr>
        <w:t xml:space="preserve">{S, M, L, XL}</w:t>
      </w:r>
      <w:r>
        <w:t xml:space="preserve">.</w:t>
      </w:r>
    </w:p>
    <w:p>
      <w:pPr>
        <w:pStyle w:val="Compact"/>
        <w:numPr>
          <w:ilvl w:val="0"/>
          <w:numId w:val="1011"/>
        </w:numPr>
      </w:pPr>
      <w:r>
        <w:t xml:space="preserve">We may also transform the</w:t>
      </w:r>
      <w:r>
        <w:t xml:space="preserve"> </w:t>
      </w:r>
      <w:r>
        <w:rPr>
          <w:rStyle w:val="VerbatimChar"/>
        </w:rPr>
        <w:t xml:space="preserve">axes</w:t>
      </w:r>
      <w:r>
        <w:t xml:space="preserve"> </w:t>
      </w:r>
      <w:r>
        <w:t xml:space="preserve">(make them logarithmic, or even polar ) to create precisely the shape-meaning we wish. - - - This allows us considerable flexibility in making charts!!</w:t>
      </w:r>
    </w:p>
    <w:bookmarkEnd w:id="63"/>
    <w:bookmarkStart w:id="64" w:name="facets"/>
    <w:p>
      <w:pPr>
        <w:pStyle w:val="Heading4"/>
      </w:pPr>
      <w:r>
        <w:t xml:space="preserve">Facets</w:t>
      </w:r>
    </w:p>
    <w:p>
      <w:pPr>
        <w:pStyle w:val="Compact"/>
        <w:numPr>
          <w:ilvl w:val="0"/>
          <w:numId w:val="1012"/>
        </w:numPr>
      </w:pPr>
      <w:r>
        <w:t xml:space="preserve">Finally, if the graph is too busy, with lots of colours and shapes, then we can split the graph into many</w:t>
      </w:r>
      <w:r>
        <w:t xml:space="preserve"> </w:t>
      </w:r>
      <w:r>
        <w:rPr>
          <w:b/>
          <w:bCs/>
        </w:rPr>
        <w:t xml:space="preserve">small multiples</w:t>
      </w:r>
      <w:r>
        <w:t xml:space="preserve"> </w:t>
      </w:r>
      <w:r>
        <w:t xml:space="preserve">or</w:t>
      </w:r>
      <w:r>
        <w:t xml:space="preserve"> </w:t>
      </w:r>
      <w:r>
        <w:rPr>
          <w:b/>
          <w:bCs/>
        </w:rPr>
        <w:t xml:space="preserve">facets</w:t>
      </w:r>
      <w:r>
        <w:t xml:space="preserve">, each showing a subset of the data.</w:t>
      </w:r>
    </w:p>
    <w:p>
      <w:pPr>
        <w:pStyle w:val="Compact"/>
        <w:numPr>
          <w:ilvl w:val="0"/>
          <w:numId w:val="1012"/>
        </w:numPr>
      </w:pPr>
      <w:r>
        <w:t xml:space="preserve">This is called</w:t>
      </w:r>
      <w:r>
        <w:t xml:space="preserve"> </w:t>
      </w:r>
      <w:r>
        <w:rPr>
          <w:b/>
          <w:bCs/>
        </w:rPr>
        <w:t xml:space="preserve">faceting</w:t>
      </w:r>
      <w:r>
        <w:t xml:space="preserve"> </w:t>
      </w:r>
      <w:r>
        <w:t xml:space="preserve">and is a powerful way to reduce cognitive load on the viewer.</w:t>
      </w:r>
    </w:p>
    <w:bookmarkEnd w:id="64"/>
    <w:bookmarkEnd w:id="65"/>
    <w:bookmarkStart w:id="68" w:name="sec-data-viz"/>
    <w:p>
      <w:pPr>
        <w:pStyle w:val="Heading2"/>
      </w:pPr>
      <w:r>
        <w:t xml:space="preserve"> </w:t>
      </w:r>
      <w:r>
        <w:t xml:space="preserve">Basic Types of Charts</w:t>
      </w:r>
    </w:p>
    <w:bookmarkStart w:id="66" w:name="mapping-variables-to-aesthetics"/>
    <w:p>
      <w:pPr>
        <w:pStyle w:val="Heading4"/>
      </w:pPr>
      <w:r>
        <w:t xml:space="preserve">Mapping Variables to Aesthetics</w:t>
      </w:r>
    </w:p>
    <w:p>
      <w:pPr>
        <w:pStyle w:val="Compact"/>
        <w:numPr>
          <w:ilvl w:val="0"/>
          <w:numId w:val="1013"/>
        </w:numPr>
      </w:pPr>
      <w:r>
        <w:t xml:space="preserve">We can therefore think of simple visualizations as</w:t>
      </w:r>
      <w:r>
        <w:t xml:space="preserve"> </w:t>
      </w:r>
      <w:r>
        <w:t xml:space="preserve">combinations of aesthetics, mapped to combinations of variables</w:t>
      </w:r>
      <w:r>
        <w:t xml:space="preserve">.</w:t>
      </w:r>
    </w:p>
    <w:p>
      <w:pPr>
        <w:pStyle w:val="Compact"/>
        <w:numPr>
          <w:ilvl w:val="0"/>
          <w:numId w:val="1013"/>
        </w:numPr>
      </w:pPr>
      <w:r>
        <w:t xml:space="preserve">It should be possible to use the many shapes we know, or can conceive of, and</w:t>
      </w:r>
      <w:r>
        <w:t xml:space="preserve"> </w:t>
      </w:r>
      <w:r>
        <w:rPr>
          <w:i/>
          <w:iCs/>
        </w:rPr>
        <w:t xml:space="preserve">marry them to data</w:t>
      </w:r>
      <w:r>
        <w:t xml:space="preserve"> </w:t>
      </w:r>
      <w:r>
        <w:t xml:space="preserve">to create a brand new visualization method that advances both understanding and retention! You should try!!</w:t>
      </w:r>
    </w:p>
    <w:bookmarkEnd w:id="66"/>
    <w:bookmarkStart w:id="67" w:name="mappings-and-charts-a-catalogue"/>
    <w:p>
      <w:pPr>
        <w:pStyle w:val="Heading4"/>
      </w:pPr>
      <w:r>
        <w:t xml:space="preserve">Mappings and Charts: A Catalogue</w:t>
      </w:r>
    </w:p>
    <w:p>
      <w:pPr>
        <w:pStyle w:val="TableCaption"/>
      </w:pPr>
      <w:r>
        <w:t xml:space="preserve">Geometries , Combinations, and Graphs</w:t>
      </w:r>
    </w:p>
    <w:tbl>
      <w:tblPr>
        <w:tblStyle w:val="Table"/>
        <w:tblW w:type="pct" w:w="5000"/>
        <w:tblLayout w:type="fixed"/>
        <w:tblLook w:firstRow="1" w:lastRow="0" w:firstColumn="0" w:lastColumn="0" w:noHBand="0" w:noVBand="0" w:val="0020"/>
        <w:tblCaption w:val="Geometries , Combinations, and Graphs"/>
      </w:tblPr>
      <w:tblGrid>
        <w:gridCol w:w="1673"/>
        <w:gridCol w:w="1673"/>
        <w:gridCol w:w="1673"/>
        <w:gridCol w:w="2900"/>
      </w:tblGrid>
      <w:tr>
        <w:trPr>
          <w:tblHeader w:val="on"/>
        </w:trPr>
        <w:tc>
          <w:tcPr/>
          <w:p>
            <w:pPr>
              <w:pStyle w:val="Compact"/>
            </w:pPr>
            <w:r>
              <w:t xml:space="preserve">Variable #1</w:t>
            </w:r>
          </w:p>
        </w:tc>
        <w:tc>
          <w:tcPr/>
          <w:p>
            <w:pPr>
              <w:pStyle w:val="Compact"/>
            </w:pPr>
            <w:r>
              <w:t xml:space="preserve">Variable #2</w:t>
            </w:r>
          </w:p>
        </w:tc>
        <w:tc>
          <w:tcPr/>
          <w:p>
            <w:pPr>
              <w:pStyle w:val="Compact"/>
            </w:pPr>
            <w:r>
              <w:t xml:space="preserve">Chart Names</w:t>
            </w:r>
          </w:p>
        </w:tc>
        <w:tc>
          <w:tcPr/>
          <w:p>
            <w:pPr>
              <w:pStyle w:val="Compact"/>
            </w:pPr>
            <w:r>
              <w:t xml:space="preserve">Chart Shape</w:t>
            </w:r>
          </w:p>
        </w:tc>
      </w:tr>
      <w:tr>
        <w:tc>
          <w:tcPr/>
          <w:p>
            <w:pPr>
              <w:pStyle w:val="Compact"/>
            </w:pPr>
            <w:r>
              <w:t xml:space="preserve">Quant</w:t>
            </w:r>
          </w:p>
        </w:tc>
        <w:tc>
          <w:tcPr/>
          <w:p>
            <w:pPr>
              <w:pStyle w:val="Compact"/>
            </w:pPr>
            <w:r>
              <w:t xml:space="preserve">None</w:t>
            </w:r>
          </w:p>
        </w:tc>
        <w:tc>
          <w:tcPr/>
          <w:p>
            <w:pPr>
              <w:pStyle w:val="Compact"/>
            </w:pPr>
            <w:r>
              <w:t xml:space="preserve">Histogram and Density</w:t>
            </w:r>
          </w:p>
        </w:tc>
        <w:tc>
          <w:tcPr/>
          <w:p>
            <w:pPr>
              <w:pStyle w:val="Compact"/>
            </w:pPr>
            <w:r>
              <w:t xml:space="preserve"> </w:t>
            </w:r>
            <w:r>
              <w:t xml:space="preserve"> </w:t>
            </w:r>
          </w:p>
        </w:tc>
      </w:tr>
      <w:tr>
        <w:tc>
          <w:tcPr/>
          <w:p>
            <w:pPr>
              <w:pStyle w:val="Compact"/>
            </w:pPr>
            <w:r>
              <w:t xml:space="preserve">Qual</w:t>
            </w:r>
          </w:p>
        </w:tc>
        <w:tc>
          <w:tcPr/>
          <w:p>
            <w:pPr>
              <w:pStyle w:val="Compact"/>
            </w:pPr>
            <w:r>
              <w:t xml:space="preserve">None</w:t>
            </w:r>
          </w:p>
        </w:tc>
        <w:tc>
          <w:tcPr/>
          <w:p>
            <w:pPr>
              <w:pStyle w:val="Compact"/>
            </w:pPr>
            <w:r>
              <w:t xml:space="preserve">Bar Chart</w:t>
            </w:r>
          </w:p>
        </w:tc>
        <w:tc>
          <w:tcPr/>
          <w:p>
            <w:pPr>
              <w:pStyle w:val="Compact"/>
            </w:pPr>
          </w:p>
        </w:tc>
      </w:tr>
      <w:tr>
        <w:tc>
          <w:tcPr/>
          <w:p>
            <w:pPr>
              <w:pStyle w:val="Compact"/>
            </w:pPr>
            <w:r>
              <w:t xml:space="preserve">Quant</w:t>
            </w:r>
          </w:p>
        </w:tc>
        <w:tc>
          <w:tcPr/>
          <w:p>
            <w:pPr>
              <w:pStyle w:val="Compact"/>
            </w:pPr>
            <w:r>
              <w:t xml:space="preserve">Quant</w:t>
            </w:r>
          </w:p>
        </w:tc>
        <w:tc>
          <w:tcPr/>
          <w:p>
            <w:pPr>
              <w:pStyle w:val="Compact"/>
            </w:pPr>
            <w:r>
              <w:t xml:space="preserve">Scatter Plot, Line Chart, Bubble Plot, Area Chart</w:t>
            </w:r>
          </w:p>
        </w:tc>
        <w:tc>
          <w:tcPr/>
          <w:p>
            <w:pPr>
              <w:pStyle w:val="Compact"/>
            </w:pPr>
            <w:r>
              <w:t xml:space="preserve"> </w:t>
            </w:r>
            <w:r>
              <w:t xml:space="preserve"> </w:t>
            </w:r>
            <w:r>
              <w:t xml:space="preserve"> </w:t>
            </w:r>
          </w:p>
        </w:tc>
      </w:tr>
      <w:tr>
        <w:tc>
          <w:tcPr/>
          <w:p>
            <w:pPr>
              <w:pStyle w:val="Compact"/>
            </w:pPr>
            <w:r>
              <w:t xml:space="preserve">Quant</w:t>
            </w:r>
          </w:p>
        </w:tc>
        <w:tc>
          <w:tcPr/>
          <w:p>
            <w:pPr>
              <w:pStyle w:val="Compact"/>
            </w:pPr>
            <w:r>
              <w:t xml:space="preserve">Qual</w:t>
            </w:r>
          </w:p>
        </w:tc>
        <w:tc>
          <w:tcPr/>
          <w:p>
            <w:pPr>
              <w:pStyle w:val="Compact"/>
            </w:pPr>
            <w:r>
              <w:t xml:space="preserve">Pie Chart, Donut Chart, Column Chart, Box-Whisker Plot, Radar Chart, Bump Chart, Tree Diagram</w:t>
            </w:r>
          </w:p>
        </w:tc>
        <w:tc>
          <w:tcPr/>
          <w:p>
            <w:pPr>
              <w:pStyle w:val="Compact"/>
            </w:pPr>
            <w:r>
              <w:t xml:space="preserve"> </w:t>
            </w:r>
            <w:r>
              <w:t xml:space="preserve"> </w:t>
            </w:r>
            <w:r>
              <w:t xml:space="preserve"> </w:t>
            </w:r>
            <w:r>
              <w:t xml:space="preserve"> </w:t>
            </w:r>
            <w:r>
              <w:t xml:space="preserve"> </w:t>
            </w:r>
            <w:r>
              <w:t xml:space="preserve"> </w:t>
            </w:r>
          </w:p>
        </w:tc>
      </w:tr>
      <w:tr>
        <w:tc>
          <w:tcPr/>
          <w:p>
            <w:pPr>
              <w:pStyle w:val="Compact"/>
            </w:pPr>
            <w:r>
              <w:t xml:space="preserve">Qual</w:t>
            </w:r>
          </w:p>
        </w:tc>
        <w:tc>
          <w:tcPr/>
          <w:p>
            <w:pPr>
              <w:pStyle w:val="Compact"/>
            </w:pPr>
            <w:r>
              <w:t xml:space="preserve">Qual</w:t>
            </w:r>
          </w:p>
        </w:tc>
        <w:tc>
          <w:tcPr/>
          <w:p>
            <w:pPr>
              <w:pStyle w:val="Compact"/>
            </w:pPr>
            <w:r>
              <w:t xml:space="preserve">Stacked Bar Chart, Mosaic Chart, Sankey, Chord Diagram, Network Diagram</w:t>
            </w:r>
          </w:p>
        </w:tc>
        <w:tc>
          <w:tcPr/>
          <w:p>
            <w:pPr>
              <w:pStyle w:val="Compact"/>
            </w:pPr>
            <w:r>
              <w:t xml:space="preserve"> </w:t>
            </w:r>
            <w:r>
              <w:t xml:space="preserve"> </w:t>
            </w:r>
            <w:r>
              <w:t xml:space="preserve"> </w:t>
            </w:r>
          </w:p>
        </w:tc>
      </w:tr>
      <w:tr>
        <w:tc>
          <w:tcPr/>
          <w:p>
            <w:pPr>
              <w:pStyle w:val="Compact"/>
            </w:pPr>
          </w:p>
        </w:tc>
        <w:tc>
          <w:tcPr/>
          <w:p>
            <w:pPr>
              <w:pStyle w:val="Compact"/>
            </w:pPr>
          </w:p>
        </w:tc>
        <w:tc>
          <w:tcPr/>
          <w:p>
            <w:pPr>
              <w:pStyle w:val="Compact"/>
            </w:pPr>
          </w:p>
        </w:tc>
        <w:tc>
          <w:tcPr/>
          <w:p>
            <w:pPr>
              <w:pStyle w:val="Compact"/>
            </w:pPr>
          </w:p>
        </w:tc>
      </w:tr>
    </w:tbl>
    <w:bookmarkEnd w:id="67"/>
    <w:bookmarkEnd w:id="68"/>
    <w:bookmarkStart w:id="76" w:name="conclusion"/>
    <w:p>
      <w:pPr>
        <w:pStyle w:val="Heading2"/>
      </w:pPr>
      <w:r>
        <w:t xml:space="preserve"> </w:t>
      </w:r>
      <w:r>
        <w:t xml:space="preserve">Conclusion</w:t>
      </w:r>
    </w:p>
    <w:bookmarkStart w:id="73" w:name="data-science-workflow"/>
    <w:p>
      <w:pPr>
        <w:pStyle w:val="Heading4"/>
      </w:pPr>
      <w:r>
        <w:t xml:space="preserve">Data Science Workflow</w:t>
      </w:r>
    </w:p>
    <w:tbl>
      <w:tblPr>
        <w:tblStyle w:val="Table"/>
        <w:tblW w:type="pct" w:w="5000"/>
        <w:tblLayout w:type="fixed"/>
        <w:tblLook w:firstRow="0" w:lastRow="0" w:firstColumn="0" w:lastColumn="0" w:noHBand="0" w:noVBand="0" w:val="0000"/>
      </w:tblPr>
      <w:tblGrid>
        <w:gridCol w:w="7920"/>
      </w:tblGrid>
      <w:tr>
        <w:tc>
          <w:tcPr/>
          <w:bookmarkStart w:id="72" w:name="fig-datascience-workflow"/>
          <w:p>
            <w:pPr>
              <w:pStyle w:val="Compact"/>
              <w:jc w:val="center"/>
            </w:pPr>
            <w:r>
              <w:drawing>
                <wp:inline>
                  <wp:extent cx="3429000" cy="2286000"/>
                  <wp:effectExtent b="0" l="0" r="0" t="0"/>
                  <wp:docPr descr="" title="" id="70" name="Picture"/>
                  <a:graphic>
                    <a:graphicData uri="http://schemas.openxmlformats.org/drawingml/2006/picture">
                      <pic:pic>
                        <pic:nvPicPr>
                          <pic:cNvPr descr="../../../../../materials/images/workflow.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4290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Data Science Workflow</w:t>
            </w:r>
          </w:p>
          <w:bookmarkEnd w:id="72"/>
        </w:tc>
      </w:tr>
    </w:tbl>
    <w:bookmarkEnd w:id="73"/>
    <w:bookmarkStart w:id="74" w:name="workflow-description"/>
    <w:p>
      <w:pPr>
        <w:pStyle w:val="Heading4"/>
      </w:pPr>
      <w:r>
        <w:t xml:space="preserve">Workflow Description</w:t>
      </w:r>
    </w:p>
    <w:p>
      <w:pPr>
        <w:pStyle w:val="FirstParagraph"/>
      </w:pPr>
      <w:r>
        <w:t xml:space="preserve">So there we have it:</w:t>
      </w:r>
    </w:p>
    <w:p>
      <w:pPr>
        <w:pStyle w:val="Compact"/>
        <w:numPr>
          <w:ilvl w:val="0"/>
          <w:numId w:val="1014"/>
        </w:numPr>
      </w:pPr>
      <w:r>
        <w:rPr>
          <w:b/>
          <w:bCs/>
          <w:i/>
          <w:iCs/>
        </w:rPr>
        <w:t xml:space="preserve">Data</w:t>
      </w:r>
      <w:r>
        <w:t xml:space="preserve">: We generate data by experiment, or obtain readily available data. We import and clean the data</w:t>
      </w:r>
    </w:p>
    <w:p>
      <w:pPr>
        <w:pStyle w:val="Compact"/>
        <w:numPr>
          <w:ilvl w:val="0"/>
          <w:numId w:val="1014"/>
        </w:numPr>
      </w:pPr>
      <w:r>
        <w:rPr>
          <w:b/>
          <w:bCs/>
          <w:i/>
          <w:iCs/>
        </w:rPr>
        <w:t xml:space="preserve">Variables</w:t>
      </w:r>
      <w:r>
        <w:t xml:space="preserve">: Questions lead us to identify Types of Variables (Quant and Qual)</w:t>
      </w:r>
    </w:p>
    <w:p>
      <w:pPr>
        <w:pStyle w:val="Compact"/>
        <w:numPr>
          <w:ilvl w:val="0"/>
          <w:numId w:val="1014"/>
        </w:numPr>
      </w:pPr>
      <w:r>
        <w:rPr>
          <w:b/>
          <w:bCs/>
          <w:i/>
          <w:iCs/>
        </w:rPr>
        <w:t xml:space="preserve">Transform</w:t>
      </w:r>
      <w:r>
        <w:t xml:space="preserve">: Sometimes we may need to transform the data (long to wide, summarize, create new variables…)</w:t>
      </w:r>
    </w:p>
    <w:p>
      <w:pPr>
        <w:pStyle w:val="Compact"/>
        <w:numPr>
          <w:ilvl w:val="0"/>
          <w:numId w:val="1014"/>
        </w:numPr>
      </w:pPr>
      <w:r>
        <w:rPr>
          <w:b/>
          <w:bCs/>
          <w:i/>
          <w:iCs/>
        </w:rPr>
        <w:t xml:space="preserve">Explore</w:t>
      </w:r>
      <w:r>
        <w:t xml:space="preserve">: Further</w:t>
      </w:r>
      <w:r>
        <w:t xml:space="preserve"> </w:t>
      </w:r>
      <w:r>
        <w:rPr>
          <w:b/>
          <w:bCs/>
          <w:i/>
          <w:iCs/>
        </w:rPr>
        <w:t xml:space="preserve">Questions</w:t>
      </w:r>
      <w:r>
        <w:t xml:space="preserve"> </w:t>
      </w:r>
      <w:r>
        <w:t xml:space="preserve">lead us to infer</w:t>
      </w:r>
      <w:r>
        <w:t xml:space="preserve"> </w:t>
      </w:r>
      <w:r>
        <w:rPr>
          <w:i/>
          <w:iCs/>
        </w:rPr>
        <w:t xml:space="preserve">relationships</w:t>
      </w:r>
      <w:r>
        <w:t xml:space="preserve"> </w:t>
      </w:r>
      <w:r>
        <w:t xml:space="preserve">between variables, the relative size of things, which we describe using Data Visualizations</w:t>
      </w:r>
    </w:p>
    <w:p>
      <w:pPr>
        <w:pStyle w:val="Compact"/>
        <w:numPr>
          <w:ilvl w:val="0"/>
          <w:numId w:val="1014"/>
        </w:numPr>
      </w:pPr>
      <w:r>
        <w:rPr>
          <w:b/>
          <w:bCs/>
          <w:i/>
          <w:iCs/>
        </w:rPr>
        <w:t xml:space="preserve">Report</w:t>
      </w:r>
      <w:r>
        <w:t xml:space="preserve">: This may be of interest, or best of all, outright surprising! Which is finally Communicated with charts and descriptions in a research report.</w:t>
      </w:r>
    </w:p>
    <w:bookmarkEnd w:id="74"/>
    <w:bookmarkStart w:id="75" w:name="grammar-of-data-visualization"/>
    <w:p>
      <w:pPr>
        <w:pStyle w:val="Heading4"/>
      </w:pPr>
      <w:r>
        <w:t xml:space="preserve">Grammar of Data Visualization</w:t>
      </w:r>
    </w:p>
    <w:p>
      <w:pPr>
        <w:pStyle w:val="FirstParagraph"/>
      </w:pPr>
      <w:r>
        <w:t xml:space="preserve">You might think of all these Questions, Answers, Mapping as being</w:t>
      </w:r>
      <w:r>
        <w:t xml:space="preserve"> </w:t>
      </w:r>
      <w:r>
        <w:t xml:space="preserve">equivalent to a grammar, as a language in itself</w:t>
      </w:r>
      <w:r>
        <w:t xml:space="preserve">. And indeed, in R we use a philosophy called the</w:t>
      </w:r>
      <w:r>
        <w:t xml:space="preserve"> </w:t>
      </w:r>
      <w:r>
        <w:rPr>
          <w:b/>
          <w:bCs/>
        </w:rPr>
        <w:t xml:space="preserve">Grammar of Graphics</w:t>
      </w:r>
      <w:r>
        <w:t xml:space="preserve">! We will use this grammar in the R graphics packages that we will encounter when we make Graphs next. Other parts of the Workflow (Transformation, Facetting, Analysis and Modelling) also fall within the grammar, as we shall see.</w:t>
      </w:r>
    </w:p>
    <w:bookmarkEnd w:id="75"/>
    <w:bookmarkEnd w:id="76"/>
    <w:bookmarkStart w:id="79" w:name="ai-generated-summary-and-podcast"/>
    <w:p>
      <w:pPr>
        <w:pStyle w:val="Heading2"/>
      </w:pPr>
      <w:r>
        <w:t xml:space="preserve"> </w:t>
      </w:r>
      <w:r>
        <w:t xml:space="preserve">AI Generated Summary and Podcast</w:t>
      </w:r>
    </w:p>
    <w:bookmarkStart w:id="77" w:name="summary"/>
    <w:p>
      <w:pPr>
        <w:pStyle w:val="Heading4"/>
      </w:pPr>
      <w:r>
        <w:t xml:space="preserve">Summary</w:t>
      </w:r>
    </w:p>
    <w:p>
      <w:pPr>
        <w:pStyle w:val="FirstParagraph"/>
      </w:pPr>
      <w:r>
        <w:t xml:space="preserve">This is a tutorial on data visualization using the R programming language. It introduces concepts such as data types, variables, and visualization techniques. The tutorial utilizes metaphors to explain these concepts, emphasizing the use of geometric aesthetics to represent data. It also highlights the importance of both visual and analytic approaches in understanding data. The tutorial then demonstrates basic chart types, including histograms, scatterplots, and bar charts, and discusses the</w:t>
      </w:r>
      <w:r>
        <w:t xml:space="preserve"> </w:t>
      </w:r>
      <w:r>
        <w:t xml:space="preserve">“Grammar of Graphics”</w:t>
      </w:r>
      <w:r>
        <w:t xml:space="preserve"> </w:t>
      </w:r>
      <w:r>
        <w:t xml:space="preserve">philosophy that guides data visualization in R. The text concludes with a workflow diagram for data science, emphasizing the iterative process of data import, cleaning, transformation, visualization, hypothesis generation, analysis, and communication.</w:t>
      </w:r>
    </w:p>
    <w:bookmarkEnd w:id="77"/>
    <w:bookmarkStart w:id="78" w:name="podcast"/>
    <w:p>
      <w:pPr>
        <w:pStyle w:val="Heading4"/>
      </w:pPr>
      <w:r>
        <w:t xml:space="preserve">Podcast</w:t>
      </w:r>
    </w:p>
    <w:bookmarkEnd w:id="78"/>
    <w:bookmarkEnd w:id="79"/>
    <w:bookmarkStart w:id="96" w:name="references"/>
    <w:p>
      <w:pPr>
        <w:pStyle w:val="Heading2"/>
      </w:pPr>
      <w:r>
        <w:t xml:space="preserve"> </w:t>
      </w:r>
      <w:r>
        <w:t xml:space="preserve">References</w:t>
      </w:r>
    </w:p>
    <w:p>
      <w:pPr>
        <w:pStyle w:val="Compact"/>
        <w:numPr>
          <w:ilvl w:val="0"/>
          <w:numId w:val="1015"/>
        </w:numPr>
      </w:pPr>
      <w:r>
        <w:t xml:space="preserve">Claus Wilke.</w:t>
      </w:r>
      <w:r>
        <w:t xml:space="preserve"> </w:t>
      </w:r>
      <w:r>
        <w:rPr>
          <w:i/>
          <w:iCs/>
        </w:rPr>
        <w:t xml:space="preserve">Fundamentals of Data Visualization</w:t>
      </w:r>
      <w:r>
        <w:t xml:space="preserve">.</w:t>
      </w:r>
      <w:r>
        <w:t xml:space="preserve"> </w:t>
      </w:r>
      <w:hyperlink r:id="rId80">
        <w:r>
          <w:rPr>
            <w:rStyle w:val="Hyperlink"/>
          </w:rPr>
          <w:t xml:space="preserve">https://clauswilke.com/dataviz/</w:t>
        </w:r>
      </w:hyperlink>
    </w:p>
    <w:p>
      <w:pPr>
        <w:pStyle w:val="Compact"/>
        <w:numPr>
          <w:ilvl w:val="0"/>
          <w:numId w:val="1015"/>
        </w:numPr>
      </w:pPr>
      <w:r>
        <w:t xml:space="preserve">Kieran Healy.</w:t>
      </w:r>
      <w:r>
        <w:t xml:space="preserve"> </w:t>
      </w:r>
      <w:r>
        <w:rPr>
          <w:i/>
          <w:iCs/>
        </w:rPr>
        <w:t xml:space="preserve">Data Visualization: A Practical Introduction</w:t>
      </w:r>
      <w:r>
        <w:t xml:space="preserve">.</w:t>
      </w:r>
      <w:r>
        <w:t xml:space="preserve"> </w:t>
      </w:r>
      <w:hyperlink r:id="rId81">
        <w:r>
          <w:rPr>
            <w:rStyle w:val="Hyperlink"/>
          </w:rPr>
          <w:t xml:space="preserve">https://socviz.co/</w:t>
        </w:r>
      </w:hyperlink>
    </w:p>
    <w:p>
      <w:pPr>
        <w:pStyle w:val="Compact"/>
        <w:numPr>
          <w:ilvl w:val="0"/>
          <w:numId w:val="1015"/>
        </w:numPr>
      </w:pPr>
      <w:r>
        <w:t xml:space="preserve">Winston Chang.</w:t>
      </w:r>
      <w:r>
        <w:t xml:space="preserve"> </w:t>
      </w:r>
      <w:r>
        <w:rPr>
          <w:i/>
          <w:iCs/>
        </w:rPr>
        <w:t xml:space="preserve">R Graphics Cookbook</w:t>
      </w:r>
      <w:r>
        <w:t xml:space="preserve">.</w:t>
      </w:r>
      <w:r>
        <w:t xml:space="preserve"> </w:t>
      </w:r>
      <w:hyperlink r:id="rId82">
        <w:r>
          <w:rPr>
            <w:rStyle w:val="Hyperlink"/>
          </w:rPr>
          <w:t xml:space="preserve">https://r-graphics.org/</w:t>
        </w:r>
      </w:hyperlink>
    </w:p>
    <w:p>
      <w:pPr>
        <w:pStyle w:val="Compact"/>
        <w:numPr>
          <w:ilvl w:val="0"/>
          <w:numId w:val="1015"/>
        </w:numPr>
      </w:pPr>
      <w:r>
        <w:t xml:space="preserve">Hadley Wickham and Garrett Grolemund.</w:t>
      </w:r>
      <w:r>
        <w:t xml:space="preserve"> </w:t>
      </w:r>
      <w:r>
        <w:rPr>
          <w:i/>
          <w:iCs/>
        </w:rPr>
        <w:t xml:space="preserve">R for Data Science</w:t>
      </w:r>
      <w:r>
        <w:t xml:space="preserve">.</w:t>
      </w:r>
      <w:r>
        <w:t xml:space="preserve"> </w:t>
      </w:r>
      <w:hyperlink r:id="rId83">
        <w:r>
          <w:rPr>
            <w:rStyle w:val="Hyperlink"/>
          </w:rPr>
          <w:t xml:space="preserve">https://r4ds.had.co.nz/</w:t>
        </w:r>
      </w:hyperlink>
    </w:p>
    <w:p>
      <w:pPr>
        <w:pStyle w:val="Compact"/>
        <w:numPr>
          <w:ilvl w:val="0"/>
          <w:numId w:val="1015"/>
        </w:numPr>
      </w:pPr>
      <w:r>
        <w:t xml:space="preserve">Jack Dougherty and Ilya Ilyankou.</w:t>
      </w:r>
      <w:r>
        <w:t xml:space="preserve"> </w:t>
      </w:r>
      <w:r>
        <w:rPr>
          <w:i/>
          <w:iCs/>
        </w:rPr>
        <w:t xml:space="preserve">Hands-On Data Visualization</w:t>
      </w:r>
      <w:r>
        <w:t xml:space="preserve">.</w:t>
      </w:r>
      <w:r>
        <w:t xml:space="preserve"> </w:t>
      </w:r>
      <w:hyperlink r:id="rId84">
        <w:r>
          <w:rPr>
            <w:rStyle w:val="Hyperlink"/>
          </w:rPr>
          <w:t xml:space="preserve">https://handsondataviz.org/</w:t>
        </w:r>
      </w:hyperlink>
    </w:p>
    <w:p>
      <w:pPr>
        <w:pStyle w:val="Compact"/>
        <w:numPr>
          <w:ilvl w:val="0"/>
          <w:numId w:val="1015"/>
        </w:numPr>
      </w:pPr>
      <w:r>
        <w:t xml:space="preserve">Albert Rapp.</w:t>
      </w:r>
      <w:r>
        <w:t xml:space="preserve"> </w:t>
      </w:r>
      <w:r>
        <w:rPr>
          <w:i/>
          <w:iCs/>
        </w:rPr>
        <w:t xml:space="preserve">Adding images to ggplot</w:t>
      </w:r>
      <w:r>
        <w:t xml:space="preserve">.</w:t>
      </w:r>
      <w:r>
        <w:t xml:space="preserve"> </w:t>
      </w:r>
      <w:hyperlink r:id="rId85">
        <w:r>
          <w:rPr>
            <w:rStyle w:val="Hyperlink"/>
          </w:rPr>
          <w:t xml:space="preserve">https://albert-rapp.de/posts/ggplot2-tips/27_images/27_images</w:t>
        </w:r>
      </w:hyperlink>
    </w:p>
    <w:bookmarkStart w:id="95" w:name="refs"/>
    <w:bookmarkStart w:id="94" w:name="r-package-citations"/>
    <w:p>
      <w:pPr>
        <w:pStyle w:val="Heading4"/>
      </w:pPr>
      <w:r>
        <w:t xml:space="preserve"> </w:t>
      </w:r>
      <w:r>
        <w:t xml:space="preserve">R Package Citations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Citation</w:t>
            </w:r>
          </w:p>
        </w:tc>
      </w:tr>
      <w:tr>
        <w:tc>
          <w:tcPr/>
          <w:p>
            <w:pPr>
              <w:pStyle w:val="Compact"/>
              <w:jc w:val="left"/>
            </w:pPr>
            <w:r>
              <w:t xml:space="preserve">ggformula</w:t>
            </w:r>
          </w:p>
        </w:tc>
        <w:tc>
          <w:tcPr/>
          <w:p>
            <w:pPr>
              <w:pStyle w:val="Compact"/>
              <w:jc w:val="left"/>
            </w:pPr>
            <w:r>
              <w:t xml:space="preserve">0.12.2</w:t>
            </w:r>
          </w:p>
        </w:tc>
        <w:tc>
          <w:tcPr/>
          <w:p>
            <w:pPr>
              <w:pStyle w:val="Compact"/>
              <w:jc w:val="left"/>
            </w:pPr>
            <w:r>
              <w:t xml:space="preserve">Kaplan and Pruim (2025)</w:t>
            </w:r>
          </w:p>
        </w:tc>
      </w:tr>
      <w:tr>
        <w:tc>
          <w:tcPr/>
          <w:p>
            <w:pPr>
              <w:pStyle w:val="Compact"/>
              <w:jc w:val="left"/>
            </w:pPr>
            <w:r>
              <w:t xml:space="preserve">Lock5Data</w:t>
            </w:r>
          </w:p>
        </w:tc>
        <w:tc>
          <w:tcPr/>
          <w:p>
            <w:pPr>
              <w:pStyle w:val="Compact"/>
              <w:jc w:val="left"/>
            </w:pPr>
            <w:r>
              <w:t xml:space="preserve">3.0.0</w:t>
            </w:r>
          </w:p>
        </w:tc>
        <w:tc>
          <w:tcPr/>
          <w:p>
            <w:pPr>
              <w:pStyle w:val="Compact"/>
              <w:jc w:val="left"/>
            </w:pPr>
            <w:r>
              <w:t xml:space="preserve">Lock (2021)</w:t>
            </w:r>
          </w:p>
        </w:tc>
      </w:tr>
      <w:tr>
        <w:tc>
          <w:tcPr/>
          <w:p>
            <w:pPr>
              <w:pStyle w:val="Compact"/>
              <w:jc w:val="left"/>
            </w:pPr>
            <w:r>
              <w:t xml:space="preserve">mosaic</w:t>
            </w:r>
          </w:p>
        </w:tc>
        <w:tc>
          <w:tcPr/>
          <w:p>
            <w:pPr>
              <w:pStyle w:val="Compact"/>
              <w:jc w:val="left"/>
            </w:pPr>
            <w:r>
              <w:t xml:space="preserve">1.9.2</w:t>
            </w:r>
          </w:p>
        </w:tc>
        <w:tc>
          <w:tcPr/>
          <w:p>
            <w:pPr>
              <w:pStyle w:val="Compact"/>
              <w:jc w:val="left"/>
            </w:pPr>
            <w:r>
              <w:t xml:space="preserve">Pruim, Kaplan, and Horton (2017)</w:t>
            </w:r>
          </w:p>
        </w:tc>
      </w:tr>
      <w:tr>
        <w:tc>
          <w:tcPr/>
          <w:p>
            <w:pPr>
              <w:pStyle w:val="Compact"/>
              <w:jc w:val="left"/>
            </w:pPr>
            <w:r>
              <w:t xml:space="preserve">TeachingDemos</w:t>
            </w:r>
          </w:p>
        </w:tc>
        <w:tc>
          <w:tcPr/>
          <w:p>
            <w:pPr>
              <w:pStyle w:val="Compact"/>
              <w:jc w:val="left"/>
            </w:pPr>
            <w:r>
              <w:t xml:space="preserve">2.13</w:t>
            </w:r>
          </w:p>
        </w:tc>
        <w:tc>
          <w:tcPr/>
          <w:p>
            <w:pPr>
              <w:pStyle w:val="Compact"/>
              <w:jc w:val="left"/>
            </w:pPr>
            <w:r>
              <w:t xml:space="preserve">Snow (2024)</w:t>
            </w:r>
          </w:p>
        </w:tc>
      </w:tr>
    </w:tbl>
    <w:bookmarkStart w:id="87" w:name="ref-ggformula"/>
    <w:p>
      <w:pPr>
        <w:pStyle w:val="Bibliography"/>
      </w:pPr>
      <w:r>
        <w:t xml:space="preserve">Kaplan, Daniel, and Randall Pruim. 2025.</w:t>
      </w:r>
      <w:r>
        <w:t xml:space="preserve"> </w:t>
      </w:r>
      <w:r>
        <w:rPr>
          <w:i/>
          <w:iCs/>
        </w:rPr>
        <w:t xml:space="preserve">ggformula</w:t>
      </w:r>
      <w:r>
        <w:rPr>
          <w:i/>
          <w:iCs/>
        </w:rPr>
        <w:t xml:space="preserve">: Formula Interface to the Grammar of Graphics</w:t>
      </w:r>
      <w:r>
        <w:t xml:space="preserve">.</w:t>
      </w:r>
      <w:r>
        <w:t xml:space="preserve"> </w:t>
      </w:r>
      <w:hyperlink r:id="rId86">
        <w:r>
          <w:rPr>
            <w:rStyle w:val="Hyperlink"/>
          </w:rPr>
          <w:t xml:space="preserve">https://doi.org/10.32614/CRAN.package.ggformula</w:t>
        </w:r>
      </w:hyperlink>
      <w:r>
        <w:t xml:space="preserve">.</w:t>
      </w:r>
    </w:p>
    <w:bookmarkEnd w:id="87"/>
    <w:bookmarkStart w:id="89" w:name="ref-Lock5Data"/>
    <w:p>
      <w:pPr>
        <w:pStyle w:val="Bibliography"/>
      </w:pPr>
      <w:r>
        <w:t xml:space="preserve">Lock, Robin. 2021.</w:t>
      </w:r>
      <w:r>
        <w:t xml:space="preserve"> </w:t>
      </w:r>
      <w:r>
        <w:rPr>
          <w:i/>
          <w:iCs/>
        </w:rPr>
        <w:t xml:space="preserve">Lock5Data: Datasets for</w:t>
      </w:r>
      <w:r>
        <w:rPr>
          <w:i/>
          <w:iCs/>
        </w:rPr>
        <w:t xml:space="preserve"> </w:t>
      </w:r>
      <w:r>
        <w:rPr>
          <w:i/>
          <w:iCs/>
        </w:rPr>
        <w:t xml:space="preserve">“</w:t>
      </w:r>
      <w:r>
        <w:rPr>
          <w:i/>
          <w:iCs/>
        </w:rPr>
        <w:t xml:space="preserve">Statistics: UnLocking the Power of Data</w:t>
      </w:r>
      <w:r>
        <w:rPr>
          <w:i/>
          <w:iCs/>
        </w:rPr>
        <w:t xml:space="preserve">”</w:t>
      </w:r>
      <w:r>
        <w:t xml:space="preserve">.</w:t>
      </w:r>
      <w:r>
        <w:t xml:space="preserve"> </w:t>
      </w:r>
      <w:hyperlink r:id="rId88">
        <w:r>
          <w:rPr>
            <w:rStyle w:val="Hyperlink"/>
          </w:rPr>
          <w:t xml:space="preserve">https://doi.org/10.32614/CRAN.package.Lock5Data</w:t>
        </w:r>
      </w:hyperlink>
      <w:r>
        <w:t xml:space="preserve">.</w:t>
      </w:r>
    </w:p>
    <w:bookmarkEnd w:id="89"/>
    <w:bookmarkStart w:id="91" w:name="ref-mosaic"/>
    <w:p>
      <w:pPr>
        <w:pStyle w:val="Bibliography"/>
      </w:pPr>
      <w:r>
        <w:t xml:space="preserve">Pruim, Randall, Daniel T Kaplan, and Nicholas J Horton. 2017.</w:t>
      </w:r>
      <w:r>
        <w:t xml:space="preserve"> </w:t>
      </w:r>
      <w:r>
        <w:t xml:space="preserve">“The Mosaic Package: Helping Students to</w:t>
      </w:r>
      <w:r>
        <w:t xml:space="preserve"> </w:t>
      </w:r>
      <w:r>
        <w:t xml:space="preserve">‘</w:t>
      </w:r>
      <w:r>
        <w:t xml:space="preserve">Think with Data</w:t>
      </w:r>
      <w:r>
        <w:t xml:space="preserve">’</w:t>
      </w:r>
      <w:r>
        <w:t xml:space="preserve"> </w:t>
      </w:r>
      <w:r>
        <w:t xml:space="preserve">Using r.”</w:t>
      </w:r>
      <w:r>
        <w:t xml:space="preserve"> </w:t>
      </w:r>
      <w:r>
        <w:rPr>
          <w:i/>
          <w:iCs/>
        </w:rPr>
        <w:t xml:space="preserve">The R Journal</w:t>
      </w:r>
      <w:r>
        <w:t xml:space="preserve"> </w:t>
      </w:r>
      <w:r>
        <w:t xml:space="preserve">9 (1): 77–102.</w:t>
      </w:r>
      <w:r>
        <w:t xml:space="preserve"> </w:t>
      </w:r>
      <w:hyperlink r:id="rId90">
        <w:r>
          <w:rPr>
            <w:rStyle w:val="Hyperlink"/>
          </w:rPr>
          <w:t xml:space="preserve">https://journal.r-project.org/archive/2017/RJ-2017-024/index.html</w:t>
        </w:r>
      </w:hyperlink>
      <w:r>
        <w:t xml:space="preserve">.</w:t>
      </w:r>
    </w:p>
    <w:bookmarkEnd w:id="91"/>
    <w:bookmarkStart w:id="93" w:name="ref-TeachingDemos"/>
    <w:p>
      <w:pPr>
        <w:pStyle w:val="Bibliography"/>
      </w:pPr>
      <w:r>
        <w:t xml:space="preserve">Snow, Greg. 2024.</w:t>
      </w:r>
      <w:r>
        <w:t xml:space="preserve"> </w:t>
      </w:r>
      <w:r>
        <w:rPr>
          <w:i/>
          <w:iCs/>
        </w:rPr>
        <w:t xml:space="preserve">TeachingDemos</w:t>
      </w:r>
      <w:r>
        <w:rPr>
          <w:i/>
          <w:iCs/>
        </w:rPr>
        <w:t xml:space="preserve">: Demonstrations for Teaching and Learning</w:t>
      </w:r>
      <w:r>
        <w:t xml:space="preserve">.</w:t>
      </w:r>
      <w:r>
        <w:t xml:space="preserve"> </w:t>
      </w:r>
      <w:hyperlink r:id="rId92">
        <w:r>
          <w:rPr>
            <w:rStyle w:val="Hyperlink"/>
          </w:rPr>
          <w:t xml:space="preserve">https://doi.org/10.32614/CRAN.package.TeachingDemos</w:t>
        </w:r>
      </w:hyperlink>
      <w:r>
        <w:t xml:space="preserve">.</w:t>
      </w:r>
    </w:p>
    <w:bookmarkEnd w:id="93"/>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hyperlink r:id="rId27">
        <w:r>
          <w:rPr>
            <w:rStyle w:val="Hyperlink"/>
          </w:rPr>
          <w:t xml:space="preserve">https://www.xcode.in/genes-and-personality/how-genes-influence-your-math-ability/</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20" Target="media/rId20.jp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41" Target="media/rId41.jpg" /><Relationship Type="http://schemas.openxmlformats.org/officeDocument/2006/relationships/image" Id="rId69" Target="media/rId69.svg" /><Relationship Type="http://schemas.openxmlformats.org/officeDocument/2006/relationships/image" Id="rId57" Target="media/rId57.png" /><Relationship Type="http://schemas.openxmlformats.org/officeDocument/2006/relationships/hyperlink" Id="rId85" Target="https://albert-rapp.de/posts/ggplot2-tips/27_images/27_images" TargetMode="External" /><Relationship Type="http://schemas.openxmlformats.org/officeDocument/2006/relationships/hyperlink" Id="rId80" Target="https://clauswilke.com/dataviz/" TargetMode="External" /><Relationship Type="http://schemas.openxmlformats.org/officeDocument/2006/relationships/hyperlink" Id="rId88" Target="https://doi.org/10.32614/CRAN.package.Lock5Data" TargetMode="External" /><Relationship Type="http://schemas.openxmlformats.org/officeDocument/2006/relationships/hyperlink" Id="rId92" Target="https://doi.org/10.32614/CRAN.package.TeachingDemos" TargetMode="External" /><Relationship Type="http://schemas.openxmlformats.org/officeDocument/2006/relationships/hyperlink" Id="rId86" Target="https://doi.org/10.32614/CRAN.package.ggformula" TargetMode="External" /><Relationship Type="http://schemas.openxmlformats.org/officeDocument/2006/relationships/hyperlink" Id="rId84" Target="https://handsondataviz.org/" TargetMode="External" /><Relationship Type="http://schemas.openxmlformats.org/officeDocument/2006/relationships/hyperlink" Id="rId90" Target="https://journal.r-project.org/archive/2017/RJ-2017-024/index.html" TargetMode="External" /><Relationship Type="http://schemas.openxmlformats.org/officeDocument/2006/relationships/hyperlink" Id="rId82" Target="https://r-graphics.org/" TargetMode="External" /><Relationship Type="http://schemas.openxmlformats.org/officeDocument/2006/relationships/hyperlink" Id="rId83" Target="https://r4ds.had.co.nz/" TargetMode="External" /><Relationship Type="http://schemas.openxmlformats.org/officeDocument/2006/relationships/hyperlink" Id="rId81" Target="https://socviz.co/" TargetMode="External" /><Relationship Type="http://schemas.openxmlformats.org/officeDocument/2006/relationships/hyperlink" Id="rId25" Target="https://www.understood.org/en/articles/working-memory-what-it-is-and-how-it-works" TargetMode="External" /><Relationship Type="http://schemas.openxmlformats.org/officeDocument/2006/relationships/hyperlink" Id="rId27" Target="https://www.xcode.in/genes-and-personality/how-genes-influence-your-math-ability/" TargetMode="External" /></Relationships>
</file>

<file path=word/_rels/footnotes.xml.rels><?xml version="1.0" encoding="UTF-8"?><Relationships xmlns="http://schemas.openxmlformats.org/package/2006/relationships"><Relationship Type="http://schemas.openxmlformats.org/officeDocument/2006/relationships/hyperlink" Id="rId85" Target="https://albert-rapp.de/posts/ggplot2-tips/27_images/27_images" TargetMode="External" /><Relationship Type="http://schemas.openxmlformats.org/officeDocument/2006/relationships/hyperlink" Id="rId80" Target="https://clauswilke.com/dataviz/" TargetMode="External" /><Relationship Type="http://schemas.openxmlformats.org/officeDocument/2006/relationships/hyperlink" Id="rId88" Target="https://doi.org/10.32614/CRAN.package.Lock5Data" TargetMode="External" /><Relationship Type="http://schemas.openxmlformats.org/officeDocument/2006/relationships/hyperlink" Id="rId92" Target="https://doi.org/10.32614/CRAN.package.TeachingDemos" TargetMode="External" /><Relationship Type="http://schemas.openxmlformats.org/officeDocument/2006/relationships/hyperlink" Id="rId86" Target="https://doi.org/10.32614/CRAN.package.ggformula" TargetMode="External" /><Relationship Type="http://schemas.openxmlformats.org/officeDocument/2006/relationships/hyperlink" Id="rId84" Target="https://handsondataviz.org/" TargetMode="External" /><Relationship Type="http://schemas.openxmlformats.org/officeDocument/2006/relationships/hyperlink" Id="rId90" Target="https://journal.r-project.org/archive/2017/RJ-2017-024/index.html" TargetMode="External" /><Relationship Type="http://schemas.openxmlformats.org/officeDocument/2006/relationships/hyperlink" Id="rId82" Target="https://r-graphics.org/" TargetMode="External" /><Relationship Type="http://schemas.openxmlformats.org/officeDocument/2006/relationships/hyperlink" Id="rId83" Target="https://r4ds.had.co.nz/" TargetMode="External" /><Relationship Type="http://schemas.openxmlformats.org/officeDocument/2006/relationships/hyperlink" Id="rId81" Target="https://socviz.co/" TargetMode="External" /><Relationship Type="http://schemas.openxmlformats.org/officeDocument/2006/relationships/hyperlink" Id="rId25" Target="https://www.understood.org/en/articles/working-memory-what-it-is-and-how-it-works" TargetMode="External" /><Relationship Type="http://schemas.openxmlformats.org/officeDocument/2006/relationships/hyperlink" Id="rId27" Target="https://www.xcode.in/genes-and-personality/how-genes-influence-your-math-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Graphs</dc:title>
  <dc:creator>Arvind V.</dc:creator>
  <cp:keywords/>
  <dcterms:created xsi:type="dcterms:W3CDTF">2025-09-17T23:28:08Z</dcterms:created>
  <dcterms:modified xsi:type="dcterms:W3CDTF">2025-09-17T23:28:08Z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2021-11-01</vt:lpwstr>
  </property>
  <property fmtid="{D5CDD505-2E9C-101B-9397-08002B2CF9AE}" pid="9" name="date-modified">
    <vt:lpwstr>2025-09-18</vt:lpwstr>
  </property>
  <property fmtid="{D5CDD505-2E9C-101B-9397-08002B2CF9AE}" pid="10" name="editor">
    <vt:lpwstr/>
  </property>
  <property fmtid="{D5CDD505-2E9C-101B-9397-08002B2CF9AE}" pid="11" name="fig-cap-location">
    <vt:lpwstr>bottom</vt:lpwstr>
  </property>
  <property fmtid="{D5CDD505-2E9C-101B-9397-08002B2CF9AE}" pid="12" name="header-includes">
    <vt:lpwstr/>
  </property>
  <property fmtid="{D5CDD505-2E9C-101B-9397-08002B2CF9AE}" pid="13" name="image">
    <vt:lpwstr>preview.png</vt:lpwstr>
  </property>
  <property fmtid="{D5CDD505-2E9C-101B-9397-08002B2CF9AE}" pid="14" name="image-alt">
    <vt:lpwstr>By Rudityas on Glazestock.com</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ightbox">
    <vt:lpwstr/>
  </property>
  <property fmtid="{D5CDD505-2E9C-101B-9397-08002B2CF9AE}" pid="20" name="order">
    <vt:lpwstr>9</vt:lpwstr>
  </property>
  <property fmtid="{D5CDD505-2E9C-101B-9397-08002B2CF9AE}" pid="21" name="page-layout">
    <vt:lpwstr>full</vt:lpwstr>
  </property>
  <property fmtid="{D5CDD505-2E9C-101B-9397-08002B2CF9AE}" pid="22" name="subtitle">
    <vt:lpwstr>Charts and How they are generated from Data</vt:lpwstr>
  </property>
  <property fmtid="{D5CDD505-2E9C-101B-9397-08002B2CF9AE}" pid="23" name="toc-title">
    <vt:lpwstr>Table of contents</vt:lpwstr>
  </property>
  <property fmtid="{D5CDD505-2E9C-101B-9397-08002B2CF9AE}" pid="24" name="webr">
    <vt:lpwstr/>
  </property>
</Properties>
</file>