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8"/>
          <w:szCs w:val="48"/>
        </w:rPr>
      </w:pPr>
      <w:bookmarkStart w:colFirst="0" w:colLast="0" w:name="_hsqs9mp5j03c" w:id="0"/>
      <w:bookmarkEnd w:id="0"/>
      <w:r w:rsidDel="00000000" w:rsidR="00000000" w:rsidRPr="00000000">
        <w:rPr>
          <w:rFonts w:ascii="Times New Roman" w:cs="Times New Roman" w:eastAsia="Times New Roman" w:hAnsi="Times New Roman"/>
          <w:sz w:val="48"/>
          <w:szCs w:val="48"/>
          <w:rtl w:val="0"/>
        </w:rPr>
        <w:t xml:space="preserve">Understanding Attention in Transformer Models</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Yousif Abdulhussein, Margaret Kelley, Alex Warden, Jingtao Zhong</w:t>
      </w:r>
    </w:p>
    <w:p w:rsidR="00000000" w:rsidDel="00000000" w:rsidP="00000000" w:rsidRDefault="00000000" w:rsidRPr="00000000" w14:paraId="00000003">
      <w:pPr>
        <w:jc w:val="center"/>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COSC 524: Natural Language Processing, Fall 2025</w:t>
        <w:br w:type="textWrapp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Introduction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transformer architecture has emerged as the foundation for many state-of-the-art systems in natural language processing (NLP). Tasks such as language translation, text summarization, and question answering are now powered by these models. Much of this success can be attributed to the self-attention mechanism. Self-attention models the relationships between tokens, which can be thought of as words, within a sequence by allowing neural networks to update their embeddings, or ‘understanding,’ of each token in relation to its surrounding context.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Although self-attention was initially applied  within recurrent neural networks (RNNs), their sequential nature created a major computational bottleneck. Transformers overcame this limitation by computing attention scores across all tokens simultaneously, rather than processing them step by step. This parallelization allows transformers to efficiently learn and represent long-range dependencies. As a result,  these models can leverage large-scale computational resources to process long sequences of text and train on massive datasets without being constrained by sequential processing.. This parallelizable architecture of transformers has enabled the possibility for large-scale deployment of models that can be trained on extensive corpora with high efficiency.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Transformers also introduce a key technique, known as multi-headed self-attention (MHA). Instead of relying on a single attention mechanism, the model employs multiple heads, each capable of focusing on different linguistic or semantic features. For example, one head might learn syntactic structures, while another captures semantic relationships or discourse-level cues. Combining the insights from multiple heads produces a richer and more nuanced representation of language. MHA increases a model’s robustness and enables more effective utilization of large-scale compute and data resources.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Despite their transformative impact, transformer architectures remain only partially understood. While some attention heads exhibit interpretable behaviors–such as attending to punctuation or specific syntactic relationships–many remain opaque This is a direct consequence of the data-driven learning process used to train modern large language models (LLMs). As artificial intelligence (AI) systems become more deeply integrated into critical applications and tooling,  it becomes increasingly more important to develop a comprehensive understanding of how these models function in order to ensure their safety and reliability.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times, attention heads display systematic patterns; at others, their roles appear arbitrary or difficult to interpret. Therefore, it is essential to develop methods to better understand attention. Not only for interpretability, but also for improving model design and fostering trust in their outputs. </w:t>
      </w:r>
    </w:p>
    <w:p w:rsidR="00000000" w:rsidDel="00000000" w:rsidP="00000000" w:rsidRDefault="00000000" w:rsidRPr="00000000" w14:paraId="0000000A">
      <w:pPr>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Existing Tools for Visualizing Attention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research builds upon two main areas:  interactive visualization systems for exploring attention, and analytical studies investigating the linguistic knowledge that is encoded by transformer models. </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BertViz (Jesse Vig, 2019): Among existing visualization tools, this is the most widely recognized tool for attention visualization. It provides an interactive interface to examine attention patterns between tokens across all layers and heads. Its neuron and model views are valuable for qualitative exploration of short text sequences–often revealing high-level structural patterns. However,  BertViz primarily serves as an exploratory tool; it does not generate quantitative data to characterize attention head behavior patterns. Additionally, its performance diminishes  when applied to longer or more complex datasets. </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VizBERT (Vig et al., 2020): This tool emphasizes the visualization of token embedding transformations across layers by employing dimensionally reduction methods such as t-SNE and PCA, rather than manipulating the attention weights directly.  Although this approach offers valuable insight into representation learning, it does not directly explain how attention functions.</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exBERT (Hoover et al., 2020): A lightweight framework for exploring token representations and their similarity relationships. Like VizBERT, it focuses more on activation analysis than attention mechanisms, but it demonstrates how interactive interfaces enhance model interpretability. </w:t>
      </w:r>
      <w:r w:rsidDel="00000000" w:rsidR="00000000" w:rsidRPr="00000000">
        <w:rPr>
          <w:rtl w:val="0"/>
        </w:rPr>
      </w:r>
    </w:p>
    <w:p w:rsidR="00000000" w:rsidDel="00000000" w:rsidP="00000000" w:rsidRDefault="00000000" w:rsidRPr="00000000" w14:paraId="0000000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III. Seminal Interpretability Studies</w:t>
      </w:r>
      <w:r w:rsidDel="00000000" w:rsidR="00000000" w:rsidRPr="00000000">
        <w:rPr>
          <w:rFonts w:ascii="Times New Roman" w:cs="Times New Roman" w:eastAsia="Times New Roman" w:hAnsi="Times New Roman"/>
          <w:sz w:val="24"/>
          <w:szCs w:val="24"/>
          <w:rtl w:val="0"/>
        </w:rPr>
        <w:br w:type="textWrapping"/>
        <w:t xml:space="preserve">     Two key studies form the theoretical basis of our approach, illustrating both the promise and the limitations of attention-based interpretation.</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BERT Look At? An Analysis of BERT’s Attention" (Clark et al., 2019): This study performed an extensive analysis of attention heads within a fine-tuned BERT model. Through manual inspection and probing, the researchers identified attention heads that consistently focused on specific linguistic phenomena–such as attending to delimiters ([SEP]), neighboring tokens, or syntactic dependencies (e.g., linking verbs to objects or adjectives to nouns).. Their findings demonstrated that individual heads could specialize in distinct linguistic functions, offering evidence that attention encodes interpretable structures.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is Not Explanation" (Jain &amp; Wallace, 2019): This paper presents a critical counterpoint. The authors argue attention weights are often weakly correlated with other measures of feature importance, showing that different attention configurations can yield identical model outputs. Consequently, they caution against interpreting high attention scores as direct explanations for model predictions. In light of this critique, our work focuses on identifying </w:t>
      </w:r>
      <w:r w:rsidDel="00000000" w:rsidR="00000000" w:rsidRPr="00000000">
        <w:rPr>
          <w:rFonts w:ascii="Times New Roman" w:cs="Times New Roman" w:eastAsia="Times New Roman" w:hAnsi="Times New Roman"/>
          <w:i w:val="1"/>
          <w:iCs w:val="1"/>
          <w:sz w:val="24"/>
          <w:szCs w:val="24"/>
          <w:rtl w:val="0"/>
        </w:rPr>
        <w:t xml:space="preserve">what kind of information</w:t>
      </w:r>
      <w:r w:rsidDel="00000000" w:rsidR="00000000" w:rsidRPr="00000000">
        <w:rPr>
          <w:rFonts w:ascii="Times New Roman" w:cs="Times New Roman" w:eastAsia="Times New Roman" w:hAnsi="Times New Roman"/>
          <w:sz w:val="24"/>
          <w:szCs w:val="24"/>
          <w:rtl w:val="0"/>
        </w:rPr>
        <w:t xml:space="preserve"> particular heads tend to process–rather than claiming attention provides a complete explanation. By analyzing how attention relates to  syntactic and semantic structures, we aim to better understand how individual heads function within the broader model architecture.</w:t>
      </w:r>
    </w:p>
    <w:p w:rsidR="00000000" w:rsidDel="00000000" w:rsidP="00000000" w:rsidRDefault="00000000" w:rsidRPr="00000000" w14:paraId="0000001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IV. Methodology</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objective is to move beyond simply visualizing where a transformer  attends, and instead, begin to understand what those attention patterns signify. While tools like BertViz qualitative exploration, this project aims to take a more structured, quantitative approach to understanding the behavior of individual attention through a series of interpretable metrics.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measure three main aspects of attention behavior: </w:t>
      </w:r>
    </w:p>
    <w:p w:rsidR="00000000" w:rsidDel="00000000" w:rsidP="00000000" w:rsidRDefault="00000000" w:rsidRPr="00000000" w14:paraId="0000001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aggregation–how much a head contributes to summarizing the overall meaning of a sentence, </w:t>
      </w:r>
    </w:p>
    <w:p w:rsidR="00000000" w:rsidDel="00000000" w:rsidP="00000000" w:rsidRDefault="00000000" w:rsidRPr="00000000" w14:paraId="0000001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Cross-sentence connections–how strongly it relates information between two sentences, and </w:t>
      </w:r>
    </w:p>
    <w:p w:rsidR="00000000" w:rsidDel="00000000" w:rsidP="00000000" w:rsidRDefault="00000000" w:rsidRPr="00000000" w14:paraId="0000001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relationships–how closely it attends to neighboring words, capturing syntactic dependencies.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dimensions provide a more complete picture of how attention contributes to language understanding at different depths within the model.</w:t>
      </w:r>
    </w:p>
    <w:p w:rsidR="00000000" w:rsidDel="00000000" w:rsidP="00000000" w:rsidRDefault="00000000" w:rsidRPr="00000000" w14:paraId="00000019">
      <w:pPr>
        <w:numPr>
          <w:ilvl w:val="0"/>
          <w:numId w:val="2"/>
        </w:numPr>
        <w:ind w:left="720" w:hanging="36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Baseline model</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analysis is conducted using the BERT-base-uncased model. This version of BERT has 12 layers, each with 12 attention heads, resulting in a total of 144 heads to study. We do not modify or fine-tune the model; instead, we look directly at the attention patterns it produces when processing text. By keeping the model in its pre-trained form, we can better understand its general internal behavior rather than task-specific adaptations.</w:t>
      </w:r>
    </w:p>
    <w:p w:rsidR="00000000" w:rsidDel="00000000" w:rsidP="00000000" w:rsidRDefault="00000000" w:rsidRPr="00000000" w14:paraId="0000001B">
      <w:pPr>
        <w:numPr>
          <w:ilvl w:val="0"/>
          <w:numId w:val="2"/>
        </w:numPr>
        <w:ind w:left="720" w:hanging="36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Dataset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employs the Stanford Natural Language Inference (SNLI) dataset. SNLI contains sentence pairs labeled as entailment, contradiction, or neutral. Because SNLI inherently involves reasoning between two sentences–a “premise” and a “hypothesis”–it provides an ideal framework for how attention flows between the models and allows us to observe not only how attention operates within each sentence but also how it flows between them.</w:t>
      </w:r>
    </w:p>
    <w:p w:rsidR="00000000" w:rsidDel="00000000" w:rsidP="00000000" w:rsidRDefault="00000000" w:rsidRPr="00000000" w14:paraId="0000001D">
      <w:pPr>
        <w:numPr>
          <w:ilvl w:val="0"/>
          <w:numId w:val="2"/>
        </w:numPr>
        <w:ind w:left="720" w:hanging="36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Metrics</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Aggregation Score (CLS)</w:t>
      </w:r>
    </w:p>
    <w:p w:rsidR="00000000" w:rsidDel="00000000" w:rsidP="00000000" w:rsidRDefault="00000000" w:rsidRPr="00000000" w14:paraId="0000001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CLS(L,H)=mean attention weight to [CLS]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score measures the extent to which tokens attend to the special classification token (CLS). Higher values suggest the head contributes to global sentence-level semantic aggregation. They are typically concentrated in upper levels of the model.</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Cross-Sentence Attention Score (A → B)</w:t>
      </w:r>
    </w:p>
    <w:p w:rsidR="00000000" w:rsidDel="00000000" w:rsidP="00000000" w:rsidRDefault="00000000" w:rsidRPr="00000000" w14:paraId="0000002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Cross(L,H)=mean attention weight from Sentence A to Sentence B</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metric quantifies inter-sentence interactions, reflecting how strongly tokens in the premise attend to tokens in the hypothesis. Heads with high cross scores tend to encode entailment or semantic alignment signals, which are particularly relevant in NLI tasks.</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Locality Score</w:t>
      </w:r>
    </w:p>
    <w:p w:rsidR="00000000" w:rsidDel="00000000" w:rsidP="00000000" w:rsidRDefault="00000000" w:rsidRPr="00000000" w14:paraId="0000002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Local(L,H)=mean attention weight within k window</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measures local token-level dependency, often associated with syntactic structure such as subject-verb-object patterns. High locality scores typically occur in lower layers.</w:t>
      </w:r>
    </w:p>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Attention Head Clustering for Functional Reduction</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minimize model redundancy while preserving functional diversity, we perform attention head clustering based on the three metrics defined above: Global Aggregation (CLS), Cross-Sentence Interaction, and Locality. This process groups heads exhibiting similar behavior, allowing us to identify both unique and redundant attention patterns.</w:t>
      </w:r>
    </w:p>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Steps</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follows a structured pipeline to transform raw attention data to interpretable patterns:Metric Computation: We calculateGlobal Aggregation (CLS), Cross-Sentence Attention, and Locality scores for all144 attention heads (12 layers × 12 heads). These metrics reveal whether a head primarily focuses on sentence-level meaning, inter-sentence relationships, or local syntactic dependencies.</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Label-wise aggregation: Using the SNLI entailment, contradiction, and neutral labels, we analyze how attention patterns vary across reasoning types. With this, we are able to identify heads that specialize in particular semantic relations.</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ranking: We rank attention heads based on their scores to highlight those most influential in each functional category (global meaning, cross-sentence alignment, or local syntax).</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We employ heatmaps and distribution plots to illustrate trends across layers–such as global aggregation emerging in upper layers and syntactic dependencies concentrating in lower layers.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Finally, we cluster heads with similar functional profiles. This reveals redundancy and provides insights for potential model compression while maintaining interpretive coverage.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Through this process, we establish a quantitative framework for understanding and interpreting how BERT’s attention heads behave, interact, and contribute to language understanding.</w:t>
      </w:r>
    </w:p>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Conclusion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Our goal for this research moves beyond visualizing where attention focuses–to understanding what those patterns mean. By defining quantitative, interpretable metrics (Global Aggregation, Cross-Sentence Interaction, and Locality) we have provided a structured way to analyze how individual attention heads function across layers of a transformer model.</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our research is still in its early stages, we can see the trends developing: lower layers tend to capture local syntactic relationships, while upper layers aggregate global meaning. Attention head clustering might further reveal redundancy, which would offer insights into how models might be simplified without losing interpretability..</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Overall, we believe this framework can help bridge the gap between performance and interpretability. Understanding what attention heads represent strengthens trust and transparency in LLMS and provides a foundation for developing safer systems.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3B">
      <w:pPr>
        <w:spacing w:line="240" w:lineRule="auto"/>
        <w:ind w:left="0" w:firstLine="0"/>
        <w:jc w:val="left"/>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