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rFonts w:ascii="Times New Roman" w:cs="Times New Roman" w:eastAsia="Times New Roman" w:hAnsi="Times New Roman"/>
          <w:sz w:val="48"/>
          <w:szCs w:val="48"/>
        </w:rPr>
      </w:pPr>
      <w:bookmarkStart w:colFirst="0" w:colLast="0" w:name="_hsqs9mp5j03c" w:id="0"/>
      <w:bookmarkEnd w:id="0"/>
      <w:r w:rsidDel="00000000" w:rsidR="00000000" w:rsidRPr="00000000">
        <w:rPr>
          <w:rFonts w:ascii="Times New Roman" w:cs="Times New Roman" w:eastAsia="Times New Roman" w:hAnsi="Times New Roman"/>
          <w:sz w:val="48"/>
          <w:szCs w:val="48"/>
          <w:rtl w:val="0"/>
        </w:rPr>
        <w:t xml:space="preserve">Understanding Attention in Transformer Models</w:t>
      </w:r>
    </w:p>
    <w:p w:rsidR="00000000" w:rsidDel="00000000" w:rsidP="00000000" w:rsidRDefault="00000000" w:rsidRPr="00000000" w14:paraId="0000000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Yousif Abdulhussein, Margaret Kelley, Alex Warden, Jingtao Zhong</w:t>
      </w:r>
    </w:p>
    <w:p w:rsidR="00000000" w:rsidDel="00000000" w:rsidP="00000000" w:rsidRDefault="00000000" w:rsidRPr="00000000" w14:paraId="000000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COSC 524: Natural Language Processing, Fall 2025</w:t>
      </w:r>
    </w:p>
    <w:p w:rsidR="00000000" w:rsidDel="00000000" w:rsidP="00000000" w:rsidRDefault="00000000" w:rsidRPr="00000000" w14:paraId="00000004">
      <w:pPr>
        <w:spacing w:line="240" w:lineRule="auto"/>
        <w:jc w:val="center"/>
        <w:rPr>
          <w:rFonts w:ascii="Times New Roman" w:cs="Times New Roman" w:eastAsia="Times New Roman" w:hAnsi="Times New Roman"/>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Heading1"/>
        <w:spacing w:before="280" w:line="240" w:lineRule="auto"/>
        <w:jc w:val="center"/>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bookmarkStart w:colFirst="0" w:colLast="0" w:name="_9p6juf5qgqa0" w:id="1"/>
      <w:bookmarkEnd w:id="1"/>
      <w:r w:rsidDel="00000000" w:rsidR="00000000" w:rsidRPr="00000000">
        <w:rPr>
          <w:rFonts w:ascii="Times New Roman" w:cs="Times New Roman" w:eastAsia="Times New Roman" w:hAnsi="Times New Roman"/>
          <w:sz w:val="20"/>
          <w:szCs w:val="20"/>
          <w:rtl w:val="0"/>
        </w:rPr>
        <w:t xml:space="preserve">I. Introduction</w:t>
      </w:r>
      <w:r w:rsidDel="00000000" w:rsidR="00000000" w:rsidRPr="00000000">
        <w:rPr>
          <w:rtl w:val="0"/>
        </w:rPr>
      </w:r>
    </w:p>
    <w:p w:rsidR="00000000" w:rsidDel="00000000" w:rsidP="00000000" w:rsidRDefault="00000000" w:rsidRPr="00000000" w14:paraId="0000000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transformer architecture has emerged as the foundation for many state-of-the-art systems in natural language processing (NLP). Tasks such as language translation, text summarization, and question answering are now powered by these models. Much of this success can be attributed to the self-attention mechanism. Self-attention models the relationships between tokens, which can be thought of as words, within a sequence by allowing neural networks to update their embeddings, or ‘understanding,’ of each token in relation to its surrounding context.</w:t>
      </w:r>
    </w:p>
    <w:p w:rsidR="00000000" w:rsidDel="00000000" w:rsidP="00000000" w:rsidRDefault="00000000" w:rsidRPr="00000000" w14:paraId="0000000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self-attention was initially applied  within recurrent neural networks (RNNs), their sequential nature created a major computational bottleneck. Transformers overcame this limitation by computing attention scores across all tokens simultaneously, rather than processing them step by step. This parallelization allows transformers to efficiently learn and represent long-range dependencies. As a result,  these models can leverage large-scale computational resources to process long sequences of text and train on massive datasets without being constrained by sequential processing.. This parallelizable architecture of transformers has enabled the possibility for large-scale deployment of models that can be trained on extensive corpora with high efficiency.</w:t>
      </w:r>
    </w:p>
    <w:p w:rsidR="00000000" w:rsidDel="00000000" w:rsidP="00000000" w:rsidRDefault="00000000" w:rsidRPr="00000000" w14:paraId="0000000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Transformers also introduce a key technique, known as multi-headed self-attention (MHA). Instead of relying on a single attention mechanism, the model employs multiple heads, each capable of focusing on different linguistic or semantic features. For example, one head might learn syntactic structures, while another captures semantic relationships or discourse-level cues. Combining the insights from multiple heads produces a richer and more nuanced representation of language. MHA increases a model’s robustness and enables more effective utilization of large-scale compute and data resources.</w:t>
      </w:r>
    </w:p>
    <w:p w:rsidR="00000000" w:rsidDel="00000000" w:rsidP="00000000" w:rsidRDefault="00000000" w:rsidRPr="00000000" w14:paraId="0000000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their transformative impact, transformer architectures remain only partially understood. While some attention heads exhibit interpretable behaviors–such as attending to punctuation or specific syntactic relationships–many remain opaque This is a direct consequence of the data-driven learning process used to train modern large language models (LLMs). As artificial intelligence (AI) systems become more deeply integrated into critical applications and tooling,  it becomes increasingly more important to develop a comprehensive understanding of how these models function in order to ensure their safety and reliability.</w:t>
      </w:r>
    </w:p>
    <w:p w:rsidR="00000000" w:rsidDel="00000000" w:rsidP="00000000" w:rsidRDefault="00000000" w:rsidRPr="00000000" w14:paraId="0000000A">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times, attention heads display systematic patterns; at others, their roles appear arbitrary or difficult to interpret. Therefore, it is essential to develop methods to better understand attention. Not only for interpretability, but also for improving model design and fostering trust in their outputs.</w:t>
      </w:r>
      <w:r w:rsidDel="00000000" w:rsidR="00000000" w:rsidRPr="00000000">
        <w:rPr>
          <w:rtl w:val="0"/>
        </w:rPr>
      </w:r>
    </w:p>
    <w:p w:rsidR="00000000" w:rsidDel="00000000" w:rsidP="00000000" w:rsidRDefault="00000000" w:rsidRPr="00000000" w14:paraId="0000000B">
      <w:pPr>
        <w:spacing w:line="240" w:lineRule="auto"/>
        <w:ind w:firstLine="720"/>
        <w:jc w:val="both"/>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0C">
      <w:pPr>
        <w:pStyle w:val="Heading1"/>
        <w:spacing w:before="280" w:line="240" w:lineRule="auto"/>
        <w:jc w:val="center"/>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bookmarkStart w:colFirst="0" w:colLast="0" w:name="_o80tbqumzk7j" w:id="2"/>
      <w:bookmarkEnd w:id="2"/>
      <w:r w:rsidDel="00000000" w:rsidR="00000000" w:rsidRPr="00000000">
        <w:rPr>
          <w:rFonts w:ascii="Times New Roman" w:cs="Times New Roman" w:eastAsia="Times New Roman" w:hAnsi="Times New Roman"/>
          <w:sz w:val="20"/>
          <w:szCs w:val="20"/>
          <w:rtl w:val="0"/>
        </w:rPr>
        <w:t xml:space="preserve">II. Existing Tools for Visualizing Attention</w:t>
      </w:r>
    </w:p>
    <w:p w:rsidR="00000000" w:rsidDel="00000000" w:rsidP="00000000" w:rsidRDefault="00000000" w:rsidRPr="00000000" w14:paraId="0000000D">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research builds upon two main areas:  interactive visualization systems for exploring attention, and analytical studies investigating the linguistic knowledge that is encoded by transformer models. </w:t>
      </w:r>
    </w:p>
    <w:p w:rsidR="00000000" w:rsidDel="00000000" w:rsidP="00000000" w:rsidRDefault="00000000" w:rsidRPr="00000000" w14:paraId="0000000E">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BertViz (Jesse Vig, 2019): Among existing visualization tools, this is the most widely recognized tool for attention visualization. It provides an interactive interface to examine attention patterns between tokens across all layers and heads. Its neuron and model views are valuable for qualitative exploration of short text sequences–often revealing high-level structural patterns. However,  BertViz primarily serves as an exploratory tool; it does not generate quantitative data to characterize attention head behavior patterns. Additionally, its performance diminishes  when applied to longer or more complex datasets. </w:t>
      </w:r>
    </w:p>
    <w:p w:rsidR="00000000" w:rsidDel="00000000" w:rsidP="00000000" w:rsidRDefault="00000000" w:rsidRPr="00000000" w14:paraId="0000000F">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VizBERT (Vig et al., 2020): This tool emphasizes the visualization of token embedding transformations across layers by employing dimensionally reduction methods such as t-SNE and PCA, rather than manipulating the attention weights directly.  Although this approach offers valuable insight into representation learning, it does not directly explain how attention functions.</w:t>
      </w:r>
    </w:p>
    <w:p w:rsidR="00000000" w:rsidDel="00000000" w:rsidP="00000000" w:rsidRDefault="00000000" w:rsidRPr="00000000" w14:paraId="00000010">
      <w:pPr>
        <w:numPr>
          <w:ilvl w:val="0"/>
          <w:numId w:val="5"/>
        </w:numPr>
        <w:spacing w:line="240" w:lineRule="auto"/>
        <w:ind w:left="720" w:hanging="360"/>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4"/>
          <w:szCs w:val="24"/>
          <w:rtl w:val="0"/>
        </w:rPr>
        <w:t xml:space="preserve">exBERT (Hoover et al., 2020): A lightweight framework for exploring token representations and their similarity relationships. Like VizBERT, it focuses more on activation analysis than attention mechanisms, but it demonstrates how interactive interfaces enhance model interpretability. </w:t>
      </w:r>
    </w:p>
    <w:p w:rsidR="00000000" w:rsidDel="00000000" w:rsidP="00000000" w:rsidRDefault="00000000" w:rsidRPr="00000000" w14:paraId="00000011">
      <w:pPr>
        <w:pStyle w:val="Heading1"/>
        <w:spacing w:after="240" w:before="240" w:line="240" w:lineRule="auto"/>
        <w:jc w:val="center"/>
        <w:rPr>
          <w:rFonts w:ascii="Times New Roman" w:cs="Times New Roman" w:eastAsia="Times New Roman" w:hAnsi="Times New Roman"/>
        </w:rPr>
      </w:pPr>
      <w:bookmarkStart w:colFirst="0" w:colLast="0" w:name="_uij2vq7hzjvv" w:id="3"/>
      <w:bookmarkEnd w:id="3"/>
      <w:r w:rsidDel="00000000" w:rsidR="00000000" w:rsidRPr="00000000">
        <w:rPr>
          <w:rFonts w:ascii="Times New Roman" w:cs="Times New Roman" w:eastAsia="Times New Roman" w:hAnsi="Times New Roman"/>
          <w:sz w:val="20"/>
          <w:szCs w:val="20"/>
          <w:rtl w:val="0"/>
        </w:rPr>
        <w:t xml:space="preserve">III. Seminal Interpretability Studies</w:t>
      </w:r>
      <w:r w:rsidDel="00000000" w:rsidR="00000000" w:rsidRPr="00000000">
        <w:rPr>
          <w:rtl w:val="0"/>
        </w:rPr>
      </w:r>
    </w:p>
    <w:p w:rsidR="00000000" w:rsidDel="00000000" w:rsidP="00000000" w:rsidRDefault="00000000" w:rsidRPr="00000000" w14:paraId="00000012">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key studies form the theoretical basis of our approach, illustrating both the promise and the limitations of attention-based interpretation.</w:t>
      </w:r>
    </w:p>
    <w:p w:rsidR="00000000" w:rsidDel="00000000" w:rsidP="00000000" w:rsidRDefault="00000000" w:rsidRPr="00000000" w14:paraId="00000013">
      <w:pPr>
        <w:spacing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BERT Look At? An Analysis of BERT’s Attention" (Clark et al., 2019): This study performed an extensive analysis of attention heads within a fine-tuned BERT model. Through manual inspection and probing, the researchers identified attention heads that consistently focused on specific linguistic phenomena–such as attending to delimiters ([SEP]), neighboring tokens, or syntactic dependencies (e.g., linking verbs to objects or adjectives to nouns).. Their findings demonstrated that individual heads could specialize in distinct linguistic functions, offering evidence that attention encodes interpretable structures.</w:t>
      </w:r>
    </w:p>
    <w:p w:rsidR="00000000" w:rsidDel="00000000" w:rsidP="00000000" w:rsidRDefault="00000000" w:rsidRPr="00000000" w14:paraId="0000001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is Not Explanation" (Jain &amp; Wallace, 2019): This paper presents a critical counterpoint. The authors argue attention weights are often weakly correlated with other measures of feature importance, showing that different attention configurations can yield identical model outputs. Consequently, they caution against interpreting high attention scores as direct explanations for model predictions. In light of this critique, our work focuses on identifying </w:t>
      </w:r>
      <w:r w:rsidDel="00000000" w:rsidR="00000000" w:rsidRPr="00000000">
        <w:rPr>
          <w:rFonts w:ascii="Times New Roman" w:cs="Times New Roman" w:eastAsia="Times New Roman" w:hAnsi="Times New Roman"/>
          <w:i w:val="1"/>
          <w:iCs w:val="1"/>
          <w:sz w:val="24"/>
          <w:szCs w:val="24"/>
          <w:rtl w:val="0"/>
        </w:rPr>
        <w:t xml:space="preserve">what kind of information</w:t>
      </w:r>
      <w:r w:rsidDel="00000000" w:rsidR="00000000" w:rsidRPr="00000000">
        <w:rPr>
          <w:rFonts w:ascii="Times New Roman" w:cs="Times New Roman" w:eastAsia="Times New Roman" w:hAnsi="Times New Roman"/>
          <w:sz w:val="24"/>
          <w:szCs w:val="24"/>
          <w:rtl w:val="0"/>
        </w:rPr>
        <w:t xml:space="preserve"> particular</w:t>
      </w:r>
      <w:r w:rsidDel="00000000" w:rsidR="00000000" w:rsidRPr="00000000">
        <w:rPr>
          <w:rFonts w:ascii="Times New Roman" w:cs="Times New Roman" w:eastAsia="Times New Roman" w:hAnsi="Times New Roman"/>
          <w:sz w:val="24"/>
          <w:szCs w:val="24"/>
          <w:rtl w:val="0"/>
        </w:rPr>
        <w:t xml:space="preserve"> heads tend to process–rather than claiming attention provides a complete explanation. By analyzing how attention relates to  syntactic and semantic structures, we aim to better understand how individual heads function within the broader model architecture. </w:t>
      </w:r>
    </w:p>
    <w:p w:rsidR="00000000" w:rsidDel="00000000" w:rsidP="00000000" w:rsidRDefault="00000000" w:rsidRPr="00000000" w14:paraId="00000016">
      <w:pPr>
        <w:numPr>
          <w:ilvl w:val="0"/>
          <w:numId w:val="3"/>
        </w:numPr>
        <w:spacing w:line="240" w:lineRule="auto"/>
        <w:ind w:left="720" w:hanging="360"/>
        <w:jc w:val="both"/>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7">
      <w:pPr>
        <w:pStyle w:val="Heading1"/>
        <w:spacing w:line="240" w:lineRule="auto"/>
        <w:jc w:val="center"/>
        <w:rPr>
          <w:rFonts w:ascii="Times New Roman" w:cs="Times New Roman" w:eastAsia="Times New Roman" w:hAnsi="Times New Roman"/>
        </w:rPr>
      </w:pPr>
      <w:bookmarkStart w:colFirst="0" w:colLast="0" w:name="_2gedhj3ksnil" w:id="4"/>
      <w:bookmarkEnd w:id="4"/>
      <w:r w:rsidDel="00000000" w:rsidR="00000000" w:rsidRPr="00000000">
        <w:rPr>
          <w:rFonts w:ascii="Times New Roman" w:cs="Times New Roman" w:eastAsia="Times New Roman" w:hAnsi="Times New Roman"/>
          <w:sz w:val="20"/>
          <w:szCs w:val="20"/>
          <w:rtl w:val="0"/>
        </w:rPr>
        <w:t xml:space="preserve">IV. Methodology</w:t>
      </w:r>
      <w:r w:rsidDel="00000000" w:rsidR="00000000" w:rsidRPr="00000000">
        <w:rPr>
          <w:rtl w:val="0"/>
        </w:rPr>
      </w:r>
    </w:p>
    <w:p w:rsidR="00000000" w:rsidDel="00000000" w:rsidP="00000000" w:rsidRDefault="00000000" w:rsidRPr="00000000" w14:paraId="0000001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objective is to move beyond simply visualizing </w:t>
      </w:r>
      <w:r w:rsidDel="00000000" w:rsidR="00000000" w:rsidRPr="00000000">
        <w:rPr>
          <w:rFonts w:ascii="Times New Roman" w:cs="Times New Roman" w:eastAsia="Times New Roman" w:hAnsi="Times New Roman"/>
          <w:i w:val="1"/>
          <w:iCs w:val="1"/>
          <w:sz w:val="24"/>
          <w:szCs w:val="24"/>
          <w:rtl w:val="0"/>
        </w:rPr>
        <w:t xml:space="preserve">where</w:t>
      </w:r>
      <w:r w:rsidDel="00000000" w:rsidR="00000000" w:rsidRPr="00000000">
        <w:rPr>
          <w:rFonts w:ascii="Times New Roman" w:cs="Times New Roman" w:eastAsia="Times New Roman" w:hAnsi="Times New Roman"/>
          <w:sz w:val="24"/>
          <w:szCs w:val="24"/>
          <w:rtl w:val="0"/>
        </w:rPr>
        <w:t xml:space="preserve"> a transformer  attends, and instead, begin to understand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those attention patterns signify. While tools like BertViz qualitative exploration, this project aims to take a more structured, quantitative approach to understanding the behavior of individual attention through a series of interpretable metrics.</w:t>
      </w:r>
    </w:p>
    <w:p w:rsidR="00000000" w:rsidDel="00000000" w:rsidP="00000000" w:rsidRDefault="00000000" w:rsidRPr="00000000" w14:paraId="0000001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measure three main aspects of attention behavior: </w:t>
      </w:r>
    </w:p>
    <w:p w:rsidR="00000000" w:rsidDel="00000000" w:rsidP="00000000" w:rsidRDefault="00000000" w:rsidRPr="00000000" w14:paraId="0000001A">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aggregation–how much a head contributes to summarizing the overall meaning of a sentence, </w:t>
      </w:r>
    </w:p>
    <w:p w:rsidR="00000000" w:rsidDel="00000000" w:rsidP="00000000" w:rsidRDefault="00000000" w:rsidRPr="00000000" w14:paraId="0000001B">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Cross-sentence connections–how strongly it relates information between two sentences, and </w:t>
      </w:r>
    </w:p>
    <w:p w:rsidR="00000000" w:rsidDel="00000000" w:rsidP="00000000" w:rsidRDefault="00000000" w:rsidRPr="00000000" w14:paraId="0000001C">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relationships–how closely it attends to neighboring words, capturing syntactic dependencies.</w:t>
      </w:r>
    </w:p>
    <w:p w:rsidR="00000000" w:rsidDel="00000000" w:rsidP="00000000" w:rsidRDefault="00000000" w:rsidRPr="00000000" w14:paraId="0000001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dimensions provide a more complete picture of how attention contributes to language understanding at different depths within the model.</w:t>
      </w:r>
    </w:p>
    <w:p w:rsidR="00000000" w:rsidDel="00000000" w:rsidP="00000000" w:rsidRDefault="00000000" w:rsidRPr="00000000" w14:paraId="0000001E">
      <w:pPr>
        <w:pStyle w:val="Heading2"/>
        <w:spacing w:line="240" w:lineRule="auto"/>
        <w:rPr>
          <w:rFonts w:ascii="Times New Roman" w:cs="Times New Roman" w:eastAsia="Times New Roman" w:hAnsi="Times New Roman"/>
        </w:rPr>
      </w:pPr>
      <w:bookmarkStart w:colFirst="0" w:colLast="0" w:name="_xmp4fla3n5qe" w:id="5"/>
      <w:bookmarkEnd w:id="5"/>
      <w:r w:rsidDel="00000000" w:rsidR="00000000" w:rsidRPr="00000000">
        <w:rPr>
          <w:rFonts w:ascii="Times New Roman" w:cs="Times New Roman" w:eastAsia="Times New Roman" w:hAnsi="Times New Roman"/>
          <w:rtl w:val="0"/>
        </w:rPr>
        <w:t xml:space="preserve">Baseline model</w:t>
      </w:r>
    </w:p>
    <w:p w:rsidR="00000000" w:rsidDel="00000000" w:rsidP="00000000" w:rsidRDefault="00000000" w:rsidRPr="00000000" w14:paraId="0000001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is conducted using the BERT-base-uncased model. This version of BERT has 12 layers, each with 12 attention heads, resulting in a total of 144 heads to study. We do not modify or fine-tune the model; instead, we look directly at the attention patterns it produces when processing text. By keeping the model in its pre-trained form, we can better understand its general internal behavior rather than task-specific adaptations.</w:t>
      </w:r>
    </w:p>
    <w:p w:rsidR="00000000" w:rsidDel="00000000" w:rsidP="00000000" w:rsidRDefault="00000000" w:rsidRPr="00000000" w14:paraId="00000020">
      <w:pPr>
        <w:pStyle w:val="Heading2"/>
        <w:spacing w:line="240" w:lineRule="auto"/>
        <w:rPr>
          <w:rFonts w:ascii="Times New Roman" w:cs="Times New Roman" w:eastAsia="Times New Roman" w:hAnsi="Times New Roman"/>
        </w:rPr>
      </w:pPr>
      <w:bookmarkStart w:colFirst="0" w:colLast="0" w:name="_7sqx5vr3j2lh" w:id="6"/>
      <w:bookmarkEnd w:id="6"/>
      <w:r w:rsidDel="00000000" w:rsidR="00000000" w:rsidRPr="00000000">
        <w:rPr>
          <w:rFonts w:ascii="Times New Roman" w:cs="Times New Roman" w:eastAsia="Times New Roman" w:hAnsi="Times New Roman"/>
          <w:rtl w:val="0"/>
        </w:rPr>
        <w:t xml:space="preserve">Dataset</w:t>
      </w:r>
    </w:p>
    <w:p w:rsidR="00000000" w:rsidDel="00000000" w:rsidP="00000000" w:rsidRDefault="00000000" w:rsidRPr="00000000" w14:paraId="0000002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employs the Stanford Natural Language Inference (SNLI) dataset. SNLI contains sentence pairs labeled as entailment, contradiction, or neutral. Because SNLI inherently involves reasoning between two sentences–a “premise” and a “hypothesis”–it provides an ideal framework for how attention flows between the models and allows us to observe not only how attention operates within each sentence but also how it flows between them.</w:t>
      </w:r>
    </w:p>
    <w:p w:rsidR="00000000" w:rsidDel="00000000" w:rsidP="00000000" w:rsidRDefault="00000000" w:rsidRPr="00000000" w14:paraId="00000022">
      <w:pPr>
        <w:pStyle w:val="Heading2"/>
        <w:spacing w:line="240" w:lineRule="auto"/>
        <w:rPr>
          <w:rFonts w:ascii="Times New Roman" w:cs="Times New Roman" w:eastAsia="Times New Roman" w:hAnsi="Times New Roman"/>
        </w:rPr>
      </w:pPr>
      <w:bookmarkStart w:colFirst="0" w:colLast="0" w:name="_38c7vnq5mgir" w:id="7"/>
      <w:bookmarkEnd w:id="7"/>
      <w:r w:rsidDel="00000000" w:rsidR="00000000" w:rsidRPr="00000000">
        <w:rPr>
          <w:rFonts w:ascii="Times New Roman" w:cs="Times New Roman" w:eastAsia="Times New Roman" w:hAnsi="Times New Roman"/>
          <w:rtl w:val="0"/>
        </w:rPr>
        <w:t xml:space="preserve">Metrics</w:t>
      </w:r>
      <w:r w:rsidDel="00000000" w:rsidR="00000000" w:rsidRPr="00000000">
        <w:rPr>
          <w:rtl w:val="0"/>
        </w:rPr>
      </w:r>
    </w:p>
    <w:p w:rsidR="00000000" w:rsidDel="00000000" w:rsidP="00000000" w:rsidRDefault="00000000" w:rsidRPr="00000000" w14:paraId="00000023">
      <w:pPr>
        <w:numPr>
          <w:ilvl w:val="0"/>
          <w:numId w:val="4"/>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Global Aggregation Score (CLS)</w:t>
      </w:r>
    </w:p>
    <w:p w:rsidR="00000000" w:rsidDel="00000000" w:rsidP="00000000" w:rsidRDefault="00000000" w:rsidRPr="00000000" w14:paraId="00000024">
      <w:pPr>
        <w:spacing w:line="240" w:lineRule="auto"/>
        <w:jc w:val="center"/>
        <w:rPr>
          <w:rFonts w:ascii="Times New Roman" w:cs="Times New Roman" w:eastAsia="Times New Roman" w:hAnsi="Times New Roman"/>
          <w:sz w:val="30"/>
          <w:szCs w:val="30"/>
        </w:rPr>
      </w:pPr>
      <m:oMath>
        <m:r>
          <w:rPr>
            <w:rFonts w:ascii="Times New Roman" w:cs="Times New Roman" w:eastAsia="Times New Roman" w:hAnsi="Times New Roman"/>
            <w:sz w:val="30"/>
            <w:szCs w:val="30"/>
          </w:rPr>
          <m:t xml:space="preserve">CLS(L,H)=mean attention weight to [CLS]</m:t>
        </m:r>
      </m:oMath>
      <w:r w:rsidDel="00000000" w:rsidR="00000000" w:rsidRPr="00000000">
        <w:rPr>
          <w:rtl w:val="0"/>
        </w:rPr>
      </w:r>
    </w:p>
    <w:p w:rsidR="00000000" w:rsidDel="00000000" w:rsidP="00000000" w:rsidRDefault="00000000" w:rsidRPr="00000000" w14:paraId="0000002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score measures the extent to which tokens attend to the special classification token (CLS). Higher values suggest the head contributes to global sentence-level semantic aggregation. They are typically concentrated in upper levels of the model.</w:t>
      </w:r>
    </w:p>
    <w:p w:rsidR="00000000" w:rsidDel="00000000" w:rsidP="00000000" w:rsidRDefault="00000000" w:rsidRPr="00000000" w14:paraId="00000026">
      <w:pPr>
        <w:numPr>
          <w:ilvl w:val="0"/>
          <w:numId w:val="4"/>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Cardo" w:cs="Cardo" w:eastAsia="Cardo" w:hAnsi="Cardo"/>
          <w:b w:val="1"/>
          <w:bCs w:val="1"/>
          <w:sz w:val="28"/>
          <w:szCs w:val="28"/>
          <w:rtl w:val="0"/>
        </w:rPr>
        <w:t xml:space="preserve">Cross-Sentence Attention Score (A → B)</w:t>
      </w:r>
    </w:p>
    <w:p w:rsidR="00000000" w:rsidDel="00000000" w:rsidP="00000000" w:rsidRDefault="00000000" w:rsidRPr="00000000" w14:paraId="00000027">
      <w:pPr>
        <w:spacing w:line="240" w:lineRule="auto"/>
        <w:jc w:val="center"/>
        <w:rPr>
          <w:rFonts w:ascii="Times New Roman" w:cs="Times New Roman" w:eastAsia="Times New Roman" w:hAnsi="Times New Roman"/>
          <w:sz w:val="30"/>
          <w:szCs w:val="30"/>
        </w:rPr>
      </w:pPr>
      <m:oMath>
        <m:r>
          <w:rPr>
            <w:rFonts w:ascii="Times New Roman" w:cs="Times New Roman" w:eastAsia="Times New Roman" w:hAnsi="Times New Roman"/>
            <w:sz w:val="30"/>
            <w:szCs w:val="30"/>
          </w:rPr>
          <m:t xml:space="preserve">Cross(L,H)=mean attention weight from Sentence A to Sentence B</m:t>
        </m:r>
      </m:oMath>
      <w:r w:rsidDel="00000000" w:rsidR="00000000" w:rsidRPr="00000000">
        <w:rPr>
          <w:rtl w:val="0"/>
        </w:rPr>
      </w:r>
    </w:p>
    <w:p w:rsidR="00000000" w:rsidDel="00000000" w:rsidP="00000000" w:rsidRDefault="00000000" w:rsidRPr="00000000" w14:paraId="0000002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metric quantifies inter-sentence interactions, reflecting how strongly tokens in the premise attend to tokens in the hypothesis. Heads with high cross scores tend to encode entailment or semantic alignment signals, which are particularly relevant in NLI tasks.</w:t>
      </w:r>
    </w:p>
    <w:p w:rsidR="00000000" w:rsidDel="00000000" w:rsidP="00000000" w:rsidRDefault="00000000" w:rsidRPr="00000000" w14:paraId="00000029">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Locality Score</w:t>
      </w:r>
    </w:p>
    <w:p w:rsidR="00000000" w:rsidDel="00000000" w:rsidP="00000000" w:rsidRDefault="00000000" w:rsidRPr="00000000" w14:paraId="0000002A">
      <w:pPr>
        <w:spacing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Local(L,H)=mean attention weight within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k window</m:t>
        </m:r>
      </m:oMath>
      <w:r w:rsidDel="00000000" w:rsidR="00000000" w:rsidRPr="00000000">
        <w:rPr>
          <w:rtl w:val="0"/>
        </w:rPr>
      </w:r>
    </w:p>
    <w:p w:rsidR="00000000" w:rsidDel="00000000" w:rsidP="00000000" w:rsidRDefault="00000000" w:rsidRPr="00000000" w14:paraId="0000002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measures local token-level dependency, often associated with syntactic structure such as subject-verb-object patterns. High locality scores typically occur in lower layers.</w:t>
      </w:r>
    </w:p>
    <w:p w:rsidR="00000000" w:rsidDel="00000000" w:rsidP="00000000" w:rsidRDefault="00000000" w:rsidRPr="00000000" w14:paraId="0000002C">
      <w:pPr>
        <w:pStyle w:val="Heading2"/>
        <w:spacing w:line="240" w:lineRule="auto"/>
        <w:rPr>
          <w:rFonts w:ascii="Times New Roman" w:cs="Times New Roman" w:eastAsia="Times New Roman" w:hAnsi="Times New Roman"/>
        </w:rPr>
      </w:pPr>
      <w:bookmarkStart w:colFirst="0" w:colLast="0" w:name="_3ok94zs5x2yu" w:id="8"/>
      <w:bookmarkEnd w:id="8"/>
      <w:r w:rsidDel="00000000" w:rsidR="00000000" w:rsidRPr="00000000">
        <w:rPr>
          <w:rFonts w:ascii="Times New Roman" w:cs="Times New Roman" w:eastAsia="Times New Roman" w:hAnsi="Times New Roman"/>
          <w:rtl w:val="0"/>
        </w:rPr>
        <w:t xml:space="preserve">Attention Head Clustering for Functional Reduction</w:t>
      </w:r>
    </w:p>
    <w:p w:rsidR="00000000" w:rsidDel="00000000" w:rsidP="00000000" w:rsidRDefault="00000000" w:rsidRPr="00000000" w14:paraId="0000002D">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minimize model redundancy while preserving functional diversity, we perform attention head clustering based on the three metrics defined above: Global Aggregation (CLS), Cross-Sentence Interaction, and Locality. This process groups heads exhibiting similar behavior, allowing us to identify both unique and redundant attention patterns.</w:t>
      </w:r>
    </w:p>
    <w:p w:rsidR="00000000" w:rsidDel="00000000" w:rsidP="00000000" w:rsidRDefault="00000000" w:rsidRPr="00000000" w14:paraId="0000002E">
      <w:pPr>
        <w:pStyle w:val="Heading2"/>
        <w:spacing w:line="240" w:lineRule="auto"/>
        <w:rPr>
          <w:rFonts w:ascii="Times New Roman" w:cs="Times New Roman" w:eastAsia="Times New Roman" w:hAnsi="Times New Roman"/>
        </w:rPr>
      </w:pPr>
      <w:bookmarkStart w:colFirst="0" w:colLast="0" w:name="_bh59xh19280n" w:id="9"/>
      <w:bookmarkEnd w:id="9"/>
      <w:r w:rsidDel="00000000" w:rsidR="00000000" w:rsidRPr="00000000">
        <w:rPr>
          <w:rFonts w:ascii="Times New Roman" w:cs="Times New Roman" w:eastAsia="Times New Roman" w:hAnsi="Times New Roman"/>
          <w:rtl w:val="0"/>
        </w:rPr>
        <w:t xml:space="preserve">Analysis Steps</w:t>
      </w:r>
    </w:p>
    <w:p w:rsidR="00000000" w:rsidDel="00000000" w:rsidP="00000000" w:rsidRDefault="00000000" w:rsidRPr="00000000" w14:paraId="0000002F">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follows a structured pipeline to transform raw attention data to interpretable patterns:Metric Computation: We calculateGlobal Aggregation (CLS), Cross-Sentence Attention, and Locality scores for all144 attention heads (12 layers × 12 heads). These metrics reveal whether a head primarily focuses on sentence-level meaning, inter-sentence relationships, or local syntactic dependencies.</w:t>
      </w:r>
    </w:p>
    <w:p w:rsidR="00000000" w:rsidDel="00000000" w:rsidP="00000000" w:rsidRDefault="00000000" w:rsidRPr="00000000" w14:paraId="00000030">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Label-wise aggregation: Using the SNLI entailment, contradiction, and neutral labels, we analyze how attention patterns vary across reasoning types. With this, we are able to identify heads that specialize in particular semantic relations.</w:t>
      </w:r>
    </w:p>
    <w:p w:rsidR="00000000" w:rsidDel="00000000" w:rsidP="00000000" w:rsidRDefault="00000000" w:rsidRPr="00000000" w14:paraId="00000031">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ranking: We rank attention heads based on their scores to highlight those most influential in each functional category (global meaning, cross-sentence alignment, or local syntax).</w:t>
      </w:r>
    </w:p>
    <w:p w:rsidR="00000000" w:rsidDel="00000000" w:rsidP="00000000" w:rsidRDefault="00000000" w:rsidRPr="00000000" w14:paraId="00000032">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We employ heatmaps and distribution plots to illustrate trends across layers–such as global aggregation emerging in upper layers and syntactic dependencies concentrating in lower layers.</w:t>
      </w:r>
    </w:p>
    <w:p w:rsidR="00000000" w:rsidDel="00000000" w:rsidP="00000000" w:rsidRDefault="00000000" w:rsidRPr="00000000" w14:paraId="00000033">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Finally, we cluster heads with similar functional profiles. This reveals redundancy and provides insights for potential model compression while maintaining interpretive coverage.</w:t>
      </w:r>
    </w:p>
    <w:p w:rsidR="00000000" w:rsidDel="00000000" w:rsidP="00000000" w:rsidRDefault="00000000" w:rsidRPr="00000000" w14:paraId="0000003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process, we establish a quantitative framework for understanding and interpreting how BERT’s attention heads behave, interact, and contribute to language understanding.</w:t>
      </w:r>
    </w:p>
    <w:p w:rsidR="00000000" w:rsidDel="00000000" w:rsidP="00000000" w:rsidRDefault="00000000" w:rsidRPr="00000000" w14:paraId="00000035">
      <w:pPr>
        <w:pStyle w:val="Heading2"/>
        <w:spacing w:line="240" w:lineRule="auto"/>
        <w:rPr>
          <w:rFonts w:ascii="Times New Roman" w:cs="Times New Roman" w:eastAsia="Times New Roman" w:hAnsi="Times New Roman"/>
        </w:rPr>
      </w:pPr>
      <w:bookmarkStart w:colFirst="0" w:colLast="0" w:name="_b35yi4bwr5wd" w:id="10"/>
      <w:bookmarkEnd w:id="10"/>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3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for this research moves beyond visualizing where attention focuses–to understanding what those patterns mean. By defining quantitative, interpretable metrics (Global Aggregation, Cross-Sentence Interaction, and Locality) we have provided a structured way to analyze how individual attention heads function across layers of a transformer model.</w:t>
      </w:r>
    </w:p>
    <w:p w:rsidR="00000000" w:rsidDel="00000000" w:rsidP="00000000" w:rsidRDefault="00000000" w:rsidRPr="00000000" w14:paraId="0000003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our research is still in its early stages, we can see the trends developing: lower layers tend to capture local syntactic relationships, while upper layers aggregate global meaning. Attention head clustering might further reveal redundancy, which would offer insights into how models might be simplified without losing interpretability..</w:t>
      </w:r>
    </w:p>
    <w:p w:rsidR="00000000" w:rsidDel="00000000" w:rsidP="00000000" w:rsidRDefault="00000000" w:rsidRPr="00000000" w14:paraId="00000038">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Overall, we believe this framework can help bridge the gap between performance and interpretability. Understanding what attention heads represent strengthens trust and transparency in LLMS and provides a foundation for developing safer systems.</w:t>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