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Евростекло — уточнение процесса</w:t>
      </w:r>
    </w:p>
    <w:p>
      <w:r>
        <w:t>Ответьте на каждый подпункт. Если в пункте изложено правило и оно целиком верно, напишите «Подтверждаю»; если нет — исправьте его. В открытых вопросах укажите конкретные действия, ответственных, условия или сроки: одного «да» недостаточно. Если информации нет, так и напишите. Пустой ответ не означает согласия. Ответы уточняют требования к процессу; они не являются разрешением на разработку ТЗ или настройку системы.</w:t>
      </w:r>
    </w:p>
    <w:p>
      <w:pPr>
        <w:pStyle w:val="Heading1"/>
      </w:pPr>
      <w:r>
        <w:t>Лиды и каналы обращений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5216"/>
        <w:gridCol w:w="4422"/>
      </w:tblGrid>
      <w:tr>
        <w:trPr>
          <w:tblHeader/>
        </w:trPr>
        <w:tc>
          <w:tcPr>
            <w:tcW w:type="dxa" w:w="454"/>
            <w:vAlign w:val="center"/>
            <w:shd w:fill="F2F2F2"/>
          </w:tcPr>
          <w:p>
            <w:r>
              <w:rPr>
                <w:b/>
              </w:rPr>
              <w:t>№</w:t>
            </w:r>
          </w:p>
        </w:tc>
        <w:tc>
          <w:tcPr>
            <w:tcW w:type="dxa" w:w="5216"/>
            <w:vAlign w:val="center"/>
            <w:shd w:fill="F2F2F2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4422"/>
            <w:vAlign w:val="center"/>
            <w:shd w:fill="F2F2F2"/>
          </w:tcPr>
          <w:p>
            <w:r>
              <w:rPr>
                <w:b/>
              </w:rPr>
              <w:t>Ответ клиента</w:t>
            </w:r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1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Каналы</w:t>
            </w:r>
          </w:p>
          <w:p>
            <w:r>
              <w:rPr>
                <w:b w:val="0"/>
              </w:rPr>
              <w:t>Какие мессенджеры включаем в текущий процесс?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2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Рекомендации</w:t>
            </w:r>
          </w:p>
          <w:p>
            <w:r>
              <w:rPr>
                <w:b w:val="0"/>
              </w:rPr>
              <w:t>Кто отвечает за обращения с почты рекомендаций? Кто передаёт их менеджеру?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3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Работа с лидом</w:t>
            </w:r>
          </w:p>
          <w:p>
            <w:r>
              <w:rPr>
                <w:b w:val="0"/>
              </w:rPr>
              <w:t>При каком событии менеджеру нужна отдельная задача по лиду? Когда достаточно самого обращения?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4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Срок реакции</w:t>
            </w:r>
          </w:p>
          <w:p>
            <w:r>
              <w:rPr>
                <w:b w:val="0"/>
              </w:rPr>
              <w:t>Для обратного звонка ориентир — примерно 15 минут в рабочее время. Ниже уточняем начало и окончание обработки остальных обращений.</w:t>
            </w:r>
          </w:p>
          <w:p>
            <w:r>
              <w:rPr>
                <w:b w:val="0"/>
              </w:rPr>
              <w:t>Какое действие по письму или сообщению считается началом обработки обращения?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5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Передача лида</w:t>
            </w:r>
          </w:p>
          <w:p>
            <w:r>
              <w:rPr>
                <w:b w:val="0"/>
              </w:rPr>
              <w:t>Кто обязан передать просроченное обращение другому менеджеру?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6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Источники</w:t>
            </w:r>
          </w:p>
          <w:p>
            <w:r>
              <w:rPr>
                <w:b w:val="0"/>
              </w:rPr>
              <w:t>Как называем источник обращения с почты сайта в отчётности?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7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Статусы лида</w:t>
            </w:r>
          </w:p>
          <w:p>
            <w:r>
              <w:rPr>
                <w:b w:val="0"/>
              </w:rPr>
              <w:t>Укажите окончательные названия статусов лида и принятые переходы между ними.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8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Нет связи</w:t>
            </w:r>
          </w:p>
          <w:p>
            <w:r>
              <w:rPr>
                <w:b w:val="0"/>
              </w:rPr>
              <w:t>Если клиент не отвечает, сколько времени нужно ждать до завершения работы с лидом? Сколько попыток связи нужно сделать?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9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Отказ в лидах</w:t>
            </w:r>
          </w:p>
          <w:p>
            <w:r>
              <w:rPr>
                <w:b w:val="0"/>
              </w:rPr>
              <w:t>Какие причины завершения работы с живым потенциальным клиентом фиксируем сейчас в лиде?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10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Повторное обращение</w:t>
            </w:r>
          </w:p>
          <w:p>
            <w:r>
              <w:rPr>
                <w:b w:val="0"/>
              </w:rPr>
              <w:t>Если ранее отказавшийся клиент возвращается с новым обращением, создаём лид или сразу сделку?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</w:tbl>
    <w:p>
      <w:pPr>
        <w:spacing w:after="40"/>
      </w:pPr>
    </w:p>
    <w:p>
      <w:pPr>
        <w:pStyle w:val="Heading1"/>
      </w:pPr>
      <w:r>
        <w:t>Сделки, доставка и обратная связь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5216"/>
        <w:gridCol w:w="4422"/>
      </w:tblGrid>
      <w:tr>
        <w:trPr>
          <w:tblHeader/>
        </w:trPr>
        <w:tc>
          <w:tcPr>
            <w:tcW w:type="dxa" w:w="454"/>
            <w:vAlign w:val="center"/>
            <w:shd w:fill="F2F2F2"/>
          </w:tcPr>
          <w:p>
            <w:r>
              <w:rPr>
                <w:b/>
              </w:rPr>
              <w:t>№</w:t>
            </w:r>
          </w:p>
        </w:tc>
        <w:tc>
          <w:tcPr>
            <w:tcW w:type="dxa" w:w="5216"/>
            <w:vAlign w:val="center"/>
            <w:shd w:fill="F2F2F2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4422"/>
            <w:vAlign w:val="center"/>
            <w:shd w:fill="F2F2F2"/>
          </w:tcPr>
          <w:p>
            <w:r>
              <w:rPr>
                <w:b/>
              </w:rPr>
              <w:t>Ответ клиента</w:t>
            </w:r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11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Ожидание расчёта</w:t>
            </w:r>
          </w:p>
          <w:p>
            <w:r>
              <w:rPr>
                <w:b w:val="0"/>
              </w:rPr>
              <w:t>Через какой срок ожидания ответа клиента по расчёту нужно уведомить менеджера или руководителя?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12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Оплачено без скана</w:t>
            </w:r>
          </w:p>
          <w:p>
            <w:r>
              <w:rPr>
                <w:b w:val="0"/>
              </w:rPr>
              <w:t>Где ожидает оплаченная сделка, пока не получен скан подписанного договора? Кто отвечает за устранение этой задержки?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13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Товар на складе</w:t>
            </w:r>
          </w:p>
          <w:p>
            <w:r>
              <w:rPr>
                <w:b w:val="0"/>
              </w:rPr>
              <w:t>Если нужное изделие или товар уже есть на складе, как проходит заказ? Какие действия производства пропускаются? Какие действия закупки пропускаются?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14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Закрывающие документы</w:t>
            </w:r>
          </w:p>
          <w:p>
            <w:r>
              <w:rPr>
                <w:b w:val="0"/>
              </w:rPr>
              <w:t>Опишите порядок передачи подписанных документов после доставки: от водителя до прикрепления к сделке. Для каждого действия укажите ответственного.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15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Доставка</w:t>
            </w:r>
          </w:p>
          <w:p>
            <w:r>
              <w:rPr>
                <w:b w:val="0"/>
              </w:rPr>
              <w:t>Кто отвечает за фиксацию факта доставки в сделке?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16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Обратная связь</w:t>
            </w:r>
          </w:p>
          <w:p>
            <w:r>
              <w:rPr>
                <w:b w:val="0"/>
              </w:rPr>
              <w:t>От какого события считаем сроки звонков после заказа без монтажа?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17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Обратная связь</w:t>
            </w:r>
          </w:p>
          <w:p>
            <w:r>
              <w:rPr>
                <w:b w:val="0"/>
              </w:rPr>
              <w:t>После завершения каких заказов обязателен звонок: всех или только заказов от определённой суммы? Если действует денежный порог, укажите его.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18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Отказ в сделках</w:t>
            </w:r>
          </w:p>
          <w:p>
            <w:r>
              <w:rPr>
                <w:b w:val="0"/>
              </w:rPr>
              <w:t>Какие причины отказа до оплаты фиксируем в текущей сделке?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</w:tbl>
    <w:p>
      <w:pPr>
        <w:spacing w:after="40"/>
      </w:pPr>
    </w:p>
    <w:p>
      <w:pPr>
        <w:pStyle w:val="Heading1"/>
      </w:pPr>
      <w:r>
        <w:t>Замер и расчёт цены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5216"/>
        <w:gridCol w:w="4422"/>
      </w:tblGrid>
      <w:tr>
        <w:trPr>
          <w:tblHeader/>
        </w:trPr>
        <w:tc>
          <w:tcPr>
            <w:tcW w:type="dxa" w:w="454"/>
            <w:vAlign w:val="center"/>
            <w:shd w:fill="F2F2F2"/>
          </w:tcPr>
          <w:p>
            <w:r>
              <w:rPr>
                <w:b/>
              </w:rPr>
              <w:t>№</w:t>
            </w:r>
          </w:p>
        </w:tc>
        <w:tc>
          <w:tcPr>
            <w:tcW w:type="dxa" w:w="5216"/>
            <w:vAlign w:val="center"/>
            <w:shd w:fill="F2F2F2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4422"/>
            <w:vAlign w:val="center"/>
            <w:shd w:fill="F2F2F2"/>
          </w:tcPr>
          <w:p>
            <w:r>
              <w:rPr>
                <w:b/>
              </w:rPr>
              <w:t>Ответ клиента</w:t>
            </w:r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19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Оплата замера</w:t>
            </w:r>
          </w:p>
          <w:p>
            <w:r>
              <w:rPr>
                <w:b w:val="0"/>
              </w:rPr>
              <w:t>Укажите действующее правило оплаты первичного замера: платный он или бесплатный? Если платный, когда его оплачивают? Зачитывается ли оплата замера в стоимость заказа?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20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Оплата замера</w:t>
            </w:r>
          </w:p>
          <w:p>
            <w:r>
              <w:rPr>
                <w:b w:val="0"/>
              </w:rPr>
              <w:t>Заполните этот пункт, только если по ответу на пункт 19 разрешены бесплатные исключения. Кто вправе разрешить бесплатный замер? Если такие исключения не разрешены, укажите «Не применяется».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21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Повторный замер</w:t>
            </w:r>
          </w:p>
          <w:p>
            <w:r>
              <w:rPr>
                <w:b w:val="0"/>
              </w:rPr>
              <w:t>В каких случаях назначается повторный замер? Кто принимает это решение?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22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Расчёт цены</w:t>
            </w:r>
          </w:p>
          <w:p>
            <w:r>
              <w:rPr>
                <w:b w:val="0"/>
              </w:rPr>
              <w:t>Применяются ли сейчас понижающие коэффициенты? Если да, укажите действующее правило и кто разрешает их применение.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</w:tbl>
    <w:p>
      <w:pPr>
        <w:spacing w:after="40"/>
      </w:pPr>
    </w:p>
    <w:p>
      <w:pPr>
        <w:pStyle w:val="Heading1"/>
      </w:pPr>
      <w:r>
        <w:t>Документы и оплата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5216"/>
        <w:gridCol w:w="4422"/>
      </w:tblGrid>
      <w:tr>
        <w:trPr>
          <w:tblHeader/>
        </w:trPr>
        <w:tc>
          <w:tcPr>
            <w:tcW w:type="dxa" w:w="454"/>
            <w:vAlign w:val="center"/>
            <w:shd w:fill="F2F2F2"/>
          </w:tcPr>
          <w:p>
            <w:r>
              <w:rPr>
                <w:b/>
              </w:rPr>
              <w:t>№</w:t>
            </w:r>
          </w:p>
        </w:tc>
        <w:tc>
          <w:tcPr>
            <w:tcW w:type="dxa" w:w="5216"/>
            <w:vAlign w:val="center"/>
            <w:shd w:fill="F2F2F2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4422"/>
            <w:vAlign w:val="center"/>
            <w:shd w:fill="F2F2F2"/>
          </w:tcPr>
          <w:p>
            <w:r>
              <w:rPr>
                <w:b/>
              </w:rPr>
              <w:t>Ответ клиента</w:t>
            </w:r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23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Документы</w:t>
            </w:r>
          </w:p>
          <w:p>
            <w:r>
              <w:rPr>
                <w:b w:val="0"/>
              </w:rPr>
              <w:t>Что означает «ПР» в ваших материалах? Укажите документ или пример.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24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Документы</w:t>
            </w:r>
          </w:p>
          <w:p>
            <w:r>
              <w:rPr>
                <w:b w:val="0"/>
              </w:rPr>
              <w:t>Что означает «ПСР» в ваших материалах? Укажите документ или пример.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25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Плательщик</w:t>
            </w:r>
          </w:p>
          <w:p>
            <w:r>
              <w:rPr>
                <w:b w:val="0"/>
              </w:rPr>
              <w:t>Если плательщик и заказчик — разные организации, кто указан заказчиком в договоре? Кому выставляют счёт?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26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Переплата</w:t>
            </w:r>
          </w:p>
          <w:p>
            <w:r>
              <w:rPr>
                <w:b w:val="0"/>
              </w:rPr>
              <w:t>Кто принимает решение о переплате? Как её урегулируют с клиентом?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</w:tbl>
    <w:p>
      <w:pPr>
        <w:spacing w:after="40"/>
      </w:pPr>
    </w:p>
    <w:p>
      <w:pPr>
        <w:pStyle w:val="Heading1"/>
      </w:pPr>
      <w:r>
        <w:t>Карточки и создание лида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5216"/>
        <w:gridCol w:w="4422"/>
      </w:tblGrid>
      <w:tr>
        <w:trPr>
          <w:tblHeader/>
        </w:trPr>
        <w:tc>
          <w:tcPr>
            <w:tcW w:type="dxa" w:w="454"/>
            <w:vAlign w:val="center"/>
            <w:shd w:fill="F2F2F2"/>
          </w:tcPr>
          <w:p>
            <w:r>
              <w:rPr>
                <w:b/>
              </w:rPr>
              <w:t>№</w:t>
            </w:r>
          </w:p>
        </w:tc>
        <w:tc>
          <w:tcPr>
            <w:tcW w:type="dxa" w:w="5216"/>
            <w:vAlign w:val="center"/>
            <w:shd w:fill="F2F2F2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4422"/>
            <w:vAlign w:val="center"/>
            <w:shd w:fill="F2F2F2"/>
          </w:tcPr>
          <w:p>
            <w:r>
              <w:rPr>
                <w:b/>
              </w:rPr>
              <w:t>Ответ клиента</w:t>
            </w:r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27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Структура карточек</w:t>
            </w:r>
          </w:p>
          <w:p>
            <w:r>
              <w:rPr>
                <w:b w:val="0"/>
              </w:rPr>
              <w:t>Сначала используем уже переданную интегратору структуру карточек лида и клиента: укажите этот документ, повторно отправлять его не нужно. Если документ ещё не передан, предоставьте обещанную структуру с обязательными полями для перевода лида в сделку.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  <w:tr>
        <w:trPr>
          <w:trHeight w:val="935" w:hRule="atLeast"/>
          <w:cantSplit/>
        </w:trPr>
        <w:tc>
          <w:tcPr>
            <w:tcW w:type="dxa" w:w="454"/>
            <w:vAlign w:val="top"/>
          </w:tcPr>
          <w:p>
            <w:r>
              <w:t>28</w:t>
            </w:r>
          </w:p>
        </w:tc>
        <w:tc>
          <w:tcPr>
            <w:tcW w:type="dxa" w:w="5216"/>
            <w:vAlign w:val="top"/>
          </w:tcPr>
          <w:p>
            <w:r>
              <w:rPr>
                <w:b/>
              </w:rPr>
              <w:t>Создание лида</w:t>
            </w:r>
          </w:p>
          <w:p>
            <w:r>
              <w:rPr>
                <w:b w:val="0"/>
              </w:rPr>
              <w:t>Укажите правило создания лида отдельно для звонков, писем и обращений с сайта: он должен появляться сразу автоматически или после ручного ввода менеджером?</w:t>
            </w:r>
          </w:p>
        </w:tc>
        <w:tc>
          <w:tcPr>
            <w:tcW w:type="dxa" w:w="4422"/>
            <w:vAlign w:val="top"/>
          </w:tcPr>
          <w:p>
            <w:r/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Евростекло — уточнение процесса</dc:title>
  <dc:subject>Уточнение порядка работы. Вопросы и ответы клиента.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