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32238"/>
          <w:sz w:val="60"/>
        </w:rPr>
        <w:t>EVENT INDUSTRY CRM</w:t>
      </w:r>
    </w:p>
    <w:p>
      <w:pPr>
        <w:jc w:val="center"/>
      </w:pPr>
      <w:r>
        <w:rPr>
          <w:color w:val="00A6A6"/>
          <w:sz w:val="36"/>
        </w:rPr>
        <w:t>Product Requirements Document</w:t>
      </w:r>
    </w:p>
    <w:p>
      <w:pPr>
        <w:jc w:val="center"/>
      </w:pPr>
      <w:r>
        <w:rPr>
          <w:color w:val="465467"/>
          <w:sz w:val="22"/>
        </w:rPr>
        <w:t>UK-first multi-tenant CRM + private workspace + industry network</w:t>
      </w:r>
    </w:p>
    <w:p>
      <w:pPr>
        <w:spacing w:after="40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32238"/>
          </w:tcPr>
          <w:p>
            <w:r/>
            <w:r>
              <w:rPr>
                <w:rFonts w:ascii="Aptos" w:hAnsi="Aptos"/>
                <w:b/>
                <w:color w:val="FFFFFF"/>
                <w:sz w:val="17"/>
              </w:rPr>
              <w:t>Document status</w:t>
            </w:r>
          </w:p>
        </w:tc>
        <w:tc>
          <w:tcPr>
            <w:tcW w:type="dxa" w:w="4968"/>
            <w:vAlign w:val="center"/>
          </w:tcPr>
          <w:p>
            <w:r/>
            <w:r>
              <w:rPr>
                <w:rFonts w:ascii="Aptos" w:hAnsi="Aptos"/>
                <w:b w:val="0"/>
                <w:color w:val="18212F"/>
                <w:sz w:val="17"/>
              </w:rPr>
              <w:t>Product definition / implementation baseline</w:t>
            </w:r>
          </w:p>
        </w:tc>
      </w:tr>
      <w:tr>
        <w:tc>
          <w:tcPr>
            <w:tcW w:type="dxa" w:w="4968"/>
            <w:vAlign w:val="center"/>
            <w:shd w:fill="132238"/>
          </w:tcPr>
          <w:p>
            <w:r/>
            <w:r>
              <w:rPr>
                <w:rFonts w:ascii="Aptos" w:hAnsi="Aptos"/>
                <w:b/>
                <w:color w:val="FFFFFF"/>
                <w:sz w:val="17"/>
              </w:rPr>
              <w:t>Audience</w:t>
            </w:r>
          </w:p>
        </w:tc>
        <w:tc>
          <w:tcPr>
            <w:tcW w:type="dxa" w:w="4968"/>
            <w:vAlign w:val="center"/>
          </w:tcPr>
          <w:p>
            <w:r/>
            <w:r>
              <w:rPr>
                <w:rFonts w:ascii="Aptos" w:hAnsi="Aptos"/>
                <w:b w:val="0"/>
                <w:color w:val="18212F"/>
                <w:sz w:val="17"/>
              </w:rPr>
              <w:t>Founders, product, design, engineering, security, legal</w:t>
            </w:r>
          </w:p>
        </w:tc>
      </w:tr>
      <w:tr>
        <w:tc>
          <w:tcPr>
            <w:tcW w:type="dxa" w:w="4968"/>
            <w:vAlign w:val="center"/>
            <w:shd w:fill="132238"/>
          </w:tcPr>
          <w:p>
            <w:r/>
            <w:r>
              <w:rPr>
                <w:rFonts w:ascii="Aptos" w:hAnsi="Aptos"/>
                <w:b/>
                <w:color w:val="FFFFFF"/>
                <w:sz w:val="17"/>
              </w:rPr>
              <w:t>Initial market</w:t>
            </w:r>
          </w:p>
        </w:tc>
        <w:tc>
          <w:tcPr>
            <w:tcW w:type="dxa" w:w="4968"/>
            <w:vAlign w:val="center"/>
          </w:tcPr>
          <w:p>
            <w:r/>
            <w:r>
              <w:rPr>
                <w:rFonts w:ascii="Aptos" w:hAnsi="Aptos"/>
                <w:b w:val="0"/>
                <w:color w:val="18212F"/>
                <w:sz w:val="17"/>
              </w:rPr>
              <w:t>United Kingdom</w:t>
            </w:r>
          </w:p>
        </w:tc>
      </w:tr>
      <w:tr>
        <w:tc>
          <w:tcPr>
            <w:tcW w:type="dxa" w:w="4968"/>
            <w:vAlign w:val="center"/>
            <w:shd w:fill="132238"/>
          </w:tcPr>
          <w:p>
            <w:r/>
            <w:r>
              <w:rPr>
                <w:rFonts w:ascii="Aptos" w:hAnsi="Aptos"/>
                <w:b/>
                <w:color w:val="FFFFFF"/>
                <w:sz w:val="17"/>
              </w:rPr>
              <w:t>Backend</w:t>
            </w:r>
          </w:p>
        </w:tc>
        <w:tc>
          <w:tcPr>
            <w:tcW w:type="dxa" w:w="4968"/>
            <w:vAlign w:val="center"/>
          </w:tcPr>
          <w:p>
            <w:r/>
            <w:r>
              <w:rPr>
                <w:rFonts w:ascii="Aptos" w:hAnsi="Aptos"/>
                <w:b w:val="0"/>
                <w:color w:val="18212F"/>
                <w:sz w:val="17"/>
              </w:rPr>
              <w:t>Supabase / PostgreSQL / Supabase Auth / Storage</w:t>
            </w:r>
          </w:p>
        </w:tc>
      </w:tr>
      <w:tr>
        <w:tc>
          <w:tcPr>
            <w:tcW w:type="dxa" w:w="4968"/>
            <w:vAlign w:val="center"/>
            <w:shd w:fill="132238"/>
          </w:tcPr>
          <w:p>
            <w:r/>
            <w:r>
              <w:rPr>
                <w:rFonts w:ascii="Aptos" w:hAnsi="Aptos"/>
                <w:b/>
                <w:color w:val="FFFFFF"/>
                <w:sz w:val="17"/>
              </w:rPr>
              <w:t>Design approach</w:t>
            </w:r>
          </w:p>
        </w:tc>
        <w:tc>
          <w:tcPr>
            <w:tcW w:type="dxa" w:w="4968"/>
            <w:vAlign w:val="center"/>
          </w:tcPr>
          <w:p>
            <w:r/>
            <w:r>
              <w:rPr>
                <w:rFonts w:ascii="Aptos" w:hAnsi="Aptos"/>
                <w:b w:val="0"/>
                <w:color w:val="18212F"/>
                <w:sz w:val="17"/>
              </w:rPr>
              <w:t>Bespoke UI/UX using UI/UX Pro Max and suitable Claude skills</w:t>
            </w:r>
          </w:p>
        </w:tc>
      </w:tr>
    </w:tbl>
    <w:p/>
    <w:tbl>
      <w:tblPr>
        <w:tblStyle w:val="TableGrid"/>
        <w:tblW w:type="auto" w:w="0"/>
        <w:tblLook w:firstColumn="1" w:firstRow="1" w:lastColumn="0" w:lastRow="0" w:noHBand="0" w:noVBand="1" w:val="04A0"/>
      </w:tblPr>
      <w:tblGrid>
        <w:gridCol w:w="9936"/>
      </w:tblGrid>
      <w:tr>
        <w:tc>
          <w:tcPr>
            <w:tcW w:type="dxa" w:w="9936"/>
            <w:shd w:fill="E9F8F8"/>
          </w:tcPr>
          <w:p>
            <w:r/>
            <w:r>
              <w:rPr>
                <w:b/>
                <w:color w:val="00A6A6"/>
                <w:sz w:val="20"/>
              </w:rPr>
              <w:t>Important</w:t>
            </w:r>
            <w:r>
              <w:rPr>
                <w:sz w:val="18"/>
              </w:rPr>
              <w:t xml:space="preserve">  This PRD specifies product and engineering requirements. Legal documents and compliance decisions must be reviewed and approved by qualified UK legal/privacy counsel before launch.</w:t>
            </w:r>
          </w:p>
        </w:tc>
      </w:tr>
    </w:tbl>
    <w:p>
      <w:pPr>
        <w:spacing w:after="40"/>
      </w:pPr>
    </w:p>
    <w:p>
      <w:r>
        <w:br w:type="page"/>
      </w:r>
    </w:p>
    <w:p>
      <w:pPr>
        <w:pStyle w:val="Heading1"/>
        <w:spacing w:after="100"/>
      </w:pPr>
      <w:r>
        <w:t>Table of contents</w:t>
      </w:r>
    </w:p>
    <w:p>
      <w:pPr>
        <w:pStyle w:val="ListBullet"/>
        <w:spacing w:after="40"/>
      </w:pPr>
      <w:r>
        <w:t>1. Product vision and goals</w:t>
      </w:r>
    </w:p>
    <w:p>
      <w:pPr>
        <w:pStyle w:val="ListBullet"/>
        <w:spacing w:after="40"/>
      </w:pPr>
      <w:r>
        <w:t>2. Personas and user types</w:t>
      </w:r>
    </w:p>
    <w:p>
      <w:pPr>
        <w:pStyle w:val="ListBullet"/>
        <w:spacing w:after="40"/>
      </w:pPr>
      <w:r>
        <w:t>3. Product principles</w:t>
      </w:r>
    </w:p>
    <w:p>
      <w:pPr>
        <w:pStyle w:val="ListBullet"/>
        <w:spacing w:after="40"/>
      </w:pPr>
      <w:r>
        <w:t>4. Scope and release strategy</w:t>
      </w:r>
    </w:p>
    <w:p>
      <w:pPr>
        <w:pStyle w:val="ListBullet"/>
        <w:spacing w:after="40"/>
      </w:pPr>
      <w:r>
        <w:t>5. Information architecture and core entities</w:t>
      </w:r>
    </w:p>
    <w:p>
      <w:pPr>
        <w:pStyle w:val="ListBullet"/>
        <w:spacing w:after="40"/>
      </w:pPr>
      <w:r>
        <w:t>6. Functional requirements</w:t>
      </w:r>
    </w:p>
    <w:p>
      <w:pPr>
        <w:pStyle w:val="ListBullet"/>
        <w:spacing w:after="40"/>
      </w:pPr>
      <w:r>
        <w:t>7. Industry network model</w:t>
      </w:r>
    </w:p>
    <w:p>
      <w:pPr>
        <w:pStyle w:val="ListBullet"/>
        <w:spacing w:after="40"/>
      </w:pPr>
      <w:r>
        <w:t>8. Roles, permissions and subscriptions</w:t>
      </w:r>
    </w:p>
    <w:p>
      <w:pPr>
        <w:pStyle w:val="ListBullet"/>
        <w:spacing w:after="40"/>
      </w:pPr>
      <w:r>
        <w:t>9. UI/UX requirements</w:t>
      </w:r>
    </w:p>
    <w:p>
      <w:pPr>
        <w:pStyle w:val="ListBullet"/>
        <w:spacing w:after="40"/>
      </w:pPr>
      <w:r>
        <w:t>10. Security architecture and controls</w:t>
      </w:r>
    </w:p>
    <w:p>
      <w:pPr>
        <w:pStyle w:val="ListBullet"/>
        <w:spacing w:after="40"/>
      </w:pPr>
      <w:r>
        <w:t>11. Data model and Supabase requirements</w:t>
      </w:r>
    </w:p>
    <w:p>
      <w:pPr>
        <w:pStyle w:val="ListBullet"/>
        <w:spacing w:after="40"/>
      </w:pPr>
      <w:r>
        <w:t>12. Privacy, legal and compliance</w:t>
      </w:r>
    </w:p>
    <w:p>
      <w:pPr>
        <w:pStyle w:val="ListBullet"/>
        <w:spacing w:after="40"/>
      </w:pPr>
      <w:r>
        <w:t>13. Integrations</w:t>
      </w:r>
    </w:p>
    <w:p>
      <w:pPr>
        <w:pStyle w:val="ListBullet"/>
        <w:spacing w:after="40"/>
      </w:pPr>
      <w:r>
        <w:t>14. Non-functional requirements</w:t>
      </w:r>
    </w:p>
    <w:p>
      <w:pPr>
        <w:pStyle w:val="ListBullet"/>
        <w:spacing w:after="40"/>
      </w:pPr>
      <w:r>
        <w:t>15. Analytics and auditability</w:t>
      </w:r>
    </w:p>
    <w:p>
      <w:pPr>
        <w:pStyle w:val="ListBullet"/>
        <w:spacing w:after="40"/>
      </w:pPr>
      <w:r>
        <w:t>16. Testing and quality gates</w:t>
      </w:r>
    </w:p>
    <w:p>
      <w:pPr>
        <w:pStyle w:val="ListBullet"/>
        <w:spacing w:after="40"/>
      </w:pPr>
      <w:r>
        <w:t>17. Delivery plan</w:t>
      </w:r>
    </w:p>
    <w:p>
      <w:pPr>
        <w:pStyle w:val="ListBullet"/>
        <w:spacing w:after="40"/>
      </w:pPr>
      <w:r>
        <w:t>18. Risks and open decisions</w:t>
      </w:r>
    </w:p>
    <w:p>
      <w:pPr>
        <w:pStyle w:val="ListBullet"/>
        <w:spacing w:after="40"/>
      </w:pPr>
      <w:r>
        <w:t>19. Success metrics</w:t>
      </w:r>
    </w:p>
    <w:p>
      <w:pPr>
        <w:pStyle w:val="ListBullet"/>
        <w:spacing w:after="40"/>
      </w:pPr>
      <w:r>
        <w:t>20. Reference sources</w:t>
      </w:r>
    </w:p>
    <w:p>
      <w:r>
        <w:br w:type="page"/>
      </w:r>
    </w:p>
    <w:p>
      <w:pPr>
        <w:pStyle w:val="Heading1"/>
        <w:spacing w:after="100"/>
      </w:pPr>
      <w:r>
        <w:t>1. Product vision and goals</w:t>
      </w:r>
    </w:p>
    <w:p>
      <w:pPr>
        <w:spacing w:after="100"/>
      </w:pPr>
      <w:r>
        <w:t>Build a modern, bespoke, secure UK-first web application for the events ecosystem: promoters, venues, booking agents, DJs/artists and optionally suppliers. The platform combines a private company CRM with a controlled industry network so each business keeps its own operational data while being able to discover and connect with relevant industry entities.</w:t>
      </w:r>
    </w:p>
    <w:p>
      <w:pPr>
        <w:spacing w:after="100"/>
      </w:pPr>
      <w:r>
        <w:t>The product should feel purpose-built for live events rather than like a re-skinned generic sales CRM. Its core workflow is the movement from relationship → enquiry/hold → booking/event → delivery → settlement/history, with rich context available at every step.</w:t>
      </w:r>
    </w:p>
    <w:tbl>
      <w:tblPr>
        <w:tblStyle w:val="TableGrid"/>
        <w:tblW w:type="auto" w:w="0"/>
        <w:tblLook w:firstColumn="1" w:firstRow="1" w:lastColumn="0" w:lastRow="0" w:noHBand="0" w:noVBand="1" w:val="04A0"/>
      </w:tblPr>
      <w:tblGrid>
        <w:gridCol w:w="9936"/>
      </w:tblGrid>
      <w:tr>
        <w:tc>
          <w:tcPr>
            <w:tcW w:type="dxa" w:w="9936"/>
            <w:shd w:fill="E9F8F8"/>
          </w:tcPr>
          <w:p>
            <w:r/>
            <w:r>
              <w:rPr>
                <w:b/>
                <w:color w:val="00A6A6"/>
                <w:sz w:val="20"/>
              </w:rPr>
              <w:t>North-star outcome</w:t>
            </w:r>
            <w:r>
              <w:rPr>
                <w:sz w:val="18"/>
              </w:rPr>
              <w:t xml:space="preserve">  A promoter, venue, agent or DJ should be able to understand who they work with, what is happening, what is owed, what has happened before, and what needs doing next without searching across spreadsheets, email, WhatsApp, calendars and cloud drives.</w:t>
            </w:r>
          </w:p>
        </w:tc>
      </w:tr>
    </w:tbl>
    <w:p>
      <w:pPr>
        <w:spacing w:after="40"/>
      </w:pPr>
    </w:p>
    <w:p>
      <w:pPr>
        <w:pStyle w:val="Heading2"/>
        <w:spacing w:after="100"/>
      </w:pPr>
      <w:r>
        <w:t>Goals</w:t>
      </w:r>
    </w:p>
    <w:p>
      <w:pPr>
        <w:pStyle w:val="ListBullet"/>
        <w:spacing w:after="40"/>
      </w:pPr>
      <w:r>
        <w:t>Centralise people, companies, artists, venues, events, deals, tasks, meetings, notes, emails, documents and finance.</w:t>
      </w:r>
    </w:p>
    <w:p>
      <w:pPr>
        <w:pStyle w:val="ListBullet"/>
        <w:spacing w:after="40"/>
      </w:pPr>
      <w:r>
        <w:t>Preserve strict tenant isolation while enabling a privacy-aware industry network.</w:t>
      </w:r>
    </w:p>
    <w:p>
      <w:pPr>
        <w:pStyle w:val="ListBullet"/>
        <w:spacing w:after="40"/>
      </w:pPr>
      <w:r>
        <w:t>Make auditability and security first-class rather than post-launch additions.</w:t>
      </w:r>
    </w:p>
    <w:p>
      <w:pPr>
        <w:pStyle w:val="ListBullet"/>
        <w:spacing w:after="40"/>
      </w:pPr>
      <w:r>
        <w:t>Enable highly configurable permissions, custom fields and subscription-based entitlements.</w:t>
      </w:r>
    </w:p>
    <w:p>
      <w:pPr>
        <w:pStyle w:val="ListBullet"/>
        <w:spacing w:after="40"/>
      </w:pPr>
      <w:r>
        <w:t>Create a premium bespoke UX with strong information density, speed and clarity.</w:t>
      </w:r>
    </w:p>
    <w:p>
      <w:pPr>
        <w:pStyle w:val="ListBullet"/>
        <w:spacing w:after="40"/>
      </w:pPr>
      <w:r>
        <w:t>Launch as a UK-first web app with international currencies and territories architecturally possible later.</w:t>
      </w:r>
    </w:p>
    <w:p>
      <w:pPr>
        <w:pStyle w:val="Heading1"/>
        <w:spacing w:after="100"/>
      </w:pPr>
      <w:r>
        <w:t>2. Personas and user types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32238"/>
          </w:tcPr>
          <w:p>
            <w:r/>
            <w:r>
              <w:rPr>
                <w:rFonts w:ascii="Aptos" w:hAnsi="Aptos"/>
                <w:b/>
                <w:color w:val="FFFFFF"/>
                <w:sz w:val="17"/>
              </w:rPr>
              <w:t>Persona</w:t>
            </w:r>
          </w:p>
        </w:tc>
        <w:tc>
          <w:tcPr>
            <w:tcW w:type="dxa" w:w="3312"/>
            <w:vAlign w:val="center"/>
            <w:shd w:fill="132238"/>
          </w:tcPr>
          <w:p>
            <w:r/>
            <w:r>
              <w:rPr>
                <w:rFonts w:ascii="Aptos" w:hAnsi="Aptos"/>
                <w:b/>
                <w:color w:val="FFFFFF"/>
                <w:sz w:val="17"/>
              </w:rPr>
              <w:t>Primary jobs</w:t>
            </w:r>
          </w:p>
        </w:tc>
        <w:tc>
          <w:tcPr>
            <w:tcW w:type="dxa" w:w="3312"/>
            <w:vAlign w:val="center"/>
            <w:shd w:fill="132238"/>
          </w:tcPr>
          <w:p>
            <w:r/>
            <w:r>
              <w:rPr>
                <w:rFonts w:ascii="Aptos" w:hAnsi="Aptos"/>
                <w:b/>
                <w:color w:val="FFFFFF"/>
                <w:sz w:val="17"/>
              </w:rPr>
              <w:t>Core value</w:t>
            </w:r>
          </w:p>
        </w:tc>
      </w:tr>
      <w:tr>
        <w:tc>
          <w:tcPr>
            <w:tcW w:type="dxa" w:w="3312"/>
            <w:vAlign w:val="center"/>
            <w:shd w:fill="F7F9FB"/>
          </w:tcPr>
          <w:p>
            <w:r/>
            <w:r>
              <w:rPr>
                <w:rFonts w:ascii="Aptos" w:hAnsi="Aptos"/>
                <w:b w:val="0"/>
                <w:color w:val="18212F"/>
                <w:sz w:val="16"/>
              </w:rPr>
              <w:t>Promoter</w:t>
            </w:r>
          </w:p>
        </w:tc>
        <w:tc>
          <w:tcPr>
            <w:tcW w:type="dxa" w:w="3312"/>
            <w:vAlign w:val="center"/>
            <w:shd w:fill="F7F9FB"/>
          </w:tcPr>
          <w:p>
            <w:r/>
            <w:r>
              <w:rPr>
                <w:rFonts w:ascii="Aptos" w:hAnsi="Aptos"/>
                <w:b w:val="0"/>
                <w:color w:val="18212F"/>
                <w:sz w:val="16"/>
              </w:rPr>
              <w:t>Create/manage events; book DJs; manage venues, agents, suppliers; track money; follow up</w:t>
            </w:r>
          </w:p>
        </w:tc>
        <w:tc>
          <w:tcPr>
            <w:tcW w:type="dxa" w:w="3312"/>
            <w:vAlign w:val="center"/>
            <w:shd w:fill="F7F9FB"/>
          </w:tcPr>
          <w:p>
            <w:r/>
            <w:r>
              <w:rPr>
                <w:rFonts w:ascii="Aptos" w:hAnsi="Aptos"/>
                <w:b w:val="0"/>
                <w:color w:val="18212F"/>
                <w:sz w:val="16"/>
              </w:rPr>
              <w:t>Single operational view of the event business</w:t>
            </w:r>
          </w:p>
        </w:tc>
      </w:tr>
      <w:tr>
        <w:tc>
          <w:tcPr>
            <w:tcW w:type="dxa" w:w="3312"/>
            <w:vAlign w:val="center"/>
          </w:tcPr>
          <w:p>
            <w:r/>
            <w:r>
              <w:rPr>
                <w:rFonts w:ascii="Aptos" w:hAnsi="Aptos"/>
                <w:b w:val="0"/>
                <w:color w:val="18212F"/>
                <w:sz w:val="16"/>
              </w:rPr>
              <w:t>Venue</w:t>
            </w:r>
          </w:p>
        </w:tc>
        <w:tc>
          <w:tcPr>
            <w:tcW w:type="dxa" w:w="3312"/>
            <w:vAlign w:val="center"/>
          </w:tcPr>
          <w:p>
            <w:r/>
            <w:r>
              <w:rPr>
                <w:rFonts w:ascii="Aptos" w:hAnsi="Aptos"/>
                <w:b w:val="0"/>
                <w:color w:val="18212F"/>
                <w:sz w:val="16"/>
              </w:rPr>
              <w:t>Manage venue profile, rooms, availability, events, promoters, artists and suppliers</w:t>
            </w:r>
          </w:p>
        </w:tc>
        <w:tc>
          <w:tcPr>
            <w:tcW w:type="dxa" w:w="3312"/>
            <w:vAlign w:val="center"/>
          </w:tcPr>
          <w:p>
            <w:r/>
            <w:r>
              <w:rPr>
                <w:rFonts w:ascii="Aptos" w:hAnsi="Aptos"/>
                <w:b w:val="0"/>
                <w:color w:val="18212F"/>
                <w:sz w:val="16"/>
              </w:rPr>
              <w:t>Know what is booked, by whom, and what is next</w:t>
            </w:r>
          </w:p>
        </w:tc>
      </w:tr>
      <w:tr>
        <w:tc>
          <w:tcPr>
            <w:tcW w:type="dxa" w:w="3312"/>
            <w:vAlign w:val="center"/>
            <w:shd w:fill="F7F9FB"/>
          </w:tcPr>
          <w:p>
            <w:r/>
            <w:r>
              <w:rPr>
                <w:rFonts w:ascii="Aptos" w:hAnsi="Aptos"/>
                <w:b w:val="0"/>
                <w:color w:val="18212F"/>
                <w:sz w:val="16"/>
              </w:rPr>
              <w:t>Agent</w:t>
            </w:r>
          </w:p>
        </w:tc>
        <w:tc>
          <w:tcPr>
            <w:tcW w:type="dxa" w:w="3312"/>
            <w:vAlign w:val="center"/>
            <w:shd w:fill="F7F9FB"/>
          </w:tcPr>
          <w:p>
            <w:r/>
            <w:r>
              <w:rPr>
                <w:rFonts w:ascii="Aptos" w:hAnsi="Aptos"/>
                <w:b w:val="0"/>
                <w:color w:val="18212F"/>
                <w:sz w:val="16"/>
              </w:rPr>
              <w:t>Manage artists, availability, enquiries, offers, holds, bookings, fees and relationships</w:t>
            </w:r>
          </w:p>
        </w:tc>
        <w:tc>
          <w:tcPr>
            <w:tcW w:type="dxa" w:w="3312"/>
            <w:vAlign w:val="center"/>
            <w:shd w:fill="F7F9FB"/>
          </w:tcPr>
          <w:p>
            <w:r/>
            <w:r>
              <w:rPr>
                <w:rFonts w:ascii="Aptos" w:hAnsi="Aptos"/>
                <w:b w:val="0"/>
                <w:color w:val="18212F"/>
                <w:sz w:val="16"/>
              </w:rPr>
              <w:t>Manage a roster and booking pipeline efficiently</w:t>
            </w:r>
          </w:p>
        </w:tc>
      </w:tr>
      <w:tr>
        <w:tc>
          <w:tcPr>
            <w:tcW w:type="dxa" w:w="3312"/>
            <w:vAlign w:val="center"/>
          </w:tcPr>
          <w:p>
            <w:r/>
            <w:r>
              <w:rPr>
                <w:rFonts w:ascii="Aptos" w:hAnsi="Aptos"/>
                <w:b w:val="0"/>
                <w:color w:val="18212F"/>
                <w:sz w:val="16"/>
              </w:rPr>
              <w:t>DJ/Artist</w:t>
            </w:r>
          </w:p>
        </w:tc>
        <w:tc>
          <w:tcPr>
            <w:tcW w:type="dxa" w:w="3312"/>
            <w:vAlign w:val="center"/>
          </w:tcPr>
          <w:p>
            <w:r/>
            <w:r>
              <w:rPr>
                <w:rFonts w:ascii="Aptos" w:hAnsi="Aptos"/>
                <w:b w:val="0"/>
                <w:color w:val="18212F"/>
                <w:sz w:val="16"/>
              </w:rPr>
              <w:t>Manage bookings, agents, promoters, venues, availability, fees and documents</w:t>
            </w:r>
          </w:p>
        </w:tc>
        <w:tc>
          <w:tcPr>
            <w:tcW w:type="dxa" w:w="3312"/>
            <w:vAlign w:val="center"/>
          </w:tcPr>
          <w:p>
            <w:r/>
            <w:r>
              <w:rPr>
                <w:rFonts w:ascii="Aptos" w:hAnsi="Aptos"/>
                <w:b w:val="0"/>
                <w:color w:val="18212F"/>
                <w:sz w:val="16"/>
              </w:rPr>
              <w:t>Reliable booking history and business visibility</w:t>
            </w:r>
          </w:p>
        </w:tc>
      </w:tr>
      <w:tr>
        <w:tc>
          <w:tcPr>
            <w:tcW w:type="dxa" w:w="3312"/>
            <w:vAlign w:val="center"/>
            <w:shd w:fill="F7F9FB"/>
          </w:tcPr>
          <w:p>
            <w:r/>
            <w:r>
              <w:rPr>
                <w:rFonts w:ascii="Aptos" w:hAnsi="Aptos"/>
                <w:b w:val="0"/>
                <w:color w:val="18212F"/>
                <w:sz w:val="16"/>
              </w:rPr>
              <w:t>Supplier (optional)</w:t>
            </w:r>
          </w:p>
        </w:tc>
        <w:tc>
          <w:tcPr>
            <w:tcW w:type="dxa" w:w="3312"/>
            <w:vAlign w:val="center"/>
            <w:shd w:fill="F7F9FB"/>
          </w:tcPr>
          <w:p>
            <w:r/>
            <w:r>
              <w:rPr>
                <w:rFonts w:ascii="Aptos" w:hAnsi="Aptos"/>
                <w:b w:val="0"/>
                <w:color w:val="18212F"/>
                <w:sz w:val="16"/>
              </w:rPr>
              <w:t>Manage services, contacts, event work, quotes and history</w:t>
            </w:r>
          </w:p>
        </w:tc>
        <w:tc>
          <w:tcPr>
            <w:tcW w:type="dxa" w:w="3312"/>
            <w:vAlign w:val="center"/>
            <w:shd w:fill="F7F9FB"/>
          </w:tcPr>
          <w:p>
            <w:r/>
            <w:r>
              <w:rPr>
                <w:rFonts w:ascii="Aptos" w:hAnsi="Aptos"/>
                <w:b w:val="0"/>
                <w:color w:val="18212F"/>
                <w:sz w:val="16"/>
              </w:rPr>
              <w:t>Become part of the event operating chain</w:t>
            </w:r>
          </w:p>
        </w:tc>
      </w:tr>
      <w:tr>
        <w:tc>
          <w:tcPr>
            <w:tcW w:type="dxa" w:w="3312"/>
            <w:vAlign w:val="center"/>
          </w:tcPr>
          <w:p>
            <w:r/>
            <w:r>
              <w:rPr>
                <w:rFonts w:ascii="Aptos" w:hAnsi="Aptos"/>
                <w:b w:val="0"/>
                <w:color w:val="18212F"/>
                <w:sz w:val="16"/>
              </w:rPr>
              <w:t>Company Owner/Admin</w:t>
            </w:r>
          </w:p>
        </w:tc>
        <w:tc>
          <w:tcPr>
            <w:tcW w:type="dxa" w:w="3312"/>
            <w:vAlign w:val="center"/>
          </w:tcPr>
          <w:p>
            <w:r/>
            <w:r>
              <w:rPr>
                <w:rFonts w:ascii="Aptos" w:hAnsi="Aptos"/>
                <w:b w:val="0"/>
                <w:color w:val="18212F"/>
                <w:sz w:val="16"/>
              </w:rPr>
              <w:t>Manage users, billing, permissions, company data and security</w:t>
            </w:r>
          </w:p>
        </w:tc>
        <w:tc>
          <w:tcPr>
            <w:tcW w:type="dxa" w:w="3312"/>
            <w:vAlign w:val="center"/>
          </w:tcPr>
          <w:p>
            <w:r/>
            <w:r>
              <w:rPr>
                <w:rFonts w:ascii="Aptos" w:hAnsi="Aptos"/>
                <w:b w:val="0"/>
                <w:color w:val="18212F"/>
                <w:sz w:val="16"/>
              </w:rPr>
              <w:t>Control company workspace and governance</w:t>
            </w:r>
          </w:p>
        </w:tc>
      </w:tr>
      <w:tr>
        <w:tc>
          <w:tcPr>
            <w:tcW w:type="dxa" w:w="3312"/>
            <w:vAlign w:val="center"/>
            <w:shd w:fill="F7F9FB"/>
          </w:tcPr>
          <w:p>
            <w:r/>
            <w:r>
              <w:rPr>
                <w:rFonts w:ascii="Aptos" w:hAnsi="Aptos"/>
                <w:b w:val="0"/>
                <w:color w:val="18212F"/>
                <w:sz w:val="16"/>
              </w:rPr>
              <w:t>Platform Superuser</w:t>
            </w:r>
          </w:p>
        </w:tc>
        <w:tc>
          <w:tcPr>
            <w:tcW w:type="dxa" w:w="3312"/>
            <w:vAlign w:val="center"/>
            <w:shd w:fill="F7F9FB"/>
          </w:tcPr>
          <w:p>
            <w:r/>
            <w:r>
              <w:rPr>
                <w:rFonts w:ascii="Aptos" w:hAnsi="Aptos"/>
                <w:b w:val="0"/>
                <w:color w:val="18212F"/>
                <w:sz w:val="16"/>
              </w:rPr>
              <w:t>Global support, security, compliance and audit operations</w:t>
            </w:r>
          </w:p>
        </w:tc>
        <w:tc>
          <w:tcPr>
            <w:tcW w:type="dxa" w:w="3312"/>
            <w:vAlign w:val="center"/>
            <w:shd w:fill="F7F9FB"/>
          </w:tcPr>
          <w:p>
            <w:r/>
            <w:r>
              <w:rPr>
                <w:rFonts w:ascii="Aptos" w:hAnsi="Aptos"/>
                <w:b w:val="0"/>
                <w:color w:val="18212F"/>
                <w:sz w:val="16"/>
              </w:rPr>
              <w:t>Operate the SaaS safely without breaking tenant boundaries</w:t>
            </w:r>
          </w:p>
        </w:tc>
      </w:tr>
    </w:tbl>
    <w:p>
      <w:pPr>
        <w:spacing w:after="40"/>
      </w:pPr>
    </w:p>
    <w:p>
      <w:pPr>
        <w:pStyle w:val="Heading1"/>
        <w:spacing w:after="100"/>
      </w:pPr>
      <w:r>
        <w:t>3. Product principles</w:t>
      </w:r>
    </w:p>
    <w:p>
      <w:pPr>
        <w:pStyle w:val="ListBullet"/>
        <w:spacing w:after="40"/>
      </w:pPr>
      <w:r>
        <w:t>Relationship-first: contacts and organisations are reusable entities connected to events and commercial activity.</w:t>
      </w:r>
    </w:p>
    <w:p>
      <w:pPr>
        <w:pStyle w:val="ListBullet"/>
        <w:spacing w:after="40"/>
      </w:pPr>
      <w:r>
        <w:t>Event-first: the event is a central workspace, not merely a calendar entry.</w:t>
      </w:r>
    </w:p>
    <w:p>
      <w:pPr>
        <w:pStyle w:val="ListBullet"/>
        <w:spacing w:after="40"/>
      </w:pPr>
      <w:r>
        <w:t>Private by default: company operational data stays private unless intentionally shared to the network.</w:t>
      </w:r>
    </w:p>
    <w:p>
      <w:pPr>
        <w:pStyle w:val="ListBullet"/>
        <w:spacing w:after="40"/>
      </w:pPr>
      <w:r>
        <w:t>Least privilege: every role gets only the minimum access required.</w:t>
      </w:r>
    </w:p>
    <w:p>
      <w:pPr>
        <w:pStyle w:val="ListBullet"/>
        <w:spacing w:after="40"/>
      </w:pPr>
      <w:r>
        <w:t>Secure by design: security, privacy and auditability are acceptance criteria for every major feature.</w:t>
      </w:r>
    </w:p>
    <w:p>
      <w:pPr>
        <w:pStyle w:val="ListBullet"/>
        <w:spacing w:after="40"/>
      </w:pPr>
      <w:r>
        <w:t>Configurable but coherent: custom fields and roles are supported without turning the UX into a blank canvas.</w:t>
      </w:r>
    </w:p>
    <w:p>
      <w:pPr>
        <w:pStyle w:val="ListBullet"/>
        <w:spacing w:after="40"/>
      </w:pPr>
      <w:r>
        <w:t>Fast and information-rich: users should be able to scan and act quickly, especially on event-day workflows.</w:t>
      </w:r>
    </w:p>
    <w:p>
      <w:pPr>
        <w:pStyle w:val="ListBullet"/>
        <w:spacing w:after="40"/>
      </w:pPr>
      <w:r>
        <w:t>Bespoke visual language: the application must not resemble an off-the-shelf CRM template.</w:t>
      </w:r>
    </w:p>
    <w:p>
      <w:pPr>
        <w:pStyle w:val="Heading1"/>
        <w:spacing w:after="100"/>
      </w:pPr>
      <w:r>
        <w:t>4. Scope and release strategy</w:t>
      </w:r>
    </w:p>
    <w:p>
      <w:pPr>
        <w:spacing w:after="100"/>
      </w:pPr>
      <w:r>
        <w:t>The product should be engineered as a serious SaaS foundation, but delivered in controlled releases so the most valuable workflows become usable early.</w:t>
      </w:r>
    </w:p>
    <w:p>
      <w:pPr>
        <w:pStyle w:val="Heading2"/>
        <w:spacing w:after="100"/>
      </w:pPr>
      <w:r>
        <w:t>Release 1 / MVP</w:t>
      </w:r>
    </w:p>
    <w:p>
      <w:pPr>
        <w:pStyle w:val="ListBullet"/>
        <w:spacing w:after="40"/>
      </w:pPr>
      <w:r>
        <w:t>Authentication, company/workspace creation and invitations.</w:t>
      </w:r>
    </w:p>
    <w:p>
      <w:pPr>
        <w:pStyle w:val="ListBullet"/>
        <w:spacing w:after="40"/>
      </w:pPr>
      <w:r>
        <w:t>Contacts, companies, artists/DJs, agents/agencies, venues and relationships.</w:t>
      </w:r>
    </w:p>
    <w:p>
      <w:pPr>
        <w:pStyle w:val="ListBullet"/>
        <w:spacing w:after="40"/>
      </w:pPr>
      <w:r>
        <w:t>Events with lineup, venue, location, ticket link and event activity.</w:t>
      </w:r>
    </w:p>
    <w:p>
      <w:pPr>
        <w:pStyle w:val="ListBullet"/>
        <w:spacing w:after="40"/>
      </w:pPr>
      <w:r>
        <w:t>Tasks, meetings, notes and attachments.</w:t>
      </w:r>
    </w:p>
    <w:p>
      <w:pPr>
        <w:pStyle w:val="ListBullet"/>
        <w:spacing w:after="40"/>
      </w:pPr>
      <w:r>
        <w:t>Basic financial tracking and event-level P&amp;L fields.</w:t>
      </w:r>
    </w:p>
    <w:p>
      <w:pPr>
        <w:pStyle w:val="ListBullet"/>
        <w:spacing w:after="40"/>
      </w:pPr>
      <w:r>
        <w:t>Private company data isolation with RLS.</w:t>
      </w:r>
    </w:p>
    <w:p>
      <w:pPr>
        <w:pStyle w:val="ListBullet"/>
        <w:spacing w:after="40"/>
      </w:pPr>
      <w:r>
        <w:t>Subscription entitlements and role-based permissions.</w:t>
      </w:r>
    </w:p>
    <w:p>
      <w:pPr>
        <w:pStyle w:val="ListBullet"/>
        <w:spacing w:after="40"/>
      </w:pPr>
      <w:r>
        <w:t>Industry network profiles and controlled discovery.</w:t>
      </w:r>
    </w:p>
    <w:p>
      <w:pPr>
        <w:pStyle w:val="ListBullet"/>
        <w:spacing w:after="40"/>
      </w:pPr>
      <w:r>
        <w:t>Full audit log for significant user/security/data actions.</w:t>
      </w:r>
    </w:p>
    <w:p>
      <w:pPr>
        <w:pStyle w:val="ListBullet"/>
        <w:spacing w:after="40"/>
      </w:pPr>
      <w:r>
        <w:t>Core legal/compliance pages and consent/cookie controls.</w:t>
      </w:r>
    </w:p>
    <w:p>
      <w:pPr>
        <w:pStyle w:val="Heading2"/>
        <w:spacing w:after="100"/>
      </w:pPr>
      <w:r>
        <w:t>Release 1.1 / Operational depth</w:t>
      </w:r>
    </w:p>
    <w:p>
      <w:pPr>
        <w:pStyle w:val="ListBullet"/>
        <w:spacing w:after="40"/>
      </w:pPr>
      <w:r>
        <w:t>Gmail/Outlook integration; calendar integration.</w:t>
      </w:r>
    </w:p>
    <w:p>
      <w:pPr>
        <w:pStyle w:val="ListBullet"/>
        <w:spacing w:after="40"/>
      </w:pPr>
      <w:r>
        <w:t>Offers, holds, bookings and contract workflows.</w:t>
      </w:r>
    </w:p>
    <w:p>
      <w:pPr>
        <w:pStyle w:val="ListBullet"/>
        <w:spacing w:after="40"/>
      </w:pPr>
      <w:r>
        <w:t>Advanced event finance / settlements.</w:t>
      </w:r>
    </w:p>
    <w:p>
      <w:pPr>
        <w:pStyle w:val="ListBullet"/>
        <w:spacing w:after="40"/>
      </w:pPr>
      <w:r>
        <w:t>Ticketing integrations (prioritise platforms used by target customers, e.g. Skiddle/Fatsoma where APIs/licensing permit).</w:t>
      </w:r>
    </w:p>
    <w:p>
      <w:pPr>
        <w:pStyle w:val="ListBullet"/>
        <w:spacing w:after="40"/>
      </w:pPr>
      <w:r>
        <w:t>Advanced reports and dashboards.</w:t>
      </w:r>
    </w:p>
    <w:p>
      <w:pPr>
        <w:pStyle w:val="ListBullet"/>
        <w:spacing w:after="40"/>
      </w:pPr>
      <w:r>
        <w:t>File versioning and secure document workflows.</w:t>
      </w:r>
    </w:p>
    <w:p>
      <w:pPr>
        <w:pStyle w:val="Heading2"/>
        <w:spacing w:after="100"/>
      </w:pPr>
      <w:r>
        <w:t>Later / Expansion</w:t>
      </w:r>
    </w:p>
    <w:p>
      <w:pPr>
        <w:pStyle w:val="ListBullet"/>
        <w:spacing w:after="40"/>
      </w:pPr>
      <w:r>
        <w:t>Public network profiles and connection requests.</w:t>
      </w:r>
    </w:p>
    <w:p>
      <w:pPr>
        <w:pStyle w:val="ListBullet"/>
        <w:spacing w:after="40"/>
      </w:pPr>
      <w:r>
        <w:t>Availability marketplace behaviour.</w:t>
      </w:r>
    </w:p>
    <w:p>
      <w:pPr>
        <w:pStyle w:val="ListBullet"/>
        <w:spacing w:after="40"/>
      </w:pPr>
      <w:r>
        <w:t>Tour management.</w:t>
      </w:r>
    </w:p>
    <w:p>
      <w:pPr>
        <w:pStyle w:val="ListBullet"/>
        <w:spacing w:after="40"/>
      </w:pPr>
      <w:r>
        <w:t>AI assistant and workflow automation.</w:t>
      </w:r>
    </w:p>
    <w:p>
      <w:pPr>
        <w:pStyle w:val="ListBullet"/>
        <w:spacing w:after="40"/>
      </w:pPr>
      <w:r>
        <w:t>Supplier marketplace capabilities.</w:t>
      </w:r>
    </w:p>
    <w:p>
      <w:pPr>
        <w:pStyle w:val="ListBullet"/>
        <w:spacing w:after="40"/>
      </w:pPr>
      <w:r>
        <w:t>External API and partner ecosystem.</w:t>
      </w:r>
    </w:p>
    <w:p>
      <w:pPr>
        <w:pStyle w:val="ListBullet"/>
        <w:spacing w:after="40"/>
      </w:pPr>
      <w:r>
        <w:t>Mobile-native experience if usage demonstrates demand.</w:t>
      </w:r>
    </w:p>
    <w:p>
      <w:pPr>
        <w:pStyle w:val="Heading1"/>
        <w:spacing w:after="100"/>
      </w:pPr>
      <w:r>
        <w:t>5. Information architecture and core entities</w:t>
      </w:r>
    </w:p>
    <w:p>
      <w:pPr>
        <w:spacing w:after="100"/>
      </w:pPr>
      <w:r>
        <w:t>The system should use a relational domain model with explicit ownership, membership and network identities. The following entities are the baseline domain model.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32238"/>
          </w:tcPr>
          <w:p>
            <w:r/>
            <w:r>
              <w:rPr>
                <w:rFonts w:ascii="Aptos" w:hAnsi="Aptos"/>
                <w:b/>
                <w:color w:val="FFFFFF"/>
                <w:sz w:val="17"/>
              </w:rPr>
              <w:t>Entity</w:t>
            </w:r>
          </w:p>
        </w:tc>
        <w:tc>
          <w:tcPr>
            <w:tcW w:type="dxa" w:w="3312"/>
            <w:vAlign w:val="center"/>
            <w:shd w:fill="132238"/>
          </w:tcPr>
          <w:p>
            <w:r/>
            <w:r>
              <w:rPr>
                <w:rFonts w:ascii="Aptos" w:hAnsi="Aptos"/>
                <w:b/>
                <w:color w:val="FFFFFF"/>
                <w:sz w:val="17"/>
              </w:rPr>
              <w:t>Purpose</w:t>
            </w:r>
          </w:p>
        </w:tc>
        <w:tc>
          <w:tcPr>
            <w:tcW w:type="dxa" w:w="3312"/>
            <w:vAlign w:val="center"/>
            <w:shd w:fill="132238"/>
          </w:tcPr>
          <w:p>
            <w:r/>
            <w:r>
              <w:rPr>
                <w:rFonts w:ascii="Aptos" w:hAnsi="Aptos"/>
                <w:b/>
                <w:color w:val="FFFFFF"/>
                <w:sz w:val="17"/>
              </w:rPr>
              <w:t>Key relationships</w:t>
            </w:r>
          </w:p>
        </w:tc>
      </w:tr>
      <w:tr>
        <w:tc>
          <w:tcPr>
            <w:tcW w:type="dxa" w:w="3312"/>
            <w:vAlign w:val="center"/>
            <w:shd w:fill="F7F9FB"/>
          </w:tcPr>
          <w:p>
            <w:r/>
            <w:r>
              <w:rPr>
                <w:rFonts w:ascii="Aptos" w:hAnsi="Aptos"/>
                <w:b w:val="0"/>
                <w:color w:val="18212F"/>
                <w:sz w:val="16"/>
              </w:rPr>
              <w:t>Organisation / Company</w:t>
            </w:r>
          </w:p>
        </w:tc>
        <w:tc>
          <w:tcPr>
            <w:tcW w:type="dxa" w:w="3312"/>
            <w:vAlign w:val="center"/>
            <w:shd w:fill="F7F9FB"/>
          </w:tcPr>
          <w:p>
            <w:r/>
            <w:r>
              <w:rPr>
                <w:rFonts w:ascii="Aptos" w:hAnsi="Aptos"/>
                <w:b w:val="0"/>
                <w:color w:val="18212F"/>
                <w:sz w:val="16"/>
              </w:rPr>
              <w:t>Tenant/business identity</w:t>
            </w:r>
          </w:p>
        </w:tc>
        <w:tc>
          <w:tcPr>
            <w:tcW w:type="dxa" w:w="3312"/>
            <w:vAlign w:val="center"/>
            <w:shd w:fill="F7F9FB"/>
          </w:tcPr>
          <w:p>
            <w:r/>
            <w:r>
              <w:rPr>
                <w:rFonts w:ascii="Aptos" w:hAnsi="Aptos"/>
                <w:b w:val="0"/>
                <w:color w:val="18212F"/>
                <w:sz w:val="16"/>
              </w:rPr>
              <w:t>Has users; owns private records; may have network profile</w:t>
            </w:r>
          </w:p>
        </w:tc>
      </w:tr>
      <w:tr>
        <w:tc>
          <w:tcPr>
            <w:tcW w:type="dxa" w:w="3312"/>
            <w:vAlign w:val="center"/>
          </w:tcPr>
          <w:p>
            <w:r/>
            <w:r>
              <w:rPr>
                <w:rFonts w:ascii="Aptos" w:hAnsi="Aptos"/>
                <w:b w:val="0"/>
                <w:color w:val="18212F"/>
                <w:sz w:val="16"/>
              </w:rPr>
              <w:t>User</w:t>
            </w:r>
          </w:p>
        </w:tc>
        <w:tc>
          <w:tcPr>
            <w:tcW w:type="dxa" w:w="3312"/>
            <w:vAlign w:val="center"/>
          </w:tcPr>
          <w:p>
            <w:r/>
            <w:r>
              <w:rPr>
                <w:rFonts w:ascii="Aptos" w:hAnsi="Aptos"/>
                <w:b w:val="0"/>
                <w:color w:val="18212F"/>
                <w:sz w:val="16"/>
              </w:rPr>
              <w:t>Authenticated person</w:t>
            </w:r>
          </w:p>
        </w:tc>
        <w:tc>
          <w:tcPr>
            <w:tcW w:type="dxa" w:w="3312"/>
            <w:vAlign w:val="center"/>
          </w:tcPr>
          <w:p>
            <w:r/>
            <w:r>
              <w:rPr>
                <w:rFonts w:ascii="Aptos" w:hAnsi="Aptos"/>
                <w:b w:val="0"/>
                <w:color w:val="18212F"/>
                <w:sz w:val="16"/>
              </w:rPr>
              <w:t>Belongs to one or more organisations; has roles/entitlements</w:t>
            </w:r>
          </w:p>
        </w:tc>
      </w:tr>
      <w:tr>
        <w:tc>
          <w:tcPr>
            <w:tcW w:type="dxa" w:w="3312"/>
            <w:vAlign w:val="center"/>
            <w:shd w:fill="F7F9FB"/>
          </w:tcPr>
          <w:p>
            <w:r/>
            <w:r>
              <w:rPr>
                <w:rFonts w:ascii="Aptos" w:hAnsi="Aptos"/>
                <w:b w:val="0"/>
                <w:color w:val="18212F"/>
                <w:sz w:val="16"/>
              </w:rPr>
              <w:t>Contact</w:t>
            </w:r>
          </w:p>
        </w:tc>
        <w:tc>
          <w:tcPr>
            <w:tcW w:type="dxa" w:w="3312"/>
            <w:vAlign w:val="center"/>
            <w:shd w:fill="F7F9FB"/>
          </w:tcPr>
          <w:p>
            <w:r/>
            <w:r>
              <w:rPr>
                <w:rFonts w:ascii="Aptos" w:hAnsi="Aptos"/>
                <w:b w:val="0"/>
                <w:color w:val="18212F"/>
                <w:sz w:val="16"/>
              </w:rPr>
              <w:t>Human business contact</w:t>
            </w:r>
          </w:p>
        </w:tc>
        <w:tc>
          <w:tcPr>
            <w:tcW w:type="dxa" w:w="3312"/>
            <w:vAlign w:val="center"/>
            <w:shd w:fill="F7F9FB"/>
          </w:tcPr>
          <w:p>
            <w:r/>
            <w:r>
              <w:rPr>
                <w:rFonts w:ascii="Aptos" w:hAnsi="Aptos"/>
                <w:b w:val="0"/>
                <w:color w:val="18212F"/>
                <w:sz w:val="16"/>
              </w:rPr>
              <w:t>Belongs to companies; participates in activity and relationships</w:t>
            </w:r>
          </w:p>
        </w:tc>
      </w:tr>
      <w:tr>
        <w:tc>
          <w:tcPr>
            <w:tcW w:type="dxa" w:w="3312"/>
            <w:vAlign w:val="center"/>
          </w:tcPr>
          <w:p>
            <w:r/>
            <w:r>
              <w:rPr>
                <w:rFonts w:ascii="Aptos" w:hAnsi="Aptos"/>
                <w:b w:val="0"/>
                <w:color w:val="18212F"/>
                <w:sz w:val="16"/>
              </w:rPr>
              <w:t>Artist / DJ</w:t>
            </w:r>
          </w:p>
        </w:tc>
        <w:tc>
          <w:tcPr>
            <w:tcW w:type="dxa" w:w="3312"/>
            <w:vAlign w:val="center"/>
          </w:tcPr>
          <w:p>
            <w:r/>
            <w:r>
              <w:rPr>
                <w:rFonts w:ascii="Aptos" w:hAnsi="Aptos"/>
                <w:b w:val="0"/>
                <w:color w:val="18212F"/>
                <w:sz w:val="16"/>
              </w:rPr>
              <w:t>Performance identity</w:t>
            </w:r>
          </w:p>
        </w:tc>
        <w:tc>
          <w:tcPr>
            <w:tcW w:type="dxa" w:w="3312"/>
            <w:vAlign w:val="center"/>
          </w:tcPr>
          <w:p>
            <w:r/>
            <w:r>
              <w:rPr>
                <w:rFonts w:ascii="Aptos" w:hAnsi="Aptos"/>
                <w:b w:val="0"/>
                <w:color w:val="18212F"/>
                <w:sz w:val="16"/>
              </w:rPr>
              <w:t>Can have agents/managers; appears on events; has booking history</w:t>
            </w:r>
          </w:p>
        </w:tc>
      </w:tr>
      <w:tr>
        <w:tc>
          <w:tcPr>
            <w:tcW w:type="dxa" w:w="3312"/>
            <w:vAlign w:val="center"/>
            <w:shd w:fill="F7F9FB"/>
          </w:tcPr>
          <w:p>
            <w:r/>
            <w:r>
              <w:rPr>
                <w:rFonts w:ascii="Aptos" w:hAnsi="Aptos"/>
                <w:b w:val="0"/>
                <w:color w:val="18212F"/>
                <w:sz w:val="16"/>
              </w:rPr>
              <w:t>Agency</w:t>
            </w:r>
          </w:p>
        </w:tc>
        <w:tc>
          <w:tcPr>
            <w:tcW w:type="dxa" w:w="3312"/>
            <w:vAlign w:val="center"/>
            <w:shd w:fill="F7F9FB"/>
          </w:tcPr>
          <w:p>
            <w:r/>
            <w:r>
              <w:rPr>
                <w:rFonts w:ascii="Aptos" w:hAnsi="Aptos"/>
                <w:b w:val="0"/>
                <w:color w:val="18212F"/>
                <w:sz w:val="16"/>
              </w:rPr>
              <w:t>Artist representation organisation</w:t>
            </w:r>
          </w:p>
        </w:tc>
        <w:tc>
          <w:tcPr>
            <w:tcW w:type="dxa" w:w="3312"/>
            <w:vAlign w:val="center"/>
            <w:shd w:fill="F7F9FB"/>
          </w:tcPr>
          <w:p>
            <w:r/>
            <w:r>
              <w:rPr>
                <w:rFonts w:ascii="Aptos" w:hAnsi="Aptos"/>
                <w:b w:val="0"/>
                <w:color w:val="18212F"/>
                <w:sz w:val="16"/>
              </w:rPr>
              <w:t>Has agent contacts and artist roster</w:t>
            </w:r>
          </w:p>
        </w:tc>
      </w:tr>
      <w:tr>
        <w:tc>
          <w:tcPr>
            <w:tcW w:type="dxa" w:w="3312"/>
            <w:vAlign w:val="center"/>
          </w:tcPr>
          <w:p>
            <w:r/>
            <w:r>
              <w:rPr>
                <w:rFonts w:ascii="Aptos" w:hAnsi="Aptos"/>
                <w:b w:val="0"/>
                <w:color w:val="18212F"/>
                <w:sz w:val="16"/>
              </w:rPr>
              <w:t>Venue</w:t>
            </w:r>
          </w:p>
        </w:tc>
        <w:tc>
          <w:tcPr>
            <w:tcW w:type="dxa" w:w="3312"/>
            <w:vAlign w:val="center"/>
          </w:tcPr>
          <w:p>
            <w:r/>
            <w:r>
              <w:rPr>
                <w:rFonts w:ascii="Aptos" w:hAnsi="Aptos"/>
                <w:b w:val="0"/>
                <w:color w:val="18212F"/>
                <w:sz w:val="16"/>
              </w:rPr>
              <w:t>Physical event location</w:t>
            </w:r>
          </w:p>
        </w:tc>
        <w:tc>
          <w:tcPr>
            <w:tcW w:type="dxa" w:w="3312"/>
            <w:vAlign w:val="center"/>
          </w:tcPr>
          <w:p>
            <w:r/>
            <w:r>
              <w:rPr>
                <w:rFonts w:ascii="Aptos" w:hAnsi="Aptos"/>
                <w:b w:val="0"/>
                <w:color w:val="18212F"/>
                <w:sz w:val="16"/>
              </w:rPr>
              <w:t>Has rooms, contacts, events, promoters and technical info</w:t>
            </w:r>
          </w:p>
        </w:tc>
      </w:tr>
      <w:tr>
        <w:tc>
          <w:tcPr>
            <w:tcW w:type="dxa" w:w="3312"/>
            <w:vAlign w:val="center"/>
            <w:shd w:fill="F7F9FB"/>
          </w:tcPr>
          <w:p>
            <w:r/>
            <w:r>
              <w:rPr>
                <w:rFonts w:ascii="Aptos" w:hAnsi="Aptos"/>
                <w:b w:val="0"/>
                <w:color w:val="18212F"/>
                <w:sz w:val="16"/>
              </w:rPr>
              <w:t>Supplier</w:t>
            </w:r>
          </w:p>
        </w:tc>
        <w:tc>
          <w:tcPr>
            <w:tcW w:type="dxa" w:w="3312"/>
            <w:vAlign w:val="center"/>
            <w:shd w:fill="F7F9FB"/>
          </w:tcPr>
          <w:p>
            <w:r/>
            <w:r>
              <w:rPr>
                <w:rFonts w:ascii="Aptos" w:hAnsi="Aptos"/>
                <w:b w:val="0"/>
                <w:color w:val="18212F"/>
                <w:sz w:val="16"/>
              </w:rPr>
              <w:t>Service provider</w:t>
            </w:r>
          </w:p>
        </w:tc>
        <w:tc>
          <w:tcPr>
            <w:tcW w:type="dxa" w:w="3312"/>
            <w:vAlign w:val="center"/>
            <w:shd w:fill="F7F9FB"/>
          </w:tcPr>
          <w:p>
            <w:r/>
            <w:r>
              <w:rPr>
                <w:rFonts w:ascii="Aptos" w:hAnsi="Aptos"/>
                <w:b w:val="0"/>
                <w:color w:val="18212F"/>
                <w:sz w:val="16"/>
              </w:rPr>
              <w:t>Can be linked to events and organisations</w:t>
            </w:r>
          </w:p>
        </w:tc>
      </w:tr>
      <w:tr>
        <w:tc>
          <w:tcPr>
            <w:tcW w:type="dxa" w:w="3312"/>
            <w:vAlign w:val="center"/>
          </w:tcPr>
          <w:p>
            <w:r/>
            <w:r>
              <w:rPr>
                <w:rFonts w:ascii="Aptos" w:hAnsi="Aptos"/>
                <w:b w:val="0"/>
                <w:color w:val="18212F"/>
                <w:sz w:val="16"/>
              </w:rPr>
              <w:t>Event</w:t>
            </w:r>
          </w:p>
        </w:tc>
        <w:tc>
          <w:tcPr>
            <w:tcW w:type="dxa" w:w="3312"/>
            <w:vAlign w:val="center"/>
          </w:tcPr>
          <w:p>
            <w:r/>
            <w:r>
              <w:rPr>
                <w:rFonts w:ascii="Aptos" w:hAnsi="Aptos"/>
                <w:b w:val="0"/>
                <w:color w:val="18212F"/>
                <w:sz w:val="16"/>
              </w:rPr>
              <w:t>Club night/rave/tour date</w:t>
            </w:r>
          </w:p>
        </w:tc>
        <w:tc>
          <w:tcPr>
            <w:tcW w:type="dxa" w:w="3312"/>
            <w:vAlign w:val="center"/>
          </w:tcPr>
          <w:p>
            <w:r/>
            <w:r>
              <w:rPr>
                <w:rFonts w:ascii="Aptos" w:hAnsi="Aptos"/>
                <w:b w:val="0"/>
                <w:color w:val="18212F"/>
                <w:sz w:val="16"/>
              </w:rPr>
              <w:t>Has venue, lineup, commercial data, tasks and activity</w:t>
            </w:r>
          </w:p>
        </w:tc>
      </w:tr>
      <w:tr>
        <w:tc>
          <w:tcPr>
            <w:tcW w:type="dxa" w:w="3312"/>
            <w:vAlign w:val="center"/>
            <w:shd w:fill="F7F9FB"/>
          </w:tcPr>
          <w:p>
            <w:r/>
            <w:r>
              <w:rPr>
                <w:rFonts w:ascii="Aptos" w:hAnsi="Aptos"/>
                <w:b w:val="0"/>
                <w:color w:val="18212F"/>
                <w:sz w:val="16"/>
              </w:rPr>
              <w:t>Tour</w:t>
            </w:r>
          </w:p>
        </w:tc>
        <w:tc>
          <w:tcPr>
            <w:tcW w:type="dxa" w:w="3312"/>
            <w:vAlign w:val="center"/>
            <w:shd w:fill="F7F9FB"/>
          </w:tcPr>
          <w:p>
            <w:r/>
            <w:r>
              <w:rPr>
                <w:rFonts w:ascii="Aptos" w:hAnsi="Aptos"/>
                <w:b w:val="0"/>
                <w:color w:val="18212F"/>
                <w:sz w:val="16"/>
              </w:rPr>
              <w:t>Grouping of related events</w:t>
            </w:r>
          </w:p>
        </w:tc>
        <w:tc>
          <w:tcPr>
            <w:tcW w:type="dxa" w:w="3312"/>
            <w:vAlign w:val="center"/>
            <w:shd w:fill="F7F9FB"/>
          </w:tcPr>
          <w:p>
            <w:r/>
            <w:r>
              <w:rPr>
                <w:rFonts w:ascii="Aptos" w:hAnsi="Aptos"/>
                <w:b w:val="0"/>
                <w:color w:val="18212F"/>
                <w:sz w:val="16"/>
              </w:rPr>
              <w:t>Contains ordered event dates/locations</w:t>
            </w:r>
          </w:p>
        </w:tc>
      </w:tr>
      <w:tr>
        <w:tc>
          <w:tcPr>
            <w:tcW w:type="dxa" w:w="3312"/>
            <w:vAlign w:val="center"/>
          </w:tcPr>
          <w:p>
            <w:r/>
            <w:r>
              <w:rPr>
                <w:rFonts w:ascii="Aptos" w:hAnsi="Aptos"/>
                <w:b w:val="0"/>
                <w:color w:val="18212F"/>
                <w:sz w:val="16"/>
              </w:rPr>
              <w:t>Offer / Hold / Booking</w:t>
            </w:r>
          </w:p>
        </w:tc>
        <w:tc>
          <w:tcPr>
            <w:tcW w:type="dxa" w:w="3312"/>
            <w:vAlign w:val="center"/>
          </w:tcPr>
          <w:p>
            <w:r/>
            <w:r>
              <w:rPr>
                <w:rFonts w:ascii="Aptos" w:hAnsi="Aptos"/>
                <w:b w:val="0"/>
                <w:color w:val="18212F"/>
                <w:sz w:val="16"/>
              </w:rPr>
              <w:t>Commercial booking lifecycle</w:t>
            </w:r>
          </w:p>
        </w:tc>
        <w:tc>
          <w:tcPr>
            <w:tcW w:type="dxa" w:w="3312"/>
            <w:vAlign w:val="center"/>
          </w:tcPr>
          <w:p>
            <w:r/>
            <w:r>
              <w:rPr>
                <w:rFonts w:ascii="Aptos" w:hAnsi="Aptos"/>
                <w:b w:val="0"/>
                <w:color w:val="18212F"/>
                <w:sz w:val="16"/>
              </w:rPr>
              <w:t>Links artist, event, agent, fee and status</w:t>
            </w:r>
          </w:p>
        </w:tc>
      </w:tr>
      <w:tr>
        <w:tc>
          <w:tcPr>
            <w:tcW w:type="dxa" w:w="3312"/>
            <w:vAlign w:val="center"/>
            <w:shd w:fill="F7F9FB"/>
          </w:tcPr>
          <w:p>
            <w:r/>
            <w:r>
              <w:rPr>
                <w:rFonts w:ascii="Aptos" w:hAnsi="Aptos"/>
                <w:b w:val="0"/>
                <w:color w:val="18212F"/>
                <w:sz w:val="16"/>
              </w:rPr>
              <w:t>Task</w:t>
            </w:r>
          </w:p>
        </w:tc>
        <w:tc>
          <w:tcPr>
            <w:tcW w:type="dxa" w:w="3312"/>
            <w:vAlign w:val="center"/>
            <w:shd w:fill="F7F9FB"/>
          </w:tcPr>
          <w:p>
            <w:r/>
            <w:r>
              <w:rPr>
                <w:rFonts w:ascii="Aptos" w:hAnsi="Aptos"/>
                <w:b w:val="0"/>
                <w:color w:val="18212F"/>
                <w:sz w:val="16"/>
              </w:rPr>
              <w:t>Action item</w:t>
            </w:r>
          </w:p>
        </w:tc>
        <w:tc>
          <w:tcPr>
            <w:tcW w:type="dxa" w:w="3312"/>
            <w:vAlign w:val="center"/>
            <w:shd w:fill="F7F9FB"/>
          </w:tcPr>
          <w:p>
            <w:r/>
            <w:r>
              <w:rPr>
                <w:rFonts w:ascii="Aptos" w:hAnsi="Aptos"/>
                <w:b w:val="0"/>
                <w:color w:val="18212F"/>
                <w:sz w:val="16"/>
              </w:rPr>
              <w:t>Linked to any major entity</w:t>
            </w:r>
          </w:p>
        </w:tc>
      </w:tr>
      <w:tr>
        <w:tc>
          <w:tcPr>
            <w:tcW w:type="dxa" w:w="3312"/>
            <w:vAlign w:val="center"/>
          </w:tcPr>
          <w:p>
            <w:r/>
            <w:r>
              <w:rPr>
                <w:rFonts w:ascii="Aptos" w:hAnsi="Aptos"/>
                <w:b w:val="0"/>
                <w:color w:val="18212F"/>
                <w:sz w:val="16"/>
              </w:rPr>
              <w:t>Meeting</w:t>
            </w:r>
          </w:p>
        </w:tc>
        <w:tc>
          <w:tcPr>
            <w:tcW w:type="dxa" w:w="3312"/>
            <w:vAlign w:val="center"/>
          </w:tcPr>
          <w:p>
            <w:r/>
            <w:r>
              <w:rPr>
                <w:rFonts w:ascii="Aptos" w:hAnsi="Aptos"/>
                <w:b w:val="0"/>
                <w:color w:val="18212F"/>
                <w:sz w:val="16"/>
              </w:rPr>
              <w:t>Scheduled interaction</w:t>
            </w:r>
          </w:p>
        </w:tc>
        <w:tc>
          <w:tcPr>
            <w:tcW w:type="dxa" w:w="3312"/>
            <w:vAlign w:val="center"/>
          </w:tcPr>
          <w:p>
            <w:r/>
            <w:r>
              <w:rPr>
                <w:rFonts w:ascii="Aptos" w:hAnsi="Aptos"/>
                <w:b w:val="0"/>
                <w:color w:val="18212F"/>
                <w:sz w:val="16"/>
              </w:rPr>
              <w:t>Linked to people/orgs/events</w:t>
            </w:r>
          </w:p>
        </w:tc>
      </w:tr>
      <w:tr>
        <w:tc>
          <w:tcPr>
            <w:tcW w:type="dxa" w:w="3312"/>
            <w:vAlign w:val="center"/>
            <w:shd w:fill="F7F9FB"/>
          </w:tcPr>
          <w:p>
            <w:r/>
            <w:r>
              <w:rPr>
                <w:rFonts w:ascii="Aptos" w:hAnsi="Aptos"/>
                <w:b w:val="0"/>
                <w:color w:val="18212F"/>
                <w:sz w:val="16"/>
              </w:rPr>
              <w:t>Note</w:t>
            </w:r>
          </w:p>
        </w:tc>
        <w:tc>
          <w:tcPr>
            <w:tcW w:type="dxa" w:w="3312"/>
            <w:vAlign w:val="center"/>
            <w:shd w:fill="F7F9FB"/>
          </w:tcPr>
          <w:p>
            <w:r/>
            <w:r>
              <w:rPr>
                <w:rFonts w:ascii="Aptos" w:hAnsi="Aptos"/>
                <w:b w:val="0"/>
                <w:color w:val="18212F"/>
                <w:sz w:val="16"/>
              </w:rPr>
              <w:t>User/company knowledge</w:t>
            </w:r>
          </w:p>
        </w:tc>
        <w:tc>
          <w:tcPr>
            <w:tcW w:type="dxa" w:w="3312"/>
            <w:vAlign w:val="center"/>
            <w:shd w:fill="F7F9FB"/>
          </w:tcPr>
          <w:p>
            <w:r/>
            <w:r>
              <w:rPr>
                <w:rFonts w:ascii="Aptos" w:hAnsi="Aptos"/>
                <w:b w:val="0"/>
                <w:color w:val="18212F"/>
                <w:sz w:val="16"/>
              </w:rPr>
              <w:t>Scoped private/company visibility</w:t>
            </w:r>
          </w:p>
        </w:tc>
      </w:tr>
      <w:tr>
        <w:tc>
          <w:tcPr>
            <w:tcW w:type="dxa" w:w="3312"/>
            <w:vAlign w:val="center"/>
          </w:tcPr>
          <w:p>
            <w:r/>
            <w:r>
              <w:rPr>
                <w:rFonts w:ascii="Aptos" w:hAnsi="Aptos"/>
                <w:b w:val="0"/>
                <w:color w:val="18212F"/>
                <w:sz w:val="16"/>
              </w:rPr>
              <w:t>Email activity</w:t>
            </w:r>
          </w:p>
        </w:tc>
        <w:tc>
          <w:tcPr>
            <w:tcW w:type="dxa" w:w="3312"/>
            <w:vAlign w:val="center"/>
          </w:tcPr>
          <w:p>
            <w:r/>
            <w:r>
              <w:rPr>
                <w:rFonts w:ascii="Aptos" w:hAnsi="Aptos"/>
                <w:b w:val="0"/>
                <w:color w:val="18212F"/>
                <w:sz w:val="16"/>
              </w:rPr>
              <w:t>Communication metadata/body where integration permits</w:t>
            </w:r>
          </w:p>
        </w:tc>
        <w:tc>
          <w:tcPr>
            <w:tcW w:type="dxa" w:w="3312"/>
            <w:vAlign w:val="center"/>
          </w:tcPr>
          <w:p>
            <w:r/>
            <w:r>
              <w:rPr>
                <w:rFonts w:ascii="Aptos" w:hAnsi="Aptos"/>
                <w:b w:val="0"/>
                <w:color w:val="18212F"/>
                <w:sz w:val="16"/>
              </w:rPr>
              <w:t>Linked to contacts/events/organisations</w:t>
            </w:r>
          </w:p>
        </w:tc>
      </w:tr>
      <w:tr>
        <w:tc>
          <w:tcPr>
            <w:tcW w:type="dxa" w:w="3312"/>
            <w:vAlign w:val="center"/>
            <w:shd w:fill="F7F9FB"/>
          </w:tcPr>
          <w:p>
            <w:r/>
            <w:r>
              <w:rPr>
                <w:rFonts w:ascii="Aptos" w:hAnsi="Aptos"/>
                <w:b w:val="0"/>
                <w:color w:val="18212F"/>
                <w:sz w:val="16"/>
              </w:rPr>
              <w:t>Document</w:t>
            </w:r>
          </w:p>
        </w:tc>
        <w:tc>
          <w:tcPr>
            <w:tcW w:type="dxa" w:w="3312"/>
            <w:vAlign w:val="center"/>
            <w:shd w:fill="F7F9FB"/>
          </w:tcPr>
          <w:p>
            <w:r/>
            <w:r>
              <w:rPr>
                <w:rFonts w:ascii="Aptos" w:hAnsi="Aptos"/>
                <w:b w:val="0"/>
                <w:color w:val="18212F"/>
                <w:sz w:val="16"/>
              </w:rPr>
              <w:t>File/attachment</w:t>
            </w:r>
          </w:p>
        </w:tc>
        <w:tc>
          <w:tcPr>
            <w:tcW w:type="dxa" w:w="3312"/>
            <w:vAlign w:val="center"/>
            <w:shd w:fill="F7F9FB"/>
          </w:tcPr>
          <w:p>
            <w:r/>
            <w:r>
              <w:rPr>
                <w:rFonts w:ascii="Aptos" w:hAnsi="Aptos"/>
                <w:b w:val="0"/>
                <w:color w:val="18212F"/>
                <w:sz w:val="16"/>
              </w:rPr>
              <w:t>Owned by tenant and linked to records with explicit access rules</w:t>
            </w:r>
          </w:p>
        </w:tc>
      </w:tr>
      <w:tr>
        <w:tc>
          <w:tcPr>
            <w:tcW w:type="dxa" w:w="3312"/>
            <w:vAlign w:val="center"/>
          </w:tcPr>
          <w:p>
            <w:r/>
            <w:r>
              <w:rPr>
                <w:rFonts w:ascii="Aptos" w:hAnsi="Aptos"/>
                <w:b w:val="0"/>
                <w:color w:val="18212F"/>
                <w:sz w:val="16"/>
              </w:rPr>
              <w:t>Financial entry</w:t>
            </w:r>
          </w:p>
        </w:tc>
        <w:tc>
          <w:tcPr>
            <w:tcW w:type="dxa" w:w="3312"/>
            <w:vAlign w:val="center"/>
          </w:tcPr>
          <w:p>
            <w:r/>
            <w:r>
              <w:rPr>
                <w:rFonts w:ascii="Aptos" w:hAnsi="Aptos"/>
                <w:b w:val="0"/>
                <w:color w:val="18212F"/>
                <w:sz w:val="16"/>
              </w:rPr>
              <w:t>Revenue/cost/payment data</w:t>
            </w:r>
          </w:p>
        </w:tc>
        <w:tc>
          <w:tcPr>
            <w:tcW w:type="dxa" w:w="3312"/>
            <w:vAlign w:val="center"/>
          </w:tcPr>
          <w:p>
            <w:r/>
            <w:r>
              <w:rPr>
                <w:rFonts w:ascii="Aptos" w:hAnsi="Aptos"/>
                <w:b w:val="0"/>
                <w:color w:val="18212F"/>
                <w:sz w:val="16"/>
              </w:rPr>
              <w:t>Linked to event/booking/vendor as applicable</w:t>
            </w:r>
          </w:p>
        </w:tc>
      </w:tr>
      <w:tr>
        <w:tc>
          <w:tcPr>
            <w:tcW w:type="dxa" w:w="3312"/>
            <w:vAlign w:val="center"/>
            <w:shd w:fill="F7F9FB"/>
          </w:tcPr>
          <w:p>
            <w:r/>
            <w:r>
              <w:rPr>
                <w:rFonts w:ascii="Aptos" w:hAnsi="Aptos"/>
                <w:b w:val="0"/>
                <w:color w:val="18212F"/>
                <w:sz w:val="16"/>
              </w:rPr>
              <w:t>Relationship</w:t>
            </w:r>
          </w:p>
        </w:tc>
        <w:tc>
          <w:tcPr>
            <w:tcW w:type="dxa" w:w="3312"/>
            <w:vAlign w:val="center"/>
            <w:shd w:fill="F7F9FB"/>
          </w:tcPr>
          <w:p>
            <w:r/>
            <w:r>
              <w:rPr>
                <w:rFonts w:ascii="Aptos" w:hAnsi="Aptos"/>
                <w:b w:val="0"/>
                <w:color w:val="18212F"/>
                <w:sz w:val="16"/>
              </w:rPr>
              <w:t>Connection between entities</w:t>
            </w:r>
          </w:p>
        </w:tc>
        <w:tc>
          <w:tcPr>
            <w:tcW w:type="dxa" w:w="3312"/>
            <w:vAlign w:val="center"/>
            <w:shd w:fill="F7F9FB"/>
          </w:tcPr>
          <w:p>
            <w:r/>
            <w:r>
              <w:rPr>
                <w:rFonts w:ascii="Aptos" w:hAnsi="Aptos"/>
                <w:b w:val="0"/>
                <w:color w:val="18212F"/>
                <w:sz w:val="16"/>
              </w:rPr>
              <w:t>Stores type, history, status and optional private rating</w:t>
            </w:r>
          </w:p>
        </w:tc>
      </w:tr>
      <w:tr>
        <w:tc>
          <w:tcPr>
            <w:tcW w:type="dxa" w:w="3312"/>
            <w:vAlign w:val="center"/>
          </w:tcPr>
          <w:p>
            <w:r/>
            <w:r>
              <w:rPr>
                <w:rFonts w:ascii="Aptos" w:hAnsi="Aptos"/>
                <w:b w:val="0"/>
                <w:color w:val="18212F"/>
                <w:sz w:val="16"/>
              </w:rPr>
              <w:t>Rating</w:t>
            </w:r>
          </w:p>
        </w:tc>
        <w:tc>
          <w:tcPr>
            <w:tcW w:type="dxa" w:w="3312"/>
            <w:vAlign w:val="center"/>
          </w:tcPr>
          <w:p>
            <w:r/>
            <w:r>
              <w:rPr>
                <w:rFonts w:ascii="Aptos" w:hAnsi="Aptos"/>
                <w:b w:val="0"/>
                <w:color w:val="18212F"/>
                <w:sz w:val="16"/>
              </w:rPr>
              <w:t>Internal assessment</w:t>
            </w:r>
          </w:p>
        </w:tc>
        <w:tc>
          <w:tcPr>
            <w:tcW w:type="dxa" w:w="3312"/>
            <w:vAlign w:val="center"/>
          </w:tcPr>
          <w:p>
            <w:r/>
            <w:r>
              <w:rPr>
                <w:rFonts w:ascii="Aptos" w:hAnsi="Aptos"/>
                <w:b w:val="0"/>
                <w:color w:val="18212F"/>
                <w:sz w:val="16"/>
              </w:rPr>
              <w:t>Private unless a future network policy explicitly supports sharing</w:t>
            </w:r>
          </w:p>
        </w:tc>
      </w:tr>
      <w:tr>
        <w:tc>
          <w:tcPr>
            <w:tcW w:type="dxa" w:w="3312"/>
            <w:vAlign w:val="center"/>
            <w:shd w:fill="F7F9FB"/>
          </w:tcPr>
          <w:p>
            <w:r/>
            <w:r>
              <w:rPr>
                <w:rFonts w:ascii="Aptos" w:hAnsi="Aptos"/>
                <w:b w:val="0"/>
                <w:color w:val="18212F"/>
                <w:sz w:val="16"/>
              </w:rPr>
              <w:t>Network profile</w:t>
            </w:r>
          </w:p>
        </w:tc>
        <w:tc>
          <w:tcPr>
            <w:tcW w:type="dxa" w:w="3312"/>
            <w:vAlign w:val="center"/>
            <w:shd w:fill="F7F9FB"/>
          </w:tcPr>
          <w:p>
            <w:r/>
            <w:r>
              <w:rPr>
                <w:rFonts w:ascii="Aptos" w:hAnsi="Aptos"/>
                <w:b w:val="0"/>
                <w:color w:val="18212F"/>
                <w:sz w:val="16"/>
              </w:rPr>
              <w:t>Shareable public/network identity</w:t>
            </w:r>
          </w:p>
        </w:tc>
        <w:tc>
          <w:tcPr>
            <w:tcW w:type="dxa" w:w="3312"/>
            <w:vAlign w:val="center"/>
            <w:shd w:fill="F7F9FB"/>
          </w:tcPr>
          <w:p>
            <w:r/>
            <w:r>
              <w:rPr>
                <w:rFonts w:ascii="Aptos" w:hAnsi="Aptos"/>
                <w:b w:val="0"/>
                <w:color w:val="18212F"/>
                <w:sz w:val="16"/>
              </w:rPr>
              <w:t>Contains only explicitly published fields</w:t>
            </w:r>
          </w:p>
        </w:tc>
      </w:tr>
      <w:tr>
        <w:tc>
          <w:tcPr>
            <w:tcW w:type="dxa" w:w="3312"/>
            <w:vAlign w:val="center"/>
          </w:tcPr>
          <w:p>
            <w:r/>
            <w:r>
              <w:rPr>
                <w:rFonts w:ascii="Aptos" w:hAnsi="Aptos"/>
                <w:b w:val="0"/>
                <w:color w:val="18212F"/>
                <w:sz w:val="16"/>
              </w:rPr>
              <w:t>Audit event</w:t>
            </w:r>
          </w:p>
        </w:tc>
        <w:tc>
          <w:tcPr>
            <w:tcW w:type="dxa" w:w="3312"/>
            <w:vAlign w:val="center"/>
          </w:tcPr>
          <w:p>
            <w:r/>
            <w:r>
              <w:rPr>
                <w:rFonts w:ascii="Aptos" w:hAnsi="Aptos"/>
                <w:b w:val="0"/>
                <w:color w:val="18212F"/>
                <w:sz w:val="16"/>
              </w:rPr>
              <w:t>Immutable-ish governance record</w:t>
            </w:r>
          </w:p>
        </w:tc>
        <w:tc>
          <w:tcPr>
            <w:tcW w:type="dxa" w:w="3312"/>
            <w:vAlign w:val="center"/>
          </w:tcPr>
          <w:p>
            <w:r/>
            <w:r>
              <w:rPr>
                <w:rFonts w:ascii="Aptos" w:hAnsi="Aptos"/>
                <w:b w:val="0"/>
                <w:color w:val="18212F"/>
                <w:sz w:val="16"/>
              </w:rPr>
              <w:t>Tracks user, action, target, before/after metadata and source</w:t>
            </w:r>
          </w:p>
        </w:tc>
      </w:tr>
    </w:tbl>
    <w:p>
      <w:pPr>
        <w:spacing w:after="40"/>
      </w:pPr>
    </w:p>
    <w:p>
      <w:pPr>
        <w:pStyle w:val="Heading1"/>
        <w:spacing w:after="100"/>
      </w:pPr>
      <w:r>
        <w:t>6. Functional requirements</w:t>
      </w:r>
    </w:p>
    <w:p>
      <w:pPr>
        <w:pStyle w:val="Heading2"/>
        <w:spacing w:after="100"/>
      </w:pPr>
      <w:r>
        <w:t>6.1 Authentication and company onboarding</w:t>
      </w:r>
    </w:p>
    <w:p>
      <w:pPr>
        <w:pStyle w:val="ListBullet"/>
        <w:spacing w:after="40"/>
      </w:pPr>
      <w:r>
        <w:t>Email/password and secure magic-link/OTP options as supported by the auth provider.</w:t>
      </w:r>
    </w:p>
    <w:p>
      <w:pPr>
        <w:pStyle w:val="ListBullet"/>
        <w:spacing w:after="40"/>
      </w:pPr>
      <w:r>
        <w:t>Optional social SSO later (Google/Microsoft) subject to security/privacy review.</w:t>
      </w:r>
    </w:p>
    <w:p>
      <w:pPr>
        <w:pStyle w:val="ListBullet"/>
        <w:spacing w:after="40"/>
      </w:pPr>
      <w:r>
        <w:t>Create an organisation/workspace during onboarding.</w:t>
      </w:r>
    </w:p>
    <w:p>
      <w:pPr>
        <w:pStyle w:val="ListBullet"/>
        <w:spacing w:after="40"/>
      </w:pPr>
      <w:r>
        <w:t>Invite multiple users to an organisation.</w:t>
      </w:r>
    </w:p>
    <w:p>
      <w:pPr>
        <w:pStyle w:val="ListBullet"/>
        <w:spacing w:after="40"/>
      </w:pPr>
      <w:r>
        <w:t>Support a user belonging to multiple organisations with an explicit active-workspace selector.</w:t>
      </w:r>
    </w:p>
    <w:p>
      <w:pPr>
        <w:pStyle w:val="ListBullet"/>
        <w:spacing w:after="40"/>
      </w:pPr>
      <w:r>
        <w:t>Email verification before privileged actions.</w:t>
      </w:r>
    </w:p>
    <w:p>
      <w:pPr>
        <w:pStyle w:val="ListBullet"/>
        <w:spacing w:after="40"/>
      </w:pPr>
      <w:r>
        <w:t>Account recovery with secure, expiring recovery tokens.</w:t>
      </w:r>
    </w:p>
    <w:p>
      <w:pPr>
        <w:pStyle w:val="ListBullet"/>
        <w:spacing w:after="40"/>
      </w:pPr>
      <w:r>
        <w:t>Session management screen showing active sessions/devices with remote revocation.</w:t>
      </w:r>
    </w:p>
    <w:p>
      <w:pPr>
        <w:pStyle w:val="Heading2"/>
        <w:spacing w:after="100"/>
      </w:pPr>
      <w:r>
        <w:t>6.2 Contacts and companies</w:t>
      </w:r>
    </w:p>
    <w:p>
      <w:pPr>
        <w:pStyle w:val="ListBullet"/>
        <w:spacing w:after="40"/>
      </w:pPr>
      <w:r>
        <w:t>Create/edit/archive contacts and companies.</w:t>
      </w:r>
    </w:p>
    <w:p>
      <w:pPr>
        <w:pStyle w:val="ListBullet"/>
        <w:spacing w:after="40"/>
      </w:pPr>
      <w:r>
        <w:t>Multiple contacts per company.</w:t>
      </w:r>
    </w:p>
    <w:p>
      <w:pPr>
        <w:pStyle w:val="ListBullet"/>
        <w:spacing w:after="40"/>
      </w:pPr>
      <w:r>
        <w:t>Contact details: name, company, email, socials, website; extensible with phone, title, location and tags.</w:t>
      </w:r>
    </w:p>
    <w:p>
      <w:pPr>
        <w:pStyle w:val="ListBullet"/>
        <w:spacing w:after="40"/>
      </w:pPr>
      <w:r>
        <w:t>Companies support type(s): promoter, venue, agency, artist/DJ business, supplier, other.</w:t>
      </w:r>
    </w:p>
    <w:p>
      <w:pPr>
        <w:pStyle w:val="ListBullet"/>
        <w:spacing w:after="40"/>
      </w:pPr>
      <w:r>
        <w:t>Duplicate detection and merge workflow with audit trail.</w:t>
      </w:r>
    </w:p>
    <w:p>
      <w:pPr>
        <w:pStyle w:val="ListBullet"/>
        <w:spacing w:after="40"/>
      </w:pPr>
      <w:r>
        <w:t>Activity timeline for notes, meetings, emails, tasks, documents and linked events.</w:t>
      </w:r>
    </w:p>
    <w:p>
      <w:pPr>
        <w:pStyle w:val="ListBullet"/>
        <w:spacing w:after="40"/>
      </w:pPr>
      <w:r>
        <w:t>Custom fields at entity level with validation, visibility and subscription limits.</w:t>
      </w:r>
    </w:p>
    <w:p>
      <w:pPr>
        <w:pStyle w:val="Heading2"/>
        <w:spacing w:after="100"/>
      </w:pPr>
      <w:r>
        <w:t>6.3 Artists/DJs and agents</w:t>
      </w:r>
    </w:p>
    <w:p>
      <w:pPr>
        <w:pStyle w:val="ListBullet"/>
        <w:spacing w:after="40"/>
      </w:pPr>
      <w:r>
        <w:t>Artist fields: name, genres, country, city, fee information, agents, socials, website, rider(s), photos/EPK and notes.</w:t>
      </w:r>
    </w:p>
    <w:p>
      <w:pPr>
        <w:pStyle w:val="ListBullet"/>
        <w:spacing w:after="40"/>
      </w:pPr>
      <w:r>
        <w:t>One agent can manage multiple artists.</w:t>
      </w:r>
    </w:p>
    <w:p>
      <w:pPr>
        <w:pStyle w:val="ListBullet"/>
        <w:spacing w:after="40"/>
      </w:pPr>
      <w:r>
        <w:t>Support more than one representation relationship per artist, with territory and role where needed.</w:t>
      </w:r>
    </w:p>
    <w:p>
      <w:pPr>
        <w:pStyle w:val="ListBullet"/>
        <w:spacing w:after="40"/>
      </w:pPr>
      <w:r>
        <w:t>Artist booking/event history.</w:t>
      </w:r>
    </w:p>
    <w:p>
      <w:pPr>
        <w:pStyle w:val="ListBullet"/>
        <w:spacing w:after="40"/>
      </w:pPr>
      <w:r>
        <w:t>Fee history by booking/date/currency rather than a single mutable number.</w:t>
      </w:r>
    </w:p>
    <w:p>
      <w:pPr>
        <w:pStyle w:val="ListBullet"/>
        <w:spacing w:after="40"/>
      </w:pPr>
      <w:r>
        <w:t>Hold/offer/confirmed statuses in later release.</w:t>
      </w:r>
    </w:p>
    <w:p>
      <w:pPr>
        <w:pStyle w:val="Heading2"/>
        <w:spacing w:after="100"/>
      </w:pPr>
      <w:r>
        <w:t>6.4 Venues</w:t>
      </w:r>
    </w:p>
    <w:p>
      <w:pPr>
        <w:pStyle w:val="ListBullet"/>
        <w:spacing w:after="40"/>
      </w:pPr>
      <w:r>
        <w:t>Venue profile with name, address, location, capacity, rooms, contacts, socials, website, technical information and documents.</w:t>
      </w:r>
    </w:p>
    <w:p>
      <w:pPr>
        <w:pStyle w:val="ListBullet"/>
        <w:spacing w:after="40"/>
      </w:pPr>
      <w:r>
        <w:t>Venue event history and promoter/artist history.</w:t>
      </w:r>
    </w:p>
    <w:p>
      <w:pPr>
        <w:pStyle w:val="ListBullet"/>
        <w:spacing w:after="40"/>
      </w:pPr>
      <w:r>
        <w:t>Optional room-level event assignment.</w:t>
      </w:r>
    </w:p>
    <w:p>
      <w:pPr>
        <w:pStyle w:val="ListBullet"/>
        <w:spacing w:after="40"/>
      </w:pPr>
      <w:r>
        <w:t>Venue rating dimensions configurable by tenant in a later release.</w:t>
      </w:r>
    </w:p>
    <w:p>
      <w:pPr>
        <w:pStyle w:val="Heading2"/>
        <w:spacing w:after="100"/>
      </w:pPr>
      <w:r>
        <w:t>6.5 Events</w:t>
      </w:r>
    </w:p>
    <w:p>
      <w:pPr>
        <w:pStyle w:val="ListBullet"/>
        <w:spacing w:after="40"/>
      </w:pPr>
      <w:r>
        <w:t>Event type baseline: club night, rave, tour date; extensible event types.</w:t>
      </w:r>
    </w:p>
    <w:p>
      <w:pPr>
        <w:pStyle w:val="ListBullet"/>
        <w:spacing w:after="40"/>
      </w:pPr>
      <w:r>
        <w:t>Event fields: name, date, start/end time, venue, location, lineup, ticket link and custom fields.</w:t>
      </w:r>
    </w:p>
    <w:p>
      <w:pPr>
        <w:pStyle w:val="ListBullet"/>
        <w:spacing w:after="40"/>
      </w:pPr>
      <w:r>
        <w:t>Multiple lineup entries per event.</w:t>
      </w:r>
    </w:p>
    <w:p>
      <w:pPr>
        <w:pStyle w:val="ListBullet"/>
        <w:spacing w:after="40"/>
      </w:pPr>
      <w:r>
        <w:t>Event statuses: draft, planned, hold, confirmed, on sale, sold out, completed, cancelled; allow custom status configuration later.</w:t>
      </w:r>
    </w:p>
    <w:p>
      <w:pPr>
        <w:pStyle w:val="ListBullet"/>
        <w:spacing w:after="40"/>
      </w:pPr>
      <w:r>
        <w:t>Event activity timeline.</w:t>
      </w:r>
    </w:p>
    <w:p>
      <w:pPr>
        <w:pStyle w:val="ListBullet"/>
        <w:spacing w:after="40"/>
      </w:pPr>
      <w:r>
        <w:t>Related tasks, meetings, notes, files, financials and communications.</w:t>
      </w:r>
    </w:p>
    <w:p>
      <w:pPr>
        <w:pStyle w:val="ListBullet"/>
        <w:spacing w:after="40"/>
      </w:pPr>
      <w:r>
        <w:t>Event-level visibility respects the owning organisation and any explicitly published network data.</w:t>
      </w:r>
    </w:p>
    <w:p>
      <w:pPr>
        <w:pStyle w:val="Heading2"/>
        <w:spacing w:after="100"/>
      </w:pPr>
      <w:r>
        <w:t>6.6 Tasks, meetings, notes</w:t>
      </w:r>
    </w:p>
    <w:p>
      <w:pPr>
        <w:pStyle w:val="ListBullet"/>
        <w:spacing w:after="40"/>
      </w:pPr>
      <w:r>
        <w:t>Create tasks with title, owner, due date, priority, status, related entity and reminder.</w:t>
      </w:r>
    </w:p>
    <w:p>
      <w:pPr>
        <w:pStyle w:val="ListBullet"/>
        <w:spacing w:after="40"/>
      </w:pPr>
      <w:r>
        <w:t>Create meetings with date/time, attendees, location/link, notes and related records.</w:t>
      </w:r>
    </w:p>
    <w:p>
      <w:pPr>
        <w:pStyle w:val="ListBullet"/>
        <w:spacing w:after="40"/>
      </w:pPr>
      <w:r>
        <w:t>Notes support rich text, attachments, links and mentions; private vs company visibility.</w:t>
      </w:r>
    </w:p>
    <w:p>
      <w:pPr>
        <w:pStyle w:val="ListBullet"/>
        <w:spacing w:after="40"/>
      </w:pPr>
      <w:r>
        <w:t>Activity timelines should show chronological business context.</w:t>
      </w:r>
    </w:p>
    <w:p>
      <w:pPr>
        <w:pStyle w:val="ListBullet"/>
        <w:spacing w:after="40"/>
      </w:pPr>
      <w:r>
        <w:t>Recurring tasks and automation rules may be added after the core workflow is stable.</w:t>
      </w:r>
    </w:p>
    <w:p>
      <w:pPr>
        <w:pStyle w:val="Heading2"/>
        <w:spacing w:after="100"/>
      </w:pPr>
      <w:r>
        <w:t>6.7 Documents</w:t>
      </w:r>
    </w:p>
    <w:p>
      <w:pPr>
        <w:pStyle w:val="ListBullet"/>
        <w:spacing w:after="40"/>
      </w:pPr>
      <w:r>
        <w:t>Secure upload to isolated storage; never expose unrestricted public buckets for private files.</w:t>
      </w:r>
    </w:p>
    <w:p>
      <w:pPr>
        <w:pStyle w:val="ListBullet"/>
        <w:spacing w:after="40"/>
      </w:pPr>
      <w:r>
        <w:t>Attach files to relevant entities.</w:t>
      </w:r>
    </w:p>
    <w:p>
      <w:pPr>
        <w:pStyle w:val="ListBullet"/>
        <w:spacing w:after="40"/>
      </w:pPr>
      <w:r>
        <w:t>Enforce file-size, MIME-type and extension allowlists.</w:t>
      </w:r>
    </w:p>
    <w:p>
      <w:pPr>
        <w:pStyle w:val="ListBullet"/>
        <w:spacing w:after="40"/>
      </w:pPr>
      <w:r>
        <w:t>Store metadata separately from file content.</w:t>
      </w:r>
    </w:p>
    <w:p>
      <w:pPr>
        <w:pStyle w:val="ListBullet"/>
        <w:spacing w:after="40"/>
      </w:pPr>
      <w:r>
        <w:t>Use short-lived signed URLs for downloads.</w:t>
      </w:r>
    </w:p>
    <w:p>
      <w:pPr>
        <w:pStyle w:val="ListBullet"/>
        <w:spacing w:after="40"/>
      </w:pPr>
      <w:r>
        <w:t>Log upload, view/download, share and delete actions.</w:t>
      </w:r>
    </w:p>
    <w:p>
      <w:pPr>
        <w:pStyle w:val="ListBullet"/>
        <w:spacing w:after="40"/>
      </w:pPr>
      <w:r>
        <w:t>Plan for document versioning and retention policies.</w:t>
      </w:r>
    </w:p>
    <w:p>
      <w:pPr>
        <w:pStyle w:val="Heading2"/>
        <w:spacing w:after="100"/>
      </w:pPr>
      <w:r>
        <w:t>6.8 Finance</w:t>
      </w:r>
    </w:p>
    <w:p>
      <w:pPr>
        <w:pStyle w:val="ListBullet"/>
        <w:spacing w:after="40"/>
      </w:pPr>
      <w:r>
        <w:t>Store event revenue and cost entries with amount, currency, date, category, status, related event and optional supplier/artist.</w:t>
      </w:r>
    </w:p>
    <w:p>
      <w:pPr>
        <w:pStyle w:val="ListBullet"/>
        <w:spacing w:after="40"/>
      </w:pPr>
      <w:r>
        <w:t>Support custom finance fields.</w:t>
      </w:r>
    </w:p>
    <w:p>
      <w:pPr>
        <w:pStyle w:val="ListBullet"/>
        <w:spacing w:after="40"/>
      </w:pPr>
      <w:r>
        <w:t>Provide event gross/expense/net summaries.</w:t>
      </w:r>
    </w:p>
    <w:p>
      <w:pPr>
        <w:pStyle w:val="ListBullet"/>
        <w:spacing w:after="40"/>
      </w:pPr>
      <w:r>
        <w:t>Keep finance records separate from generic notes so permissions can be more restrictive.</w:t>
      </w:r>
    </w:p>
    <w:p>
      <w:pPr>
        <w:pStyle w:val="ListBullet"/>
        <w:spacing w:after="40"/>
      </w:pPr>
      <w:r>
        <w:t>Future release: offers, deposits, invoices, settlements, payments and accounting integrations.</w:t>
      </w:r>
    </w:p>
    <w:p>
      <w:pPr>
        <w:pStyle w:val="Heading1"/>
        <w:spacing w:after="100"/>
      </w:pPr>
      <w:r>
        <w:t>7. Industry network model</w:t>
      </w:r>
    </w:p>
    <w:p>
      <w:pPr>
        <w:spacing w:after="100"/>
      </w:pPr>
      <w:r>
        <w:t>The network enables discovery and shared identity without collapsing private tenant data into a common public record.</w:t>
      </w:r>
    </w:p>
    <w:tbl>
      <w:tblPr>
        <w:tblStyle w:val="TableGrid"/>
        <w:tblW w:type="auto" w:w="0"/>
        <w:tblLook w:firstColumn="1" w:firstRow="1" w:lastColumn="0" w:lastRow="0" w:noHBand="0" w:noVBand="1" w:val="04A0"/>
      </w:tblPr>
      <w:tblGrid>
        <w:gridCol w:w="9936"/>
      </w:tblGrid>
      <w:tr>
        <w:tc>
          <w:tcPr>
            <w:tcW w:type="dxa" w:w="9936"/>
            <w:shd w:fill="E9F8F8"/>
          </w:tcPr>
          <w:p>
            <w:r/>
            <w:r>
              <w:rPr>
                <w:b/>
                <w:color w:val="00A6A6"/>
                <w:sz w:val="20"/>
              </w:rPr>
              <w:t>Privacy boundary</w:t>
            </w:r>
            <w:r>
              <w:rPr>
                <w:sz w:val="18"/>
              </w:rPr>
              <w:t xml:space="preserve">  Network identity and company-private data must be separate concepts. Matching a contact to a network identity must never automatically reveal private notes, internal ratings, financials, documents or activity.</w:t>
            </w:r>
          </w:p>
        </w:tc>
      </w:tr>
    </w:tbl>
    <w:p>
      <w:pPr>
        <w:spacing w:after="40"/>
      </w:pPr>
    </w:p>
    <w:p>
      <w:pPr>
        <w:pStyle w:val="Heading2"/>
        <w:spacing w:after="100"/>
      </w:pPr>
      <w:r>
        <w:t>Network requirements</w:t>
      </w:r>
    </w:p>
    <w:p>
      <w:pPr>
        <w:pStyle w:val="ListBullet"/>
        <w:spacing w:after="40"/>
      </w:pPr>
      <w:r>
        <w:t>Users can optionally publish a network profile for a company, artist, venue, agent or supplier.</w:t>
      </w:r>
    </w:p>
    <w:p>
      <w:pPr>
        <w:pStyle w:val="ListBullet"/>
        <w:spacing w:after="40"/>
      </w:pPr>
      <w:r>
        <w:t>Public/network fields are explicitly selected; default is private.</w:t>
      </w:r>
    </w:p>
    <w:p>
      <w:pPr>
        <w:pStyle w:val="ListBullet"/>
        <w:spacing w:after="40"/>
      </w:pPr>
      <w:r>
        <w:t>Network discovery uses only published fields.</w:t>
      </w:r>
    </w:p>
    <w:p>
      <w:pPr>
        <w:pStyle w:val="ListBullet"/>
        <w:spacing w:after="40"/>
      </w:pPr>
      <w:r>
        <w:t>Connection/follow/request functionality must not bypass tenant RLS.</w:t>
      </w:r>
    </w:p>
    <w:p>
      <w:pPr>
        <w:pStyle w:val="ListBullet"/>
        <w:spacing w:after="40"/>
      </w:pPr>
      <w:r>
        <w:t>A network identity may be linked to multiple private tenant records without merging private data.</w:t>
      </w:r>
    </w:p>
    <w:p>
      <w:pPr>
        <w:pStyle w:val="ListBullet"/>
        <w:spacing w:after="40"/>
      </w:pPr>
      <w:r>
        <w:t>Future: verified profiles, availability, booking enquiries and marketplace features.</w:t>
      </w:r>
    </w:p>
    <w:p>
      <w:pPr>
        <w:pStyle w:val="Heading1"/>
        <w:spacing w:after="100"/>
      </w:pPr>
      <w:r>
        <w:t>8. Roles, permissions and subscriptions</w:t>
      </w:r>
    </w:p>
    <w:p>
      <w:pPr>
        <w:spacing w:after="100"/>
      </w:pPr>
      <w:r>
        <w:t>Permissions must be the intersection of: platform policy, subscription entitlements, organisation role, record scope and user-specific exceptions.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32238"/>
          </w:tcPr>
          <w:p>
            <w:r/>
            <w:r>
              <w:rPr>
                <w:rFonts w:ascii="Aptos" w:hAnsi="Aptos"/>
                <w:b/>
                <w:color w:val="FFFFFF"/>
                <w:sz w:val="17"/>
              </w:rPr>
              <w:t>Role</w:t>
            </w:r>
          </w:p>
        </w:tc>
        <w:tc>
          <w:tcPr>
            <w:tcW w:type="dxa" w:w="4968"/>
            <w:vAlign w:val="center"/>
            <w:shd w:fill="132238"/>
          </w:tcPr>
          <w:p>
            <w:r/>
            <w:r>
              <w:rPr>
                <w:rFonts w:ascii="Aptos" w:hAnsi="Aptos"/>
                <w:b/>
                <w:color w:val="FFFFFF"/>
                <w:sz w:val="17"/>
              </w:rPr>
              <w:t>Typical permissions</w:t>
            </w:r>
          </w:p>
        </w:tc>
      </w:tr>
      <w:tr>
        <w:tc>
          <w:tcPr>
            <w:tcW w:type="dxa" w:w="4968"/>
            <w:vAlign w:val="center"/>
            <w:shd w:fill="F7F9FB"/>
          </w:tcPr>
          <w:p>
            <w:r/>
            <w:r>
              <w:rPr>
                <w:rFonts w:ascii="Aptos" w:hAnsi="Aptos"/>
                <w:b w:val="0"/>
                <w:color w:val="18212F"/>
                <w:sz w:val="16"/>
              </w:rPr>
              <w:t>Organisation Owner</w:t>
            </w:r>
          </w:p>
        </w:tc>
        <w:tc>
          <w:tcPr>
            <w:tcW w:type="dxa" w:w="4968"/>
            <w:vAlign w:val="center"/>
            <w:shd w:fill="F7F9FB"/>
          </w:tcPr>
          <w:p>
            <w:r/>
            <w:r>
              <w:rPr>
                <w:rFonts w:ascii="Aptos" w:hAnsi="Aptos"/>
                <w:b w:val="0"/>
                <w:color w:val="18212F"/>
                <w:sz w:val="16"/>
              </w:rPr>
              <w:t>All organisation data; billing; user/role management; security settings; exports</w:t>
            </w:r>
          </w:p>
        </w:tc>
      </w:tr>
      <w:tr>
        <w:tc>
          <w:tcPr>
            <w:tcW w:type="dxa" w:w="4968"/>
            <w:vAlign w:val="center"/>
          </w:tcPr>
          <w:p>
            <w:r/>
            <w:r>
              <w:rPr>
                <w:rFonts w:ascii="Aptos" w:hAnsi="Aptos"/>
                <w:b w:val="0"/>
                <w:color w:val="18212F"/>
                <w:sz w:val="16"/>
              </w:rPr>
              <w:t>Organisation Admin</w:t>
            </w:r>
          </w:p>
        </w:tc>
        <w:tc>
          <w:tcPr>
            <w:tcW w:type="dxa" w:w="4968"/>
            <w:vAlign w:val="center"/>
          </w:tcPr>
          <w:p>
            <w:r/>
            <w:r>
              <w:rPr>
                <w:rFonts w:ascii="Aptos" w:hAnsi="Aptos"/>
                <w:b w:val="0"/>
                <w:color w:val="18212F"/>
                <w:sz w:val="16"/>
              </w:rPr>
              <w:t>Most operational/admin functions; no ownership transfer unless granted</w:t>
            </w:r>
          </w:p>
        </w:tc>
      </w:tr>
      <w:tr>
        <w:tc>
          <w:tcPr>
            <w:tcW w:type="dxa" w:w="4968"/>
            <w:vAlign w:val="center"/>
            <w:shd w:fill="F7F9FB"/>
          </w:tcPr>
          <w:p>
            <w:r/>
            <w:r>
              <w:rPr>
                <w:rFonts w:ascii="Aptos" w:hAnsi="Aptos"/>
                <w:b w:val="0"/>
                <w:color w:val="18212F"/>
                <w:sz w:val="16"/>
              </w:rPr>
              <w:t>Manager</w:t>
            </w:r>
          </w:p>
        </w:tc>
        <w:tc>
          <w:tcPr>
            <w:tcW w:type="dxa" w:w="4968"/>
            <w:vAlign w:val="center"/>
            <w:shd w:fill="F7F9FB"/>
          </w:tcPr>
          <w:p>
            <w:r/>
            <w:r>
              <w:rPr>
                <w:rFonts w:ascii="Aptos" w:hAnsi="Aptos"/>
                <w:b w:val="0"/>
                <w:color w:val="18212F"/>
                <w:sz w:val="16"/>
              </w:rPr>
              <w:t>Manage assigned areas and team activity</w:t>
            </w:r>
          </w:p>
        </w:tc>
      </w:tr>
      <w:tr>
        <w:tc>
          <w:tcPr>
            <w:tcW w:type="dxa" w:w="4968"/>
            <w:vAlign w:val="center"/>
          </w:tcPr>
          <w:p>
            <w:r/>
            <w:r>
              <w:rPr>
                <w:rFonts w:ascii="Aptos" w:hAnsi="Aptos"/>
                <w:b w:val="0"/>
                <w:color w:val="18212F"/>
                <w:sz w:val="16"/>
              </w:rPr>
              <w:t>Booker</w:t>
            </w:r>
          </w:p>
        </w:tc>
        <w:tc>
          <w:tcPr>
            <w:tcW w:type="dxa" w:w="4968"/>
            <w:vAlign w:val="center"/>
          </w:tcPr>
          <w:p>
            <w:r/>
            <w:r>
              <w:rPr>
                <w:rFonts w:ascii="Aptos" w:hAnsi="Aptos"/>
                <w:b w:val="0"/>
                <w:color w:val="18212F"/>
                <w:sz w:val="16"/>
              </w:rPr>
              <w:t>Artists, agents, offers/holds/bookings, events and contacts within scope</w:t>
            </w:r>
          </w:p>
        </w:tc>
      </w:tr>
      <w:tr>
        <w:tc>
          <w:tcPr>
            <w:tcW w:type="dxa" w:w="4968"/>
            <w:vAlign w:val="center"/>
            <w:shd w:fill="F7F9FB"/>
          </w:tcPr>
          <w:p>
            <w:r/>
            <w:r>
              <w:rPr>
                <w:rFonts w:ascii="Aptos" w:hAnsi="Aptos"/>
                <w:b w:val="0"/>
                <w:color w:val="18212F"/>
                <w:sz w:val="16"/>
              </w:rPr>
              <w:t>Venue Manager</w:t>
            </w:r>
          </w:p>
        </w:tc>
        <w:tc>
          <w:tcPr>
            <w:tcW w:type="dxa" w:w="4968"/>
            <w:vAlign w:val="center"/>
            <w:shd w:fill="F7F9FB"/>
          </w:tcPr>
          <w:p>
            <w:r/>
            <w:r>
              <w:rPr>
                <w:rFonts w:ascii="Aptos" w:hAnsi="Aptos"/>
                <w:b w:val="0"/>
                <w:color w:val="18212F"/>
                <w:sz w:val="16"/>
              </w:rPr>
              <w:t>Venue, rooms, events, promoters, artists and suppliers</w:t>
            </w:r>
          </w:p>
        </w:tc>
      </w:tr>
      <w:tr>
        <w:tc>
          <w:tcPr>
            <w:tcW w:type="dxa" w:w="4968"/>
            <w:vAlign w:val="center"/>
          </w:tcPr>
          <w:p>
            <w:r/>
            <w:r>
              <w:rPr>
                <w:rFonts w:ascii="Aptos" w:hAnsi="Aptos"/>
                <w:b w:val="0"/>
                <w:color w:val="18212F"/>
                <w:sz w:val="16"/>
              </w:rPr>
              <w:t>Finance</w:t>
            </w:r>
          </w:p>
        </w:tc>
        <w:tc>
          <w:tcPr>
            <w:tcW w:type="dxa" w:w="4968"/>
            <w:vAlign w:val="center"/>
          </w:tcPr>
          <w:p>
            <w:r/>
            <w:r>
              <w:rPr>
                <w:rFonts w:ascii="Aptos" w:hAnsi="Aptos"/>
                <w:b w:val="0"/>
                <w:color w:val="18212F"/>
                <w:sz w:val="16"/>
              </w:rPr>
              <w:t>Finance records, reports, payment-related data</w:t>
            </w:r>
          </w:p>
        </w:tc>
      </w:tr>
      <w:tr>
        <w:tc>
          <w:tcPr>
            <w:tcW w:type="dxa" w:w="4968"/>
            <w:vAlign w:val="center"/>
            <w:shd w:fill="F7F9FB"/>
          </w:tcPr>
          <w:p>
            <w:r/>
            <w:r>
              <w:rPr>
                <w:rFonts w:ascii="Aptos" w:hAnsi="Aptos"/>
                <w:b w:val="0"/>
                <w:color w:val="18212F"/>
                <w:sz w:val="16"/>
              </w:rPr>
              <w:t>Marketing</w:t>
            </w:r>
          </w:p>
        </w:tc>
        <w:tc>
          <w:tcPr>
            <w:tcW w:type="dxa" w:w="4968"/>
            <w:vAlign w:val="center"/>
            <w:shd w:fill="F7F9FB"/>
          </w:tcPr>
          <w:p>
            <w:r/>
            <w:r>
              <w:rPr>
                <w:rFonts w:ascii="Aptos" w:hAnsi="Aptos"/>
                <w:b w:val="0"/>
                <w:color w:val="18212F"/>
                <w:sz w:val="16"/>
              </w:rPr>
              <w:t>Contacts, events, communications and marketing fields; restricted finance</w:t>
            </w:r>
          </w:p>
        </w:tc>
      </w:tr>
      <w:tr>
        <w:tc>
          <w:tcPr>
            <w:tcW w:type="dxa" w:w="4968"/>
            <w:vAlign w:val="center"/>
          </w:tcPr>
          <w:p>
            <w:r/>
            <w:r>
              <w:rPr>
                <w:rFonts w:ascii="Aptos" w:hAnsi="Aptos"/>
                <w:b w:val="0"/>
                <w:color w:val="18212F"/>
                <w:sz w:val="16"/>
              </w:rPr>
              <w:t>Standard User</w:t>
            </w:r>
          </w:p>
        </w:tc>
        <w:tc>
          <w:tcPr>
            <w:tcW w:type="dxa" w:w="4968"/>
            <w:vAlign w:val="center"/>
          </w:tcPr>
          <w:p>
            <w:r/>
            <w:r>
              <w:rPr>
                <w:rFonts w:ascii="Aptos" w:hAnsi="Aptos"/>
                <w:b w:val="0"/>
                <w:color w:val="18212F"/>
                <w:sz w:val="16"/>
              </w:rPr>
              <w:t>Only assigned/allowed records</w:t>
            </w:r>
          </w:p>
        </w:tc>
      </w:tr>
      <w:tr>
        <w:tc>
          <w:tcPr>
            <w:tcW w:type="dxa" w:w="4968"/>
            <w:vAlign w:val="center"/>
            <w:shd w:fill="F7F9FB"/>
          </w:tcPr>
          <w:p>
            <w:r/>
            <w:r>
              <w:rPr>
                <w:rFonts w:ascii="Aptos" w:hAnsi="Aptos"/>
                <w:b w:val="0"/>
                <w:color w:val="18212F"/>
                <w:sz w:val="16"/>
              </w:rPr>
              <w:t>Read Only</w:t>
            </w:r>
          </w:p>
        </w:tc>
        <w:tc>
          <w:tcPr>
            <w:tcW w:type="dxa" w:w="4968"/>
            <w:vAlign w:val="center"/>
            <w:shd w:fill="F7F9FB"/>
          </w:tcPr>
          <w:p>
            <w:r/>
            <w:r>
              <w:rPr>
                <w:rFonts w:ascii="Aptos" w:hAnsi="Aptos"/>
                <w:b w:val="0"/>
                <w:color w:val="18212F"/>
                <w:sz w:val="16"/>
              </w:rPr>
              <w:t>View permitted data; no mutation</w:t>
            </w:r>
          </w:p>
        </w:tc>
      </w:tr>
      <w:tr>
        <w:tc>
          <w:tcPr>
            <w:tcW w:type="dxa" w:w="4968"/>
            <w:vAlign w:val="center"/>
          </w:tcPr>
          <w:p>
            <w:r/>
            <w:r>
              <w:rPr>
                <w:rFonts w:ascii="Aptos" w:hAnsi="Aptos"/>
                <w:b w:val="0"/>
                <w:color w:val="18212F"/>
                <w:sz w:val="16"/>
              </w:rPr>
              <w:t>Platform Superuser</w:t>
            </w:r>
          </w:p>
        </w:tc>
        <w:tc>
          <w:tcPr>
            <w:tcW w:type="dxa" w:w="4968"/>
            <w:vAlign w:val="center"/>
          </w:tcPr>
          <w:p>
            <w:r/>
            <w:r>
              <w:rPr>
                <w:rFonts w:ascii="Aptos" w:hAnsi="Aptos"/>
                <w:b w:val="0"/>
                <w:color w:val="18212F"/>
                <w:sz w:val="16"/>
              </w:rPr>
              <w:t>Platform support/security/audit access with explicit break-glass controls</w:t>
            </w:r>
          </w:p>
        </w:tc>
      </w:tr>
    </w:tbl>
    <w:p>
      <w:pPr>
        <w:spacing w:after="40"/>
      </w:pPr>
    </w:p>
    <w:p>
      <w:pPr>
        <w:pStyle w:val="Heading2"/>
        <w:spacing w:after="100"/>
      </w:pPr>
      <w:r>
        <w:t>Subscription capabilities</w:t>
      </w:r>
    </w:p>
    <w:p>
      <w:pPr>
        <w:pStyle w:val="ListBullet"/>
        <w:spacing w:after="40"/>
      </w:pPr>
      <w:r>
        <w:t>Entitlements must be enforced server-side, not only hidden in the UI.</w:t>
      </w:r>
    </w:p>
    <w:p>
      <w:pPr>
        <w:pStyle w:val="ListBullet"/>
        <w:spacing w:after="40"/>
      </w:pPr>
      <w:r>
        <w:t>Plan limits may apply to users, records, storage, integrations, audit retention, automation and AI usage.</w:t>
      </w:r>
    </w:p>
    <w:p>
      <w:pPr>
        <w:pStyle w:val="ListBullet"/>
        <w:spacing w:after="40"/>
      </w:pPr>
      <w:r>
        <w:t>Subscription downgrades must not silently delete data; features become read-only or limited with clear remediation paths.</w:t>
      </w:r>
    </w:p>
    <w:p>
      <w:pPr>
        <w:pStyle w:val="ListBullet"/>
        <w:spacing w:after="40"/>
      </w:pPr>
      <w:r>
        <w:t>Billing/subscription state changes must be audited.</w:t>
      </w:r>
    </w:p>
    <w:p>
      <w:pPr>
        <w:pStyle w:val="Heading1"/>
        <w:spacing w:after="100"/>
      </w:pPr>
      <w:r>
        <w:t>9. UI/UX requirements</w:t>
      </w:r>
    </w:p>
    <w:p>
      <w:pPr>
        <w:spacing w:after="100"/>
      </w:pPr>
      <w:r>
        <w:t>The application should use a bespoke design system informed by UI/UX Pro Max and relevant Claude skills. The design process should produce a real visual language rather than generic dashboard cards.</w:t>
      </w:r>
    </w:p>
    <w:p>
      <w:pPr>
        <w:pStyle w:val="Heading2"/>
        <w:spacing w:after="100"/>
      </w:pPr>
      <w:r>
        <w:t>UX direction</w:t>
      </w:r>
    </w:p>
    <w:p>
      <w:pPr>
        <w:pStyle w:val="ListBullet"/>
        <w:spacing w:after="40"/>
      </w:pPr>
      <w:r>
        <w:t>Desktop-first responsive web app, optimised for laptops/large screens used by operations teams.</w:t>
      </w:r>
    </w:p>
    <w:p>
      <w:pPr>
        <w:pStyle w:val="ListBullet"/>
        <w:spacing w:after="40"/>
      </w:pPr>
      <w:r>
        <w:t>Mobile responsive for urgent event-day actions; native app is not required for MVP.</w:t>
      </w:r>
    </w:p>
    <w:p>
      <w:pPr>
        <w:pStyle w:val="ListBullet"/>
        <w:spacing w:after="40"/>
      </w:pPr>
      <w:r>
        <w:t>High information density without visual clutter.</w:t>
      </w:r>
    </w:p>
    <w:p>
      <w:pPr>
        <w:pStyle w:val="ListBullet"/>
        <w:spacing w:after="40"/>
      </w:pPr>
      <w:r>
        <w:t>Keyboard-friendly navigation and command/search patterns.</w:t>
      </w:r>
    </w:p>
    <w:p>
      <w:pPr>
        <w:pStyle w:val="ListBullet"/>
        <w:spacing w:after="40"/>
      </w:pPr>
      <w:r>
        <w:t>Fast global search across private records and permitted network records.</w:t>
      </w:r>
    </w:p>
    <w:p>
      <w:pPr>
        <w:pStyle w:val="ListBullet"/>
        <w:spacing w:after="40"/>
      </w:pPr>
      <w:r>
        <w:t>Strong contextual side panels/drawers for quick edits.</w:t>
      </w:r>
    </w:p>
    <w:p>
      <w:pPr>
        <w:pStyle w:val="ListBullet"/>
        <w:spacing w:after="40"/>
      </w:pPr>
      <w:r>
        <w:t>Clear status chips and relationship indicators.</w:t>
      </w:r>
    </w:p>
    <w:p>
      <w:pPr>
        <w:pStyle w:val="ListBullet"/>
        <w:spacing w:after="40"/>
      </w:pPr>
      <w:r>
        <w:t>Timeline/activity components as a consistent pattern across entities.</w:t>
      </w:r>
    </w:p>
    <w:p>
      <w:pPr>
        <w:pStyle w:val="ListBullet"/>
        <w:spacing w:after="40"/>
      </w:pPr>
      <w:r>
        <w:t>Financial information uses careful hierarchy and clear currency/date formatting.</w:t>
      </w:r>
    </w:p>
    <w:p>
      <w:pPr>
        <w:pStyle w:val="ListBullet"/>
        <w:spacing w:after="40"/>
      </w:pPr>
      <w:r>
        <w:t>Empty states should teach the workflow rather than simply say “No data”.</w:t>
      </w:r>
    </w:p>
    <w:p>
      <w:pPr>
        <w:pStyle w:val="ListBullet"/>
        <w:spacing w:after="40"/>
      </w:pPr>
      <w:r>
        <w:t>Accessible colour contrast, focus states, semantic HTML and keyboard navigation from the beginning.</w:t>
      </w:r>
    </w:p>
    <w:p>
      <w:pPr>
        <w:pStyle w:val="Heading2"/>
        <w:spacing w:after="100"/>
      </w:pPr>
      <w:r>
        <w:t>Design deliverables</w:t>
      </w:r>
    </w:p>
    <w:p>
      <w:pPr>
        <w:pStyle w:val="ListBullet"/>
        <w:spacing w:after="40"/>
      </w:pPr>
      <w:r>
        <w:t>Brand/visual direction board.</w:t>
      </w:r>
    </w:p>
    <w:p>
      <w:pPr>
        <w:pStyle w:val="ListBullet"/>
        <w:spacing w:after="40"/>
      </w:pPr>
      <w:r>
        <w:t>Design tokens: type scale, spacing, radii, elevation, colour, motion and states.</w:t>
      </w:r>
    </w:p>
    <w:p>
      <w:pPr>
        <w:pStyle w:val="ListBullet"/>
        <w:spacing w:after="40"/>
      </w:pPr>
      <w:r>
        <w:t>Component library for forms, tables, drawers, modals, timelines, filters, status pills, charts and notifications.</w:t>
      </w:r>
    </w:p>
    <w:p>
      <w:pPr>
        <w:pStyle w:val="ListBullet"/>
        <w:spacing w:after="40"/>
      </w:pPr>
      <w:r>
        <w:t>Responsive layouts for dashboard, entity detail, event workspace, network, settings and admin.</w:t>
      </w:r>
    </w:p>
    <w:p>
      <w:pPr>
        <w:pStyle w:val="ListBullet"/>
        <w:spacing w:after="40"/>
      </w:pPr>
      <w:r>
        <w:t>Security-sensitive UI states for permissions, sessions, audit logs and file access.</w:t>
      </w:r>
    </w:p>
    <w:p>
      <w:pPr>
        <w:pStyle w:val="ListBullet"/>
        <w:spacing w:after="40"/>
      </w:pPr>
      <w:r>
        <w:t>Prototype of core “golden path”: create contact → create event → add artist → add venue → add task → view activity.</w:t>
      </w:r>
    </w:p>
    <w:p>
      <w:pPr>
        <w:pStyle w:val="Heading1"/>
        <w:spacing w:after="100"/>
      </w:pPr>
      <w:r>
        <w:t>10. Security architecture and controls</w:t>
      </w:r>
    </w:p>
    <w:tbl>
      <w:tblPr>
        <w:tblStyle w:val="TableGrid"/>
        <w:tblW w:type="auto" w:w="0"/>
        <w:tblLook w:firstColumn="1" w:firstRow="1" w:lastColumn="0" w:lastRow="0" w:noHBand="0" w:noVBand="1" w:val="04A0"/>
      </w:tblPr>
      <w:tblGrid>
        <w:gridCol w:w="9936"/>
      </w:tblGrid>
      <w:tr>
        <w:tc>
          <w:tcPr>
            <w:tcW w:type="dxa" w:w="9936"/>
            <w:shd w:fill="E9F8F8"/>
          </w:tcPr>
          <w:p>
            <w:r/>
            <w:r>
              <w:rPr>
                <w:b/>
                <w:color w:val="00A6A6"/>
                <w:sz w:val="20"/>
              </w:rPr>
              <w:t>Security gate</w:t>
            </w:r>
            <w:r>
              <w:rPr>
                <w:sz w:val="18"/>
              </w:rPr>
              <w:t xml:space="preserve">  No feature is considered production-ready until threat modelling, access-control tests and applicable OWASP-aligned tests pass. Security requirements are mandatory acceptance criteria, not optional hardening work.</w:t>
            </w:r>
          </w:p>
        </w:tc>
      </w:tr>
    </w:tbl>
    <w:p>
      <w:pPr>
        <w:spacing w:after="40"/>
      </w:pPr>
    </w:p>
    <w:p>
      <w:pPr>
        <w:pStyle w:val="Heading2"/>
        <w:spacing w:after="100"/>
      </w:pPr>
      <w:r>
        <w:t>10.1 Database and RLS</w:t>
      </w:r>
    </w:p>
    <w:p>
      <w:pPr>
        <w:pStyle w:val="ListBullet"/>
        <w:spacing w:after="40"/>
      </w:pPr>
      <w:r>
        <w:t>Enable PostgreSQL Row Level Security on every tenant-owned table before application access is enabled.</w:t>
      </w:r>
    </w:p>
    <w:p>
      <w:pPr>
        <w:pStyle w:val="ListBullet"/>
        <w:spacing w:after="40"/>
      </w:pPr>
      <w:r>
        <w:t>Use organisation membership tables to determine access; do not trust client-supplied organisation IDs.</w:t>
      </w:r>
    </w:p>
    <w:p>
      <w:pPr>
        <w:pStyle w:val="ListBullet"/>
        <w:spacing w:after="40"/>
      </w:pPr>
      <w:r>
        <w:t>Policies must enforce least privilege at row level for SELECT/INSERT/UPDATE/DELETE separately where useful.</w:t>
      </w:r>
    </w:p>
    <w:p>
      <w:pPr>
        <w:pStyle w:val="ListBullet"/>
        <w:spacing w:after="40"/>
      </w:pPr>
      <w:r>
        <w:t>Network/public records must have explicit published/read policies separate from private organisation policies.</w:t>
      </w:r>
    </w:p>
    <w:p>
      <w:pPr>
        <w:pStyle w:val="ListBullet"/>
        <w:spacing w:after="40"/>
      </w:pPr>
      <w:r>
        <w:t>Service/secret keys must never be shipped to the browser. Supabase documents that service-role/secret keys bypass RLS and must stay server-side. [Supabase, “Securing your data”]</w:t>
      </w:r>
    </w:p>
    <w:p>
      <w:pPr>
        <w:pStyle w:val="ListBullet"/>
        <w:spacing w:after="40"/>
      </w:pPr>
      <w:r>
        <w:t>Use database constraints, foreign keys, CHECK constraints and controlled enums to reduce invalid state.</w:t>
      </w:r>
    </w:p>
    <w:p>
      <w:pPr>
        <w:pStyle w:val="ListBullet"/>
        <w:spacing w:after="40"/>
      </w:pPr>
      <w:r>
        <w:t>Prefer SECURITY DEFINER functions only where necessary; lock search_path, restrict EXECUTE and review every privileged function.</w:t>
      </w:r>
    </w:p>
    <w:p>
      <w:pPr>
        <w:pStyle w:val="ListBullet"/>
        <w:spacing w:after="40"/>
      </w:pPr>
      <w:r>
        <w:t>Use views/functions carefully so they cannot become RLS bypasses.</w:t>
      </w:r>
    </w:p>
    <w:p>
      <w:pPr>
        <w:pStyle w:val="ListBullet"/>
        <w:spacing w:after="40"/>
      </w:pPr>
      <w:r>
        <w:t>Finance and security/audit records should have additional restrictive policies.</w:t>
      </w:r>
    </w:p>
    <w:p>
      <w:pPr>
        <w:pStyle w:val="Heading2"/>
        <w:spacing w:after="100"/>
      </w:pPr>
      <w:r>
        <w:t>10.2 SQL security and parameterisation</w:t>
      </w:r>
    </w:p>
    <w:p>
      <w:pPr>
        <w:pStyle w:val="ListBullet"/>
        <w:spacing w:after="40"/>
      </w:pPr>
      <w:r>
        <w:t>All database queries must be parameterised or built with trusted query builders.</w:t>
      </w:r>
    </w:p>
    <w:p>
      <w:pPr>
        <w:pStyle w:val="ListBullet"/>
        <w:spacing w:after="40"/>
      </w:pPr>
      <w:r>
        <w:t>Never concatenate user input into SQL strings.</w:t>
      </w:r>
    </w:p>
    <w:p>
      <w:pPr>
        <w:pStyle w:val="ListBullet"/>
        <w:spacing w:after="40"/>
      </w:pPr>
      <w:r>
        <w:t>Search/filter/sort inputs must map to allowlisted column names and operators.</w:t>
      </w:r>
    </w:p>
    <w:p>
      <w:pPr>
        <w:pStyle w:val="ListBullet"/>
        <w:spacing w:after="40"/>
      </w:pPr>
      <w:r>
        <w:t>Server-side functions must validate all input types, bounds and allowed values.</w:t>
      </w:r>
    </w:p>
    <w:p>
      <w:pPr>
        <w:pStyle w:val="ListBullet"/>
        <w:spacing w:after="40"/>
      </w:pPr>
      <w:r>
        <w:t>Use least-privilege database roles.</w:t>
      </w:r>
    </w:p>
    <w:p>
      <w:pPr>
        <w:pStyle w:val="ListBullet"/>
        <w:spacing w:after="40"/>
      </w:pPr>
      <w:r>
        <w:t>Include automated tests for attempted injection against APIs, search, filters and reporting endpoints.</w:t>
      </w:r>
    </w:p>
    <w:p>
      <w:pPr>
        <w:pStyle w:val="Heading2"/>
        <w:spacing w:after="100"/>
      </w:pPr>
      <w:r>
        <w:t>10.3 XSS and content injection</w:t>
      </w:r>
    </w:p>
    <w:p>
      <w:pPr>
        <w:pStyle w:val="ListBullet"/>
        <w:spacing w:after="40"/>
      </w:pPr>
      <w:r>
        <w:t>Use output encoding by default; do not render raw HTML unless a vetted sanitiser is applied.</w:t>
      </w:r>
    </w:p>
    <w:p>
      <w:pPr>
        <w:pStyle w:val="ListBullet"/>
        <w:spacing w:after="40"/>
      </w:pPr>
      <w:r>
        <w:t>Rich text editor content must be sanitised against stored and reflected XSS.</w:t>
      </w:r>
    </w:p>
    <w:p>
      <w:pPr>
        <w:pStyle w:val="ListBullet"/>
        <w:spacing w:after="40"/>
      </w:pPr>
      <w:r>
        <w:t>URLs must be validated for allowed protocols; reject javascript:, data: and other dangerous schemes where not explicitly required.</w:t>
      </w:r>
    </w:p>
    <w:p>
      <w:pPr>
        <w:pStyle w:val="ListBullet"/>
        <w:spacing w:after="40"/>
      </w:pPr>
      <w:r>
        <w:t>Add a strong Content Security Policy (CSP) appropriate to the chosen frontend stack.</w:t>
      </w:r>
    </w:p>
    <w:p>
      <w:pPr>
        <w:pStyle w:val="ListBullet"/>
        <w:spacing w:after="40"/>
      </w:pPr>
      <w:r>
        <w:t>Avoid dangerouslySetInnerHTML unless absolutely necessary and security-reviewed.</w:t>
      </w:r>
    </w:p>
    <w:p>
      <w:pPr>
        <w:pStyle w:val="ListBullet"/>
        <w:spacing w:after="40"/>
      </w:pPr>
      <w:r>
        <w:t>User-generated document names, notes, event titles and profile text must be treated as untrusted input.</w:t>
      </w:r>
    </w:p>
    <w:p>
      <w:pPr>
        <w:pStyle w:val="Heading2"/>
        <w:spacing w:after="100"/>
      </w:pPr>
      <w:r>
        <w:t>10.4 Authentication and session security</w:t>
      </w:r>
    </w:p>
    <w:p>
      <w:pPr>
        <w:pStyle w:val="ListBullet"/>
        <w:spacing w:after="40"/>
      </w:pPr>
      <w:r>
        <w:t>Use Supabase Auth or another vetted identity provider; never implement password hashing manually.</w:t>
      </w:r>
    </w:p>
    <w:p>
      <w:pPr>
        <w:pStyle w:val="ListBullet"/>
        <w:spacing w:after="40"/>
      </w:pPr>
      <w:r>
        <w:t>Use secure session cookies/tokens with appropriate SameSite, Secure and HttpOnly protections where applicable.</w:t>
      </w:r>
    </w:p>
    <w:p>
      <w:pPr>
        <w:pStyle w:val="ListBullet"/>
        <w:spacing w:after="40"/>
      </w:pPr>
      <w:r>
        <w:t>Define and document inactivity timeout and absolute maximum session lifetime. OWASP ASVS 5.0 explicitly expects session lifetime and concurrent-session behaviour to be documented and tested. [OWASP ASVS 5.0; Session Management requirements]</w:t>
      </w:r>
    </w:p>
    <w:p>
      <w:pPr>
        <w:pStyle w:val="ListBullet"/>
        <w:spacing w:after="40"/>
      </w:pPr>
      <w:r>
        <w:t>Provide active-session listing and remote revocation.</w:t>
      </w:r>
    </w:p>
    <w:p>
      <w:pPr>
        <w:pStyle w:val="ListBullet"/>
        <w:spacing w:after="40"/>
      </w:pPr>
      <w:r>
        <w:t>Re-authenticate for sensitive actions such as changing MFA/security settings, exporting large datasets, deleting organisation data or accessing high-risk admin functions.</w:t>
      </w:r>
    </w:p>
    <w:p>
      <w:pPr>
        <w:pStyle w:val="ListBullet"/>
        <w:spacing w:after="40"/>
      </w:pPr>
      <w:r>
        <w:t>Rate-limit login, recovery and verification endpoints.</w:t>
      </w:r>
    </w:p>
    <w:p>
      <w:pPr>
        <w:pStyle w:val="ListBullet"/>
        <w:spacing w:after="40"/>
      </w:pPr>
      <w:r>
        <w:t>Support MFA for privileged roles, at minimum platform superusers and organisation owners.</w:t>
      </w:r>
    </w:p>
    <w:p>
      <w:pPr>
        <w:pStyle w:val="ListBullet"/>
        <w:spacing w:after="40"/>
      </w:pPr>
      <w:r>
        <w:t>Invalidate or rotate sessions following credential/security events as appropriate.</w:t>
      </w:r>
    </w:p>
    <w:p>
      <w:pPr>
        <w:pStyle w:val="ListBullet"/>
        <w:spacing w:after="40"/>
      </w:pPr>
      <w:r>
        <w:t>Protect against CSRF for any cookie-authenticated state-changing routes.</w:t>
      </w:r>
    </w:p>
    <w:p>
      <w:pPr>
        <w:pStyle w:val="Heading2"/>
        <w:spacing w:after="100"/>
      </w:pPr>
      <w:r>
        <w:t>10.5 Pagination, abuse prevention and performance safety</w:t>
      </w:r>
    </w:p>
    <w:p>
      <w:pPr>
        <w:pStyle w:val="ListBullet"/>
        <w:spacing w:after="40"/>
      </w:pPr>
      <w:r>
        <w:t>Every unbounded list/API endpoint must use pagination; prefer cursor/keyset pagination for large activity feeds.</w:t>
      </w:r>
    </w:p>
    <w:p>
      <w:pPr>
        <w:pStyle w:val="ListBullet"/>
        <w:spacing w:after="40"/>
      </w:pPr>
      <w:r>
        <w:t>Apply server-side page size ceilings; never allow client-defined unlimited limits.</w:t>
      </w:r>
    </w:p>
    <w:p>
      <w:pPr>
        <w:pStyle w:val="ListBullet"/>
        <w:spacing w:after="40"/>
      </w:pPr>
      <w:r>
        <w:t>Use indexed filters and sort columns.</w:t>
      </w:r>
    </w:p>
    <w:p>
      <w:pPr>
        <w:pStyle w:val="ListBullet"/>
        <w:spacing w:after="40"/>
      </w:pPr>
      <w:r>
        <w:t>Add request throttling/rate limits to search, exports, auth, network discovery and integrations.</w:t>
      </w:r>
    </w:p>
    <w:p>
      <w:pPr>
        <w:pStyle w:val="ListBullet"/>
        <w:spacing w:after="40"/>
      </w:pPr>
      <w:r>
        <w:t>Export jobs must be asynchronous and bounded.</w:t>
      </w:r>
    </w:p>
    <w:p>
      <w:pPr>
        <w:pStyle w:val="ListBullet"/>
        <w:spacing w:after="40"/>
      </w:pPr>
      <w:r>
        <w:t>Protect against denial-of-service patterns from expensive filters/reports.</w:t>
      </w:r>
    </w:p>
    <w:p>
      <w:pPr>
        <w:pStyle w:val="Heading2"/>
        <w:spacing w:after="100"/>
      </w:pPr>
      <w:r>
        <w:t>10.6 File security</w:t>
      </w:r>
    </w:p>
    <w:p>
      <w:pPr>
        <w:pStyle w:val="ListBullet"/>
        <w:spacing w:after="40"/>
      </w:pPr>
      <w:r>
        <w:t>Store private files in private Supabase Storage buckets.</w:t>
      </w:r>
    </w:p>
    <w:p>
      <w:pPr>
        <w:pStyle w:val="ListBullet"/>
        <w:spacing w:after="40"/>
      </w:pPr>
      <w:r>
        <w:t>Generate short-lived signed URLs after authorisation.</w:t>
      </w:r>
    </w:p>
    <w:p>
      <w:pPr>
        <w:pStyle w:val="ListBullet"/>
        <w:spacing w:after="40"/>
      </w:pPr>
      <w:r>
        <w:t>Perform MIME sniffing/extension validation and reject mismatches.</w:t>
      </w:r>
    </w:p>
    <w:p>
      <w:pPr>
        <w:pStyle w:val="ListBullet"/>
        <w:spacing w:after="40"/>
      </w:pPr>
      <w:r>
        <w:t>Scan uploads with malware scanning where operationally feasible; quarantined files cannot be opened until cleared.</w:t>
      </w:r>
    </w:p>
    <w:p>
      <w:pPr>
        <w:pStyle w:val="ListBullet"/>
        <w:spacing w:after="40"/>
      </w:pPr>
      <w:r>
        <w:t>Disallow executable file types and macro-enabled office formats unless there is a specific business need and compensating controls.</w:t>
      </w:r>
    </w:p>
    <w:p>
      <w:pPr>
        <w:pStyle w:val="ListBullet"/>
        <w:spacing w:after="40"/>
      </w:pPr>
      <w:r>
        <w:t>Sanitise filenames; never use user-provided paths as storage keys.</w:t>
      </w:r>
    </w:p>
    <w:p>
      <w:pPr>
        <w:pStyle w:val="ListBullet"/>
        <w:spacing w:after="40"/>
      </w:pPr>
      <w:r>
        <w:t>Store document access events in the audit log.</w:t>
      </w:r>
    </w:p>
    <w:p>
      <w:pPr>
        <w:pStyle w:val="Heading2"/>
        <w:spacing w:after="100"/>
      </w:pPr>
      <w:r>
        <w:t>10.7 Audit and tamper resistance</w:t>
      </w:r>
    </w:p>
    <w:p>
      <w:pPr>
        <w:pStyle w:val="ListBullet"/>
        <w:spacing w:after="40"/>
      </w:pPr>
      <w:r>
        <w:t>Record actor, organisation, timestamp, action, target type/id, source/IP metadata where appropriate, request/correlation ID and before/after values for high-value mutations.</w:t>
      </w:r>
    </w:p>
    <w:p>
      <w:pPr>
        <w:pStyle w:val="ListBullet"/>
        <w:spacing w:after="40"/>
      </w:pPr>
      <w:r>
        <w:t>Audit events should be append-only from the application perspective.</w:t>
      </w:r>
    </w:p>
    <w:p>
      <w:pPr>
        <w:pStyle w:val="ListBullet"/>
        <w:spacing w:after="40"/>
      </w:pPr>
      <w:r>
        <w:t>Restrict deletion/alteration of audit records to a narrowly controlled platform security process.</w:t>
      </w:r>
    </w:p>
    <w:p>
      <w:pPr>
        <w:pStyle w:val="ListBullet"/>
        <w:spacing w:after="40"/>
      </w:pPr>
      <w:r>
        <w:t>Sensitive values such as passwords, session tokens, secret keys and full authentication tokens must never be logged.</w:t>
      </w:r>
    </w:p>
    <w:p>
      <w:pPr>
        <w:pStyle w:val="ListBullet"/>
        <w:spacing w:after="40"/>
      </w:pPr>
      <w:r>
        <w:t>Superuser access must itself generate audit events.</w:t>
      </w:r>
    </w:p>
    <w:p>
      <w:pPr>
        <w:pStyle w:val="Heading2"/>
        <w:spacing w:after="100"/>
      </w:pPr>
      <w:r>
        <w:t>10.8 Security standards and testing</w:t>
      </w:r>
    </w:p>
    <w:p>
      <w:pPr>
        <w:pStyle w:val="ListBullet"/>
        <w:spacing w:after="40"/>
      </w:pPr>
      <w:r>
        <w:t>Use OWASP ASVS 5.0 as a verification baseline for web application security; OWASP describes ASVS as a basis for testing technical security controls including XSS and SQL injection. [OWASP ASVS 5.0]</w:t>
      </w:r>
    </w:p>
    <w:p>
      <w:pPr>
        <w:pStyle w:val="ListBullet"/>
        <w:spacing w:after="40"/>
      </w:pPr>
      <w:r>
        <w:t>Threat model all major flows: authentication, multi-tenancy, network sharing, files, exports, finance, email and admin.</w:t>
      </w:r>
    </w:p>
    <w:p>
      <w:pPr>
        <w:pStyle w:val="ListBullet"/>
        <w:spacing w:after="40"/>
      </w:pPr>
      <w:r>
        <w:t>Dependency scanning, secret scanning, SAST and DAST in CI/CD.</w:t>
      </w:r>
    </w:p>
    <w:p>
      <w:pPr>
        <w:pStyle w:val="ListBullet"/>
        <w:spacing w:after="40"/>
      </w:pPr>
      <w:r>
        <w:t>Pre-launch penetration test by an independent qualified tester.</w:t>
      </w:r>
    </w:p>
    <w:p>
      <w:pPr>
        <w:pStyle w:val="ListBullet"/>
        <w:spacing w:after="40"/>
      </w:pPr>
      <w:r>
        <w:t>Regular vulnerability management and patch SLAs based on severity.</w:t>
      </w:r>
    </w:p>
    <w:p>
      <w:pPr>
        <w:pStyle w:val="ListBullet"/>
        <w:spacing w:after="40"/>
      </w:pPr>
      <w:r>
        <w:t>Security incident response runbook and breach assessment process.</w:t>
      </w:r>
    </w:p>
    <w:p>
      <w:pPr>
        <w:pStyle w:val="Heading1"/>
        <w:spacing w:after="100"/>
      </w:pPr>
      <w:r>
        <w:t>11. Data model and Supabase requirements</w:t>
      </w:r>
    </w:p>
    <w:p>
      <w:pPr>
        <w:spacing w:after="100"/>
      </w:pPr>
      <w:r>
        <w:t>Supabase is the selected backend foundation. PostgreSQL is the system of record. Supabase Auth manages identities, RLS controls row access, and Supabase Storage manages private files.</w:t>
      </w:r>
    </w:p>
    <w:p>
      <w:pPr>
        <w:pStyle w:val="Heading2"/>
        <w:spacing w:after="100"/>
      </w:pPr>
      <w:r>
        <w:t>Baseline tables</w:t>
      </w:r>
    </w:p>
    <w:p>
      <w:pPr>
        <w:pStyle w:val="ListBullet"/>
        <w:spacing w:after="40"/>
      </w:pPr>
      <w:r>
        <w:t>organisations</w:t>
      </w:r>
    </w:p>
    <w:p>
      <w:pPr>
        <w:pStyle w:val="ListBullet"/>
        <w:spacing w:after="40"/>
      </w:pPr>
      <w:r>
        <w:t>organisation_memberships</w:t>
      </w:r>
    </w:p>
    <w:p>
      <w:pPr>
        <w:pStyle w:val="ListBullet"/>
        <w:spacing w:after="40"/>
      </w:pPr>
      <w:r>
        <w:t>roles / role_permissions</w:t>
      </w:r>
    </w:p>
    <w:p>
      <w:pPr>
        <w:pStyle w:val="ListBullet"/>
        <w:spacing w:after="40"/>
      </w:pPr>
      <w:r>
        <w:t>subscription_plans</w:t>
      </w:r>
    </w:p>
    <w:p>
      <w:pPr>
        <w:pStyle w:val="ListBullet"/>
        <w:spacing w:after="40"/>
      </w:pPr>
      <w:r>
        <w:t>organisation_subscriptions</w:t>
      </w:r>
    </w:p>
    <w:p>
      <w:pPr>
        <w:pStyle w:val="ListBullet"/>
        <w:spacing w:after="40"/>
      </w:pPr>
      <w:r>
        <w:t>users/profile extensions</w:t>
      </w:r>
    </w:p>
    <w:p>
      <w:pPr>
        <w:pStyle w:val="ListBullet"/>
        <w:spacing w:after="40"/>
      </w:pPr>
      <w:r>
        <w:t>contacts</w:t>
      </w:r>
    </w:p>
    <w:p>
      <w:pPr>
        <w:pStyle w:val="ListBullet"/>
        <w:spacing w:after="40"/>
      </w:pPr>
      <w:r>
        <w:t>companies</w:t>
      </w:r>
    </w:p>
    <w:p>
      <w:pPr>
        <w:pStyle w:val="ListBullet"/>
        <w:spacing w:after="40"/>
      </w:pPr>
      <w:r>
        <w:t>artists</w:t>
      </w:r>
    </w:p>
    <w:p>
      <w:pPr>
        <w:pStyle w:val="ListBullet"/>
        <w:spacing w:after="40"/>
      </w:pPr>
      <w:r>
        <w:t>artist_representations</w:t>
      </w:r>
    </w:p>
    <w:p>
      <w:pPr>
        <w:pStyle w:val="ListBullet"/>
        <w:spacing w:after="40"/>
      </w:pPr>
      <w:r>
        <w:t>agencies</w:t>
      </w:r>
    </w:p>
    <w:p>
      <w:pPr>
        <w:pStyle w:val="ListBullet"/>
        <w:spacing w:after="40"/>
      </w:pPr>
      <w:r>
        <w:t>venues</w:t>
      </w:r>
    </w:p>
    <w:p>
      <w:pPr>
        <w:pStyle w:val="ListBullet"/>
        <w:spacing w:after="40"/>
      </w:pPr>
      <w:r>
        <w:t>venue_rooms</w:t>
      </w:r>
    </w:p>
    <w:p>
      <w:pPr>
        <w:pStyle w:val="ListBullet"/>
        <w:spacing w:after="40"/>
      </w:pPr>
      <w:r>
        <w:t>suppliers</w:t>
      </w:r>
    </w:p>
    <w:p>
      <w:pPr>
        <w:pStyle w:val="ListBullet"/>
        <w:spacing w:after="40"/>
      </w:pPr>
      <w:r>
        <w:t>events</w:t>
      </w:r>
    </w:p>
    <w:p>
      <w:pPr>
        <w:pStyle w:val="ListBullet"/>
        <w:spacing w:after="40"/>
      </w:pPr>
      <w:r>
        <w:t>event_lineup</w:t>
      </w:r>
    </w:p>
    <w:p>
      <w:pPr>
        <w:pStyle w:val="ListBullet"/>
        <w:spacing w:after="40"/>
      </w:pPr>
      <w:r>
        <w:t>tours</w:t>
      </w:r>
    </w:p>
    <w:p>
      <w:pPr>
        <w:pStyle w:val="ListBullet"/>
        <w:spacing w:after="40"/>
      </w:pPr>
      <w:r>
        <w:t>offers</w:t>
      </w:r>
    </w:p>
    <w:p>
      <w:pPr>
        <w:pStyle w:val="ListBullet"/>
        <w:spacing w:after="40"/>
      </w:pPr>
      <w:r>
        <w:t>holds</w:t>
      </w:r>
    </w:p>
    <w:p>
      <w:pPr>
        <w:pStyle w:val="ListBullet"/>
        <w:spacing w:after="40"/>
      </w:pPr>
      <w:r>
        <w:t>bookings</w:t>
      </w:r>
    </w:p>
    <w:p>
      <w:pPr>
        <w:pStyle w:val="ListBullet"/>
        <w:spacing w:after="40"/>
      </w:pPr>
      <w:r>
        <w:t>tasks</w:t>
      </w:r>
    </w:p>
    <w:p>
      <w:pPr>
        <w:pStyle w:val="ListBullet"/>
        <w:spacing w:after="40"/>
      </w:pPr>
      <w:r>
        <w:t>meetings</w:t>
      </w:r>
    </w:p>
    <w:p>
      <w:pPr>
        <w:pStyle w:val="ListBullet"/>
        <w:spacing w:after="40"/>
      </w:pPr>
      <w:r>
        <w:t>notes</w:t>
      </w:r>
    </w:p>
    <w:p>
      <w:pPr>
        <w:pStyle w:val="ListBullet"/>
        <w:spacing w:after="40"/>
      </w:pPr>
      <w:r>
        <w:t>email_activities</w:t>
      </w:r>
    </w:p>
    <w:p>
      <w:pPr>
        <w:pStyle w:val="ListBullet"/>
        <w:spacing w:after="40"/>
      </w:pPr>
      <w:r>
        <w:t>documents</w:t>
      </w:r>
    </w:p>
    <w:p>
      <w:pPr>
        <w:pStyle w:val="ListBullet"/>
        <w:spacing w:after="40"/>
      </w:pPr>
      <w:r>
        <w:t>document_versions</w:t>
      </w:r>
    </w:p>
    <w:p>
      <w:pPr>
        <w:pStyle w:val="ListBullet"/>
        <w:spacing w:after="40"/>
      </w:pPr>
      <w:r>
        <w:t>financial_entries</w:t>
      </w:r>
    </w:p>
    <w:p>
      <w:pPr>
        <w:pStyle w:val="ListBullet"/>
        <w:spacing w:after="40"/>
      </w:pPr>
      <w:r>
        <w:t>relationships</w:t>
      </w:r>
    </w:p>
    <w:p>
      <w:pPr>
        <w:pStyle w:val="ListBullet"/>
        <w:spacing w:after="40"/>
      </w:pPr>
      <w:r>
        <w:t>ratings</w:t>
      </w:r>
    </w:p>
    <w:p>
      <w:pPr>
        <w:pStyle w:val="ListBullet"/>
        <w:spacing w:after="40"/>
      </w:pPr>
      <w:r>
        <w:t>network_profiles</w:t>
      </w:r>
    </w:p>
    <w:p>
      <w:pPr>
        <w:pStyle w:val="ListBullet"/>
        <w:spacing w:after="40"/>
      </w:pPr>
      <w:r>
        <w:t>network_links</w:t>
      </w:r>
    </w:p>
    <w:p>
      <w:pPr>
        <w:pStyle w:val="ListBullet"/>
        <w:spacing w:after="40"/>
      </w:pPr>
      <w:r>
        <w:t>audit_events</w:t>
      </w:r>
    </w:p>
    <w:p>
      <w:pPr>
        <w:pStyle w:val="ListBullet"/>
        <w:spacing w:after="40"/>
      </w:pPr>
      <w:r>
        <w:t>notifications</w:t>
      </w:r>
    </w:p>
    <w:p>
      <w:pPr>
        <w:pStyle w:val="ListBullet"/>
        <w:spacing w:after="40"/>
      </w:pPr>
      <w:r>
        <w:t>consents</w:t>
      </w:r>
    </w:p>
    <w:p>
      <w:pPr>
        <w:pStyle w:val="ListBullet"/>
        <w:spacing w:after="40"/>
      </w:pPr>
      <w:r>
        <w:t>data_subject_requests</w:t>
      </w:r>
    </w:p>
    <w:p>
      <w:pPr>
        <w:pStyle w:val="ListBullet"/>
        <w:spacing w:after="40"/>
      </w:pPr>
      <w:r>
        <w:t>integration_connections</w:t>
      </w:r>
    </w:p>
    <w:p>
      <w:pPr>
        <w:pStyle w:val="ListBullet"/>
        <w:spacing w:after="40"/>
      </w:pPr>
      <w:r>
        <w:t>integration_sync_runs</w:t>
      </w:r>
    </w:p>
    <w:p>
      <w:pPr>
        <w:pStyle w:val="Heading2"/>
        <w:spacing w:after="100"/>
      </w:pPr>
      <w:r>
        <w:t>Database conventions</w:t>
      </w:r>
    </w:p>
    <w:p>
      <w:pPr>
        <w:pStyle w:val="ListBullet"/>
        <w:spacing w:after="40"/>
      </w:pPr>
      <w:r>
        <w:t>Use UUID primary keys where appropriate.</w:t>
      </w:r>
    </w:p>
    <w:p>
      <w:pPr>
        <w:pStyle w:val="ListBullet"/>
        <w:spacing w:after="40"/>
      </w:pPr>
      <w:r>
        <w:t>Timestamps in UTC; display local UK time in UI using a consistent timezone library and explicit timezone handling.</w:t>
      </w:r>
    </w:p>
    <w:p>
      <w:pPr>
        <w:pStyle w:val="ListBullet"/>
        <w:spacing w:after="40"/>
      </w:pPr>
      <w:r>
        <w:t>Use created_at/updated_at and created_by/updated_by where useful.</w:t>
      </w:r>
    </w:p>
    <w:p>
      <w:pPr>
        <w:pStyle w:val="ListBullet"/>
        <w:spacing w:after="40"/>
      </w:pPr>
      <w:r>
        <w:t>Use soft-delete/archive patterns for important operational records rather than hard deletion, subject to retention policy.</w:t>
      </w:r>
    </w:p>
    <w:p>
      <w:pPr>
        <w:pStyle w:val="ListBullet"/>
        <w:spacing w:after="40"/>
      </w:pPr>
      <w:r>
        <w:t>Index all foreign keys and high-usage filter combinations.</w:t>
      </w:r>
    </w:p>
    <w:p>
      <w:pPr>
        <w:pStyle w:val="ListBullet"/>
        <w:spacing w:after="40"/>
      </w:pPr>
      <w:r>
        <w:t>Use database constraints for ownership and referential integrity.</w:t>
      </w:r>
    </w:p>
    <w:p>
      <w:pPr>
        <w:pStyle w:val="ListBullet"/>
        <w:spacing w:after="40"/>
      </w:pPr>
      <w:r>
        <w:t>Treat network identities separately from tenant-owned records.</w:t>
      </w:r>
    </w:p>
    <w:p>
      <w:pPr>
        <w:pStyle w:val="Heading2"/>
        <w:spacing w:after="100"/>
      </w:pPr>
      <w:r>
        <w:t>RLS design pattern</w:t>
      </w:r>
    </w:p>
    <w:p>
      <w:pPr>
        <w:spacing w:after="100"/>
      </w:pPr>
      <w:r>
        <w:t>Every tenant-owned table should have a reliable path from row → organisation. Policies should derive the current user identity from the authenticated session and verify organisation membership/role in the database. UI checks are supplementary and never the primary access-control mechanism.</w:t>
      </w:r>
    </w:p>
    <w:p>
      <w:pPr>
        <w:pStyle w:val="Heading1"/>
        <w:spacing w:after="100"/>
      </w:pPr>
      <w:r>
        <w:t>12. Privacy, legal and compliance</w:t>
      </w:r>
    </w:p>
    <w:p>
      <w:pPr>
        <w:spacing w:after="100"/>
      </w:pPr>
      <w:r>
        <w:t>The application is UK-first and will process personal data. Privacy must be designed into the product lifecycle. ICO guidance states that data protection by design/default requires appropriate technical and organisational measures and should begin during system design; DPIA work is required when processing is likely to result in high risk. [ICO, Data protection by design and by default; DPIAs]</w:t>
      </w:r>
    </w:p>
    <w:p>
      <w:pPr>
        <w:pStyle w:val="Heading2"/>
        <w:spacing w:after="100"/>
      </w:pPr>
      <w:r>
        <w:t>Required legal/public pages</w:t>
      </w:r>
    </w:p>
    <w:p>
      <w:pPr>
        <w:spacing w:after="60"/>
      </w:pPr>
      <w:r>
        <w:rPr>
          <w:b/>
        </w:rPr>
        <w:t xml:space="preserve">Privacy Policy / Privacy Notice: </w:t>
      </w:r>
      <w:r>
        <w:t>Explain purposes, lawful bases, categories of data, retention, recipients, processors, transfers, rights, complaints and contact details. Must be reviewed by UK privacy counsel. ICO expects privacy information to explain why data is processed, how long it is retained and who it is shared with. [ICO, Cookies and privacy notices in detail]</w:t>
      </w:r>
    </w:p>
    <w:p>
      <w:pPr>
        <w:spacing w:after="60"/>
      </w:pPr>
      <w:r>
        <w:rPr>
          <w:b/>
        </w:rPr>
        <w:t xml:space="preserve">Cookie Policy: </w:t>
      </w:r>
      <w:r>
        <w:t>Describe cookies/storage technologies, purposes, providers, duration and consent controls. Non-essential technologies require appropriate consent; essential technologies fall within applicable exceptions. [ICO, Cookies and similar technologies; 2026 Storage and Access Technologies guidance]</w:t>
      </w:r>
    </w:p>
    <w:p>
      <w:pPr>
        <w:spacing w:after="60"/>
      </w:pPr>
      <w:r>
        <w:rPr>
          <w:b/>
        </w:rPr>
        <w:t xml:space="preserve">Terms of Use / Terms of Service: </w:t>
      </w:r>
      <w:r>
        <w:t>Platform contract, eligibility, account responsibilities, acceptable use, intellectual property, payments/subscriptions, network content, warranties, liability, suspension/termination, governing law and contact. Must be lawyer-reviewed.</w:t>
      </w:r>
    </w:p>
    <w:p>
      <w:pPr>
        <w:spacing w:after="60"/>
      </w:pPr>
      <w:r>
        <w:rPr>
          <w:b/>
        </w:rPr>
        <w:t xml:space="preserve">Acceptable Use Policy: </w:t>
      </w:r>
      <w:r>
        <w:t>Prohibited behaviour, abuse, harassment, impersonation, scraping, unlawful content, malicious uploads, security testing without permission, spam and misuse of network functionality.</w:t>
      </w:r>
    </w:p>
    <w:p>
      <w:pPr>
        <w:spacing w:after="60"/>
      </w:pPr>
      <w:r>
        <w:rPr>
          <w:b/>
        </w:rPr>
        <w:t xml:space="preserve">Data Processing Addendum (DPA): </w:t>
      </w:r>
      <w:r>
        <w:t>Define processor/controller roles where applicable, security measures, subprocessors, data subject assistance, breach support, deletion/return and transfer mechanisms.</w:t>
      </w:r>
    </w:p>
    <w:p>
      <w:pPr>
        <w:spacing w:after="60"/>
      </w:pPr>
      <w:r>
        <w:rPr>
          <w:b/>
        </w:rPr>
        <w:t xml:space="preserve">Subprocessors / Third-party services: </w:t>
      </w:r>
      <w:r>
        <w:t>List vendors/processors and service purpose; keep current as infrastructure and integrations evolve.</w:t>
      </w:r>
    </w:p>
    <w:p>
      <w:pPr>
        <w:spacing w:after="60"/>
      </w:pPr>
      <w:r>
        <w:rPr>
          <w:b/>
        </w:rPr>
        <w:t xml:space="preserve">Security / Trust Centre: </w:t>
      </w:r>
      <w:r>
        <w:t>Plain-English security commitments, encryption, access control, RLS, monitoring, incident response, vulnerability reporting and responsible disclosure process.</w:t>
      </w:r>
    </w:p>
    <w:p>
      <w:pPr>
        <w:spacing w:after="60"/>
      </w:pPr>
      <w:r>
        <w:rPr>
          <w:b/>
        </w:rPr>
        <w:t xml:space="preserve">Data Retention Policy: </w:t>
      </w:r>
      <w:r>
        <w:t>Entity-by-entity retention schedule, legal holds, deletion/anonymisation rules and backup considerations.</w:t>
      </w:r>
    </w:p>
    <w:p>
      <w:pPr>
        <w:spacing w:after="60"/>
      </w:pPr>
      <w:r>
        <w:rPr>
          <w:b/>
        </w:rPr>
        <w:t xml:space="preserve">Data Subject Rights: </w:t>
      </w:r>
      <w:r>
        <w:t>How users can request access, correction, deletion, restriction, objection and portability where applicable; identity verification and response process.</w:t>
      </w:r>
    </w:p>
    <w:p>
      <w:pPr>
        <w:spacing w:after="60"/>
      </w:pPr>
      <w:r>
        <w:rPr>
          <w:b/>
        </w:rPr>
        <w:t xml:space="preserve">Marketing / Communications Preferences: </w:t>
      </w:r>
      <w:r>
        <w:t>Explain marketing communications, unsubscribe/opt-out controls and lawful-basis/consent mechanics as applicable under current UK rules.</w:t>
      </w:r>
    </w:p>
    <w:p>
      <w:pPr>
        <w:spacing w:after="60"/>
      </w:pPr>
      <w:r>
        <w:rPr>
          <w:b/>
        </w:rPr>
        <w:t xml:space="preserve">Community / Network Guidelines: </w:t>
      </w:r>
      <w:r>
        <w:t>Rules for public/network profiles, ratings, reviews if introduced, reporting, moderation, verification and takedown.</w:t>
      </w:r>
    </w:p>
    <w:p>
      <w:pPr>
        <w:spacing w:after="60"/>
      </w:pPr>
      <w:r>
        <w:rPr>
          <w:b/>
        </w:rPr>
        <w:t xml:space="preserve">AI Use Policy (when AI is introduced): </w:t>
      </w:r>
      <w:r>
        <w:t>Explain model providers, prompts/data handling, training use, user controls, limitations and human review for consequential actions.</w:t>
      </w:r>
    </w:p>
    <w:p>
      <w:pPr>
        <w:spacing w:after="60"/>
      </w:pPr>
      <w:r>
        <w:rPr>
          <w:b/>
        </w:rPr>
        <w:t xml:space="preserve">Accessibility Statement: </w:t>
      </w:r>
      <w:r>
        <w:t>Target WCAG 2.2 AA where feasible, known limitations, contact route and remediation process.</w:t>
      </w:r>
    </w:p>
    <w:p>
      <w:pPr>
        <w:spacing w:after="60"/>
      </w:pPr>
      <w:r>
        <w:rPr>
          <w:b/>
        </w:rPr>
        <w:t xml:space="preserve">Contact / Complaints: </w:t>
      </w:r>
      <w:r>
        <w:t>Privacy contact, support contact, security contact and escalation route.</w:t>
      </w:r>
    </w:p>
    <w:p>
      <w:pPr>
        <w:spacing w:after="60"/>
      </w:pPr>
      <w:r>
        <w:rPr>
          <w:b/>
        </w:rPr>
        <w:t xml:space="preserve">Vulnerability Disclosure / Responsible Disclosure: </w:t>
      </w:r>
      <w:r>
        <w:t>How researchers can report security vulnerabilities safely.</w:t>
      </w:r>
    </w:p>
    <w:p>
      <w:pPr>
        <w:pStyle w:val="Heading2"/>
        <w:spacing w:after="100"/>
      </w:pPr>
      <w:r>
        <w:t>Consent and privacy controls</w:t>
      </w:r>
    </w:p>
    <w:p>
      <w:pPr>
        <w:pStyle w:val="ListBullet"/>
        <w:spacing w:after="40"/>
      </w:pPr>
      <w:r>
        <w:t>Cookie consent must distinguish strictly necessary technologies from non-essential analytics/marketing categories. ICO guidance published in April 2026 states finalised guidance covers cookies, tracking pixels, device fingerprinting and other storage/access technologies. [ICO, Final storage and access technologies guidance published, 29 April 2026]</w:t>
      </w:r>
    </w:p>
    <w:p>
      <w:pPr>
        <w:pStyle w:val="ListBullet"/>
        <w:spacing w:after="40"/>
      </w:pPr>
      <w:r>
        <w:t>Store consent records with timestamp, policy version, mechanism and relevant technical context.</w:t>
      </w:r>
    </w:p>
    <w:p>
      <w:pPr>
        <w:pStyle w:val="ListBullet"/>
        <w:spacing w:after="40"/>
      </w:pPr>
      <w:r>
        <w:t>Provide account-level privacy controls and data export/delete workflows where required.</w:t>
      </w:r>
    </w:p>
    <w:p>
      <w:pPr>
        <w:pStyle w:val="ListBullet"/>
        <w:spacing w:after="40"/>
      </w:pPr>
      <w:r>
        <w:t>Plan a DPIA before processing patterns that may create high risks.</w:t>
      </w:r>
    </w:p>
    <w:p>
      <w:pPr>
        <w:pStyle w:val="ListBullet"/>
        <w:spacing w:after="40"/>
      </w:pPr>
      <w:r>
        <w:t>Maintain a breach-response process; the ICO states notifiable UK GDPR breaches generally must be reported without undue delay and, where feasible, within 72 hours. [ICO, Personal data breach guidance]</w:t>
      </w:r>
    </w:p>
    <w:p>
      <w:pPr>
        <w:pStyle w:val="ListBullet"/>
        <w:spacing w:after="40"/>
      </w:pPr>
      <w:r>
        <w:t>Review legal pages when processing purposes, third parties, cookies, AI features or network-sharing rules change.</w:t>
      </w:r>
    </w:p>
    <w:p>
      <w:pPr>
        <w:pStyle w:val="Heading1"/>
        <w:spacing w:after="100"/>
      </w:pPr>
      <w:r>
        <w:t>13. Integrations</w:t>
      </w:r>
    </w:p>
    <w:p>
      <w:pPr>
        <w:spacing w:after="100"/>
      </w:pPr>
      <w:r>
        <w:t>Initial integration strategy should be API-first and capability-driven. Integrations must not weaken tenant isolation or security.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32238"/>
          </w:tcPr>
          <w:p>
            <w:r/>
            <w:r>
              <w:rPr>
                <w:rFonts w:ascii="Aptos" w:hAnsi="Aptos"/>
                <w:b/>
                <w:color w:val="FFFFFF"/>
                <w:sz w:val="17"/>
              </w:rPr>
              <w:t>Integration category</w:t>
            </w:r>
          </w:p>
        </w:tc>
        <w:tc>
          <w:tcPr>
            <w:tcW w:type="dxa" w:w="3312"/>
            <w:vAlign w:val="center"/>
            <w:shd w:fill="132238"/>
          </w:tcPr>
          <w:p>
            <w:r/>
            <w:r>
              <w:rPr>
                <w:rFonts w:ascii="Aptos" w:hAnsi="Aptos"/>
                <w:b/>
                <w:color w:val="FFFFFF"/>
                <w:sz w:val="17"/>
              </w:rPr>
              <w:t>Phase</w:t>
            </w:r>
          </w:p>
        </w:tc>
        <w:tc>
          <w:tcPr>
            <w:tcW w:type="dxa" w:w="3312"/>
            <w:vAlign w:val="center"/>
            <w:shd w:fill="132238"/>
          </w:tcPr>
          <w:p>
            <w:r/>
            <w:r>
              <w:rPr>
                <w:rFonts w:ascii="Aptos" w:hAnsi="Aptos"/>
                <w:b/>
                <w:color w:val="FFFFFF"/>
                <w:sz w:val="17"/>
              </w:rPr>
              <w:t>Requirements</w:t>
            </w:r>
          </w:p>
        </w:tc>
      </w:tr>
      <w:tr>
        <w:tc>
          <w:tcPr>
            <w:tcW w:type="dxa" w:w="3312"/>
            <w:vAlign w:val="center"/>
            <w:shd w:fill="F7F9FB"/>
          </w:tcPr>
          <w:p>
            <w:r/>
            <w:r>
              <w:rPr>
                <w:rFonts w:ascii="Aptos" w:hAnsi="Aptos"/>
                <w:b w:val="0"/>
                <w:color w:val="18212F"/>
                <w:sz w:val="16"/>
              </w:rPr>
              <w:t>Email: Gmail / Microsoft 365</w:t>
            </w:r>
          </w:p>
        </w:tc>
        <w:tc>
          <w:tcPr>
            <w:tcW w:type="dxa" w:w="3312"/>
            <w:vAlign w:val="center"/>
            <w:shd w:fill="F7F9FB"/>
          </w:tcPr>
          <w:p>
            <w:r/>
            <w:r>
              <w:rPr>
                <w:rFonts w:ascii="Aptos" w:hAnsi="Aptos"/>
                <w:b w:val="0"/>
                <w:color w:val="18212F"/>
                <w:sz w:val="16"/>
              </w:rPr>
              <w:t>Post-MVP</w:t>
            </w:r>
          </w:p>
        </w:tc>
        <w:tc>
          <w:tcPr>
            <w:tcW w:type="dxa" w:w="3312"/>
            <w:vAlign w:val="center"/>
            <w:shd w:fill="F7F9FB"/>
          </w:tcPr>
          <w:p>
            <w:r/>
            <w:r>
              <w:rPr>
                <w:rFonts w:ascii="Aptos" w:hAnsi="Aptos"/>
                <w:b w:val="0"/>
                <w:color w:val="18212F"/>
                <w:sz w:val="16"/>
              </w:rPr>
              <w:t>OAuth, scoped permissions, tenant/user isolation, token encryption, sync status</w:t>
            </w:r>
          </w:p>
        </w:tc>
      </w:tr>
      <w:tr>
        <w:tc>
          <w:tcPr>
            <w:tcW w:type="dxa" w:w="3312"/>
            <w:vAlign w:val="center"/>
          </w:tcPr>
          <w:p>
            <w:r/>
            <w:r>
              <w:rPr>
                <w:rFonts w:ascii="Aptos" w:hAnsi="Aptos"/>
                <w:b w:val="0"/>
                <w:color w:val="18212F"/>
                <w:sz w:val="16"/>
              </w:rPr>
              <w:t>Calendar: Google / Microsoft</w:t>
            </w:r>
          </w:p>
        </w:tc>
        <w:tc>
          <w:tcPr>
            <w:tcW w:type="dxa" w:w="3312"/>
            <w:vAlign w:val="center"/>
          </w:tcPr>
          <w:p>
            <w:r/>
            <w:r>
              <w:rPr>
                <w:rFonts w:ascii="Aptos" w:hAnsi="Aptos"/>
                <w:b w:val="0"/>
                <w:color w:val="18212F"/>
                <w:sz w:val="16"/>
              </w:rPr>
              <w:t>Post-MVP</w:t>
            </w:r>
          </w:p>
        </w:tc>
        <w:tc>
          <w:tcPr>
            <w:tcW w:type="dxa" w:w="3312"/>
            <w:vAlign w:val="center"/>
          </w:tcPr>
          <w:p>
            <w:r/>
            <w:r>
              <w:rPr>
                <w:rFonts w:ascii="Aptos" w:hAnsi="Aptos"/>
                <w:b w:val="0"/>
                <w:color w:val="18212F"/>
                <w:sz w:val="16"/>
              </w:rPr>
              <w:t>Create/read/update events with explicit consent and conflict handling</w:t>
            </w:r>
          </w:p>
        </w:tc>
      </w:tr>
      <w:tr>
        <w:tc>
          <w:tcPr>
            <w:tcW w:type="dxa" w:w="3312"/>
            <w:vAlign w:val="center"/>
            <w:shd w:fill="F7F9FB"/>
          </w:tcPr>
          <w:p>
            <w:r/>
            <w:r>
              <w:rPr>
                <w:rFonts w:ascii="Aptos" w:hAnsi="Aptos"/>
                <w:b w:val="0"/>
                <w:color w:val="18212F"/>
                <w:sz w:val="16"/>
              </w:rPr>
              <w:t>Ticketing: Skiddle / Fatsoma / others</w:t>
            </w:r>
          </w:p>
        </w:tc>
        <w:tc>
          <w:tcPr>
            <w:tcW w:type="dxa" w:w="3312"/>
            <w:vAlign w:val="center"/>
            <w:shd w:fill="F7F9FB"/>
          </w:tcPr>
          <w:p>
            <w:r/>
            <w:r>
              <w:rPr>
                <w:rFonts w:ascii="Aptos" w:hAnsi="Aptos"/>
                <w:b w:val="0"/>
                <w:color w:val="18212F"/>
                <w:sz w:val="16"/>
              </w:rPr>
              <w:t>Discovery + post-MVP</w:t>
            </w:r>
          </w:p>
        </w:tc>
        <w:tc>
          <w:tcPr>
            <w:tcW w:type="dxa" w:w="3312"/>
            <w:vAlign w:val="center"/>
            <w:shd w:fill="F7F9FB"/>
          </w:tcPr>
          <w:p>
            <w:r/>
            <w:r>
              <w:rPr>
                <w:rFonts w:ascii="Aptos" w:hAnsi="Aptos"/>
                <w:b w:val="0"/>
                <w:color w:val="18212F"/>
                <w:sz w:val="16"/>
              </w:rPr>
              <w:t>Only where documented APIs/licensing permit; import ticket URLs initially</w:t>
            </w:r>
          </w:p>
        </w:tc>
      </w:tr>
      <w:tr>
        <w:tc>
          <w:tcPr>
            <w:tcW w:type="dxa" w:w="3312"/>
            <w:vAlign w:val="center"/>
          </w:tcPr>
          <w:p>
            <w:r/>
            <w:r>
              <w:rPr>
                <w:rFonts w:ascii="Aptos" w:hAnsi="Aptos"/>
                <w:b w:val="0"/>
                <w:color w:val="18212F"/>
                <w:sz w:val="16"/>
              </w:rPr>
              <w:t>Accounting: Xero / QuickBooks</w:t>
            </w:r>
          </w:p>
        </w:tc>
        <w:tc>
          <w:tcPr>
            <w:tcW w:type="dxa" w:w="3312"/>
            <w:vAlign w:val="center"/>
          </w:tcPr>
          <w:p>
            <w:r/>
            <w:r>
              <w:rPr>
                <w:rFonts w:ascii="Aptos" w:hAnsi="Aptos"/>
                <w:b w:val="0"/>
                <w:color w:val="18212F"/>
                <w:sz w:val="16"/>
              </w:rPr>
              <w:t>Later</w:t>
            </w:r>
          </w:p>
        </w:tc>
        <w:tc>
          <w:tcPr>
            <w:tcW w:type="dxa" w:w="3312"/>
            <w:vAlign w:val="center"/>
          </w:tcPr>
          <w:p>
            <w:r/>
            <w:r>
              <w:rPr>
                <w:rFonts w:ascii="Aptos" w:hAnsi="Aptos"/>
                <w:b w:val="0"/>
                <w:color w:val="18212F"/>
                <w:sz w:val="16"/>
              </w:rPr>
              <w:t>Scoped OAuth, financial reconciliation model</w:t>
            </w:r>
          </w:p>
        </w:tc>
      </w:tr>
      <w:tr>
        <w:tc>
          <w:tcPr>
            <w:tcW w:type="dxa" w:w="3312"/>
            <w:vAlign w:val="center"/>
            <w:shd w:fill="F7F9FB"/>
          </w:tcPr>
          <w:p>
            <w:r/>
            <w:r>
              <w:rPr>
                <w:rFonts w:ascii="Aptos" w:hAnsi="Aptos"/>
                <w:b w:val="0"/>
                <w:color w:val="18212F"/>
                <w:sz w:val="16"/>
              </w:rPr>
              <w:t>Cloud storage</w:t>
            </w:r>
          </w:p>
        </w:tc>
        <w:tc>
          <w:tcPr>
            <w:tcW w:type="dxa" w:w="3312"/>
            <w:vAlign w:val="center"/>
            <w:shd w:fill="F7F9FB"/>
          </w:tcPr>
          <w:p>
            <w:r/>
            <w:r>
              <w:rPr>
                <w:rFonts w:ascii="Aptos" w:hAnsi="Aptos"/>
                <w:b w:val="0"/>
                <w:color w:val="18212F"/>
                <w:sz w:val="16"/>
              </w:rPr>
              <w:t>Later</w:t>
            </w:r>
          </w:p>
        </w:tc>
        <w:tc>
          <w:tcPr>
            <w:tcW w:type="dxa" w:w="3312"/>
            <w:vAlign w:val="center"/>
            <w:shd w:fill="F7F9FB"/>
          </w:tcPr>
          <w:p>
            <w:r/>
            <w:r>
              <w:rPr>
                <w:rFonts w:ascii="Aptos" w:hAnsi="Aptos"/>
                <w:b w:val="0"/>
                <w:color w:val="18212F"/>
                <w:sz w:val="16"/>
              </w:rPr>
              <w:t>Google Drive/Dropbox/OneDrive with explicit link/import semantics</w:t>
            </w:r>
          </w:p>
        </w:tc>
      </w:tr>
      <w:tr>
        <w:tc>
          <w:tcPr>
            <w:tcW w:type="dxa" w:w="3312"/>
            <w:vAlign w:val="center"/>
          </w:tcPr>
          <w:p>
            <w:r/>
            <w:r>
              <w:rPr>
                <w:rFonts w:ascii="Aptos" w:hAnsi="Aptos"/>
                <w:b w:val="0"/>
                <w:color w:val="18212F"/>
                <w:sz w:val="16"/>
              </w:rPr>
              <w:t>Messaging</w:t>
            </w:r>
          </w:p>
        </w:tc>
        <w:tc>
          <w:tcPr>
            <w:tcW w:type="dxa" w:w="3312"/>
            <w:vAlign w:val="center"/>
          </w:tcPr>
          <w:p>
            <w:r/>
            <w:r>
              <w:rPr>
                <w:rFonts w:ascii="Aptos" w:hAnsi="Aptos"/>
                <w:b w:val="0"/>
                <w:color w:val="18212F"/>
                <w:sz w:val="16"/>
              </w:rPr>
              <w:t>Discovery</w:t>
            </w:r>
          </w:p>
        </w:tc>
        <w:tc>
          <w:tcPr>
            <w:tcW w:type="dxa" w:w="3312"/>
            <w:vAlign w:val="center"/>
          </w:tcPr>
          <w:p>
            <w:r/>
            <w:r>
              <w:rPr>
                <w:rFonts w:ascii="Aptos" w:hAnsi="Aptos"/>
                <w:b w:val="0"/>
                <w:color w:val="18212F"/>
                <w:sz w:val="16"/>
              </w:rPr>
              <w:t>WhatsApp or other channels only where supported and compliant</w:t>
            </w:r>
          </w:p>
        </w:tc>
      </w:tr>
    </w:tbl>
    <w:p>
      <w:pPr>
        <w:spacing w:after="40"/>
      </w:pPr>
    </w:p>
    <w:p>
      <w:pPr>
        <w:pStyle w:val="Heading1"/>
        <w:spacing w:after="100"/>
      </w:pPr>
      <w:r>
        <w:t>14. Non-functional requirements</w:t>
      </w:r>
    </w:p>
    <w:p>
      <w:pPr>
        <w:pStyle w:val="ListBullet"/>
        <w:spacing w:after="40"/>
      </w:pPr>
      <w:r>
        <w:t>Availability target: define an initial production SLO appropriate to launch; target 99.9% excluding planned maintenance is recommended for a serious SaaS baseline.</w:t>
      </w:r>
    </w:p>
    <w:p>
      <w:pPr>
        <w:pStyle w:val="ListBullet"/>
        <w:spacing w:after="40"/>
      </w:pPr>
      <w:r>
        <w:t>Performance: common authenticated pages should render useful content quickly on typical UK broadband; establish measured budgets during implementation.</w:t>
      </w:r>
    </w:p>
    <w:p>
      <w:pPr>
        <w:pStyle w:val="ListBullet"/>
        <w:spacing w:after="40"/>
      </w:pPr>
      <w:r>
        <w:t>API latency budgets should be defined per endpoint class; list endpoints must remain bounded by pagination.</w:t>
      </w:r>
    </w:p>
    <w:p>
      <w:pPr>
        <w:pStyle w:val="ListBullet"/>
        <w:spacing w:after="40"/>
      </w:pPr>
      <w:r>
        <w:t>Accessibility: target WCAG 2.2 AA for public and authenticated experiences.</w:t>
      </w:r>
    </w:p>
    <w:p>
      <w:pPr>
        <w:pStyle w:val="ListBullet"/>
        <w:spacing w:after="40"/>
      </w:pPr>
      <w:r>
        <w:t>Observability: structured logs, metrics, traces/correlation IDs and alerting for auth, database errors, storage errors, queue failures and security events.</w:t>
      </w:r>
    </w:p>
    <w:p>
      <w:pPr>
        <w:pStyle w:val="ListBullet"/>
        <w:spacing w:after="40"/>
      </w:pPr>
      <w:r>
        <w:t>Backups: automated database backups and tested restore procedures; document RPO/RTO targets.</w:t>
      </w:r>
    </w:p>
    <w:p>
      <w:pPr>
        <w:pStyle w:val="ListBullet"/>
        <w:spacing w:after="40"/>
      </w:pPr>
      <w:r>
        <w:t>Disaster recovery: separate recovery procedures for database, storage and authentication dependencies.</w:t>
      </w:r>
    </w:p>
    <w:p>
      <w:pPr>
        <w:pStyle w:val="ListBullet"/>
        <w:spacing w:after="40"/>
      </w:pPr>
      <w:r>
        <w:t>Browser support: current evergreen versions plus agreed support window; document unsupported browsers.</w:t>
      </w:r>
    </w:p>
    <w:p>
      <w:pPr>
        <w:pStyle w:val="ListBullet"/>
        <w:spacing w:after="40"/>
      </w:pPr>
      <w:r>
        <w:t>Internationalisation: store timestamps/currencies in canonical formats while initially presenting UK conventions.</w:t>
      </w:r>
    </w:p>
    <w:p>
      <w:pPr>
        <w:pStyle w:val="Heading1"/>
        <w:spacing w:after="100"/>
      </w:pPr>
      <w:r>
        <w:t>15. Analytics and auditability</w:t>
      </w:r>
    </w:p>
    <w:p>
      <w:pPr>
        <w:spacing w:after="100"/>
      </w:pPr>
      <w:r>
        <w:t>Product analytics must be separated from security/audit logging. Product analytics should be privacy-conscious and subject to the applicable cookie/consent model; audit logs exist for governance/security and should not be used as a behavioural analytics substitute.</w:t>
      </w:r>
    </w:p>
    <w:p>
      <w:pPr>
        <w:pStyle w:val="Heading2"/>
        <w:spacing w:after="100"/>
      </w:pPr>
      <w:r>
        <w:t>Core product metrics</w:t>
      </w:r>
    </w:p>
    <w:p>
      <w:pPr>
        <w:pStyle w:val="ListBullet"/>
        <w:spacing w:after="40"/>
      </w:pPr>
      <w:r>
        <w:t>Weekly active organisations.</w:t>
      </w:r>
    </w:p>
    <w:p>
      <w:pPr>
        <w:pStyle w:val="ListBullet"/>
        <w:spacing w:after="40"/>
      </w:pPr>
      <w:r>
        <w:t>Weekly active users per organisation.</w:t>
      </w:r>
    </w:p>
    <w:p>
      <w:pPr>
        <w:pStyle w:val="ListBullet"/>
        <w:spacing w:after="40"/>
      </w:pPr>
      <w:r>
        <w:t>Events created and completed.</w:t>
      </w:r>
    </w:p>
    <w:p>
      <w:pPr>
        <w:pStyle w:val="ListBullet"/>
        <w:spacing w:after="40"/>
      </w:pPr>
      <w:r>
        <w:t>Bookings/offers/holds per active organisation.</w:t>
      </w:r>
    </w:p>
    <w:p>
      <w:pPr>
        <w:pStyle w:val="ListBullet"/>
        <w:spacing w:after="40"/>
      </w:pPr>
      <w:r>
        <w:t>Contacts created and enriched.</w:t>
      </w:r>
    </w:p>
    <w:p>
      <w:pPr>
        <w:pStyle w:val="ListBullet"/>
        <w:spacing w:after="40"/>
      </w:pPr>
      <w:r>
        <w:t>Tasks completed on time.</w:t>
      </w:r>
    </w:p>
    <w:p>
      <w:pPr>
        <w:pStyle w:val="ListBullet"/>
        <w:spacing w:after="40"/>
      </w:pPr>
      <w:r>
        <w:t>Network profile publication and discovery usage.</w:t>
      </w:r>
    </w:p>
    <w:p>
      <w:pPr>
        <w:pStyle w:val="ListBullet"/>
        <w:spacing w:after="40"/>
      </w:pPr>
      <w:r>
        <w:t>Retention by organisation cohort.</w:t>
      </w:r>
    </w:p>
    <w:p>
      <w:pPr>
        <w:pStyle w:val="ListBullet"/>
        <w:spacing w:after="40"/>
      </w:pPr>
      <w:r>
        <w:t>Conversion from trial/free to paid, if applicable.</w:t>
      </w:r>
    </w:p>
    <w:p>
      <w:pPr>
        <w:pStyle w:val="ListBullet"/>
        <w:spacing w:after="40"/>
      </w:pPr>
      <w:r>
        <w:t>Storage usage and integration adoption.</w:t>
      </w:r>
    </w:p>
    <w:p>
      <w:pPr>
        <w:pStyle w:val="Heading2"/>
        <w:spacing w:after="100"/>
      </w:pPr>
      <w:r>
        <w:t>Audit events to retain</w:t>
      </w:r>
    </w:p>
    <w:p>
      <w:pPr>
        <w:pStyle w:val="ListBullet"/>
        <w:spacing w:after="40"/>
      </w:pPr>
      <w:r>
        <w:t>Authentication and security changes.</w:t>
      </w:r>
    </w:p>
    <w:p>
      <w:pPr>
        <w:pStyle w:val="ListBullet"/>
        <w:spacing w:after="40"/>
      </w:pPr>
      <w:r>
        <w:t>User invite/removal/role changes.</w:t>
      </w:r>
    </w:p>
    <w:p>
      <w:pPr>
        <w:pStyle w:val="ListBullet"/>
        <w:spacing w:after="40"/>
      </w:pPr>
      <w:r>
        <w:t>Record create/update/archive/delete actions for important entities.</w:t>
      </w:r>
    </w:p>
    <w:p>
      <w:pPr>
        <w:pStyle w:val="ListBullet"/>
        <w:spacing w:after="40"/>
      </w:pPr>
      <w:r>
        <w:t>Document upload/download/share/delete.</w:t>
      </w:r>
    </w:p>
    <w:p>
      <w:pPr>
        <w:pStyle w:val="ListBullet"/>
        <w:spacing w:after="40"/>
      </w:pPr>
      <w:r>
        <w:t>Exports and bulk actions.</w:t>
      </w:r>
    </w:p>
    <w:p>
      <w:pPr>
        <w:pStyle w:val="ListBullet"/>
        <w:spacing w:after="40"/>
      </w:pPr>
      <w:r>
        <w:t>Subscription/billing changes.</w:t>
      </w:r>
    </w:p>
    <w:p>
      <w:pPr>
        <w:pStyle w:val="ListBullet"/>
        <w:spacing w:after="40"/>
      </w:pPr>
      <w:r>
        <w:t>Superuser/administrative access.</w:t>
      </w:r>
    </w:p>
    <w:p>
      <w:pPr>
        <w:pStyle w:val="ListBullet"/>
        <w:spacing w:after="40"/>
      </w:pPr>
      <w:r>
        <w:t>Network publishing and changes to visibility.</w:t>
      </w:r>
    </w:p>
    <w:p>
      <w:pPr>
        <w:pStyle w:val="Heading1"/>
        <w:spacing w:after="100"/>
      </w:pPr>
      <w:r>
        <w:t>16. Testing and quality gates</w:t>
      </w:r>
    </w:p>
    <w:p>
      <w:pPr>
        <w:spacing w:after="100"/>
      </w:pPr>
      <w:r>
        <w:t>Each release should pass the following gates.</w:t>
      </w:r>
    </w:p>
    <w:p>
      <w:pPr>
        <w:pStyle w:val="ListBullet"/>
        <w:spacing w:after="40"/>
      </w:pPr>
      <w:r>
        <w:t>Unit tests for domain logic and permission decisions.</w:t>
      </w:r>
    </w:p>
    <w:p>
      <w:pPr>
        <w:pStyle w:val="ListBullet"/>
        <w:spacing w:after="40"/>
      </w:pPr>
      <w:r>
        <w:t>Integration tests for RLS policies across roles, tenants and network visibility.</w:t>
      </w:r>
    </w:p>
    <w:p>
      <w:pPr>
        <w:pStyle w:val="ListBullet"/>
        <w:spacing w:after="40"/>
      </w:pPr>
      <w:r>
        <w:t>API tests for validation, parameterisation, pagination, rate limiting and error handling.</w:t>
      </w:r>
    </w:p>
    <w:p>
      <w:pPr>
        <w:pStyle w:val="ListBullet"/>
        <w:spacing w:after="40"/>
      </w:pPr>
      <w:r>
        <w:t>End-to-end tests for the main workflows.</w:t>
      </w:r>
    </w:p>
    <w:p>
      <w:pPr>
        <w:pStyle w:val="ListBullet"/>
        <w:spacing w:after="40"/>
      </w:pPr>
      <w:r>
        <w:t>Security tests for XSS, SQL injection, IDOR/BOLA, CSRF, session fixation/hijacking, insecure file access, privilege escalation and tenant breakout.</w:t>
      </w:r>
    </w:p>
    <w:p>
      <w:pPr>
        <w:pStyle w:val="ListBullet"/>
        <w:spacing w:after="40"/>
      </w:pPr>
      <w:r>
        <w:t>Accessibility tests using automated tooling plus keyboard/screen-reader spot checks.</w:t>
      </w:r>
    </w:p>
    <w:p>
      <w:pPr>
        <w:pStyle w:val="ListBullet"/>
        <w:spacing w:after="40"/>
      </w:pPr>
      <w:r>
        <w:t>Performance tests on common list/search/dashboard workloads.</w:t>
      </w:r>
    </w:p>
    <w:p>
      <w:pPr>
        <w:pStyle w:val="ListBullet"/>
        <w:spacing w:after="40"/>
      </w:pPr>
      <w:r>
        <w:t>Dependency/license/security scanning in CI.</w:t>
      </w:r>
    </w:p>
    <w:p>
      <w:pPr>
        <w:pStyle w:val="ListBullet"/>
        <w:spacing w:after="40"/>
      </w:pPr>
      <w:r>
        <w:t>Manual security review of all privileged functions and service-role usage.</w:t>
      </w:r>
    </w:p>
    <w:p>
      <w:pPr>
        <w:pStyle w:val="ListBullet"/>
        <w:spacing w:after="40"/>
      </w:pPr>
      <w:r>
        <w:t>Pre-production restore test for database backups.</w:t>
      </w:r>
    </w:p>
    <w:p>
      <w:pPr>
        <w:pStyle w:val="ListBullet"/>
        <w:spacing w:after="40"/>
      </w:pPr>
      <w:r>
        <w:t>Independent penetration test before general availability.</w:t>
      </w:r>
    </w:p>
    <w:p>
      <w:pPr>
        <w:pStyle w:val="Heading1"/>
        <w:spacing w:after="100"/>
      </w:pPr>
      <w:r>
        <w:t>17. Delivery plan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32238"/>
          </w:tcPr>
          <w:p>
            <w:r/>
            <w:r>
              <w:rPr>
                <w:rFonts w:ascii="Aptos" w:hAnsi="Aptos"/>
                <w:b/>
                <w:color w:val="FFFFFF"/>
                <w:sz w:val="17"/>
              </w:rPr>
              <w:t>Workstream</w:t>
            </w:r>
          </w:p>
        </w:tc>
        <w:tc>
          <w:tcPr>
            <w:tcW w:type="dxa" w:w="3312"/>
            <w:vAlign w:val="center"/>
            <w:shd w:fill="132238"/>
          </w:tcPr>
          <w:p>
            <w:r/>
            <w:r>
              <w:rPr>
                <w:rFonts w:ascii="Aptos" w:hAnsi="Aptos"/>
                <w:b/>
                <w:color w:val="FFFFFF"/>
                <w:sz w:val="17"/>
              </w:rPr>
              <w:t>Deliverables</w:t>
            </w:r>
          </w:p>
        </w:tc>
        <w:tc>
          <w:tcPr>
            <w:tcW w:type="dxa" w:w="3312"/>
            <w:vAlign w:val="center"/>
            <w:shd w:fill="132238"/>
          </w:tcPr>
          <w:p>
            <w:r/>
            <w:r>
              <w:rPr>
                <w:rFonts w:ascii="Aptos" w:hAnsi="Aptos"/>
                <w:b/>
                <w:color w:val="FFFFFF"/>
                <w:sz w:val="17"/>
              </w:rPr>
              <w:t>Exit criteria</w:t>
            </w:r>
          </w:p>
        </w:tc>
      </w:tr>
      <w:tr>
        <w:tc>
          <w:tcPr>
            <w:tcW w:type="dxa" w:w="3312"/>
            <w:vAlign w:val="center"/>
            <w:shd w:fill="F7F9FB"/>
          </w:tcPr>
          <w:p>
            <w:r/>
            <w:r>
              <w:rPr>
                <w:rFonts w:ascii="Aptos" w:hAnsi="Aptos"/>
                <w:b w:val="0"/>
                <w:color w:val="18212F"/>
                <w:sz w:val="16"/>
              </w:rPr>
              <w:t>Foundation</w:t>
            </w:r>
          </w:p>
        </w:tc>
        <w:tc>
          <w:tcPr>
            <w:tcW w:type="dxa" w:w="3312"/>
            <w:vAlign w:val="center"/>
            <w:shd w:fill="F7F9FB"/>
          </w:tcPr>
          <w:p>
            <w:r/>
            <w:r>
              <w:rPr>
                <w:rFonts w:ascii="Aptos" w:hAnsi="Aptos"/>
                <w:b w:val="0"/>
                <w:color w:val="18212F"/>
                <w:sz w:val="16"/>
              </w:rPr>
              <w:t>Auth, orgs, roles, subscriptions, design tokens</w:t>
            </w:r>
          </w:p>
        </w:tc>
        <w:tc>
          <w:tcPr>
            <w:tcW w:type="dxa" w:w="3312"/>
            <w:vAlign w:val="center"/>
            <w:shd w:fill="F7F9FB"/>
          </w:tcPr>
          <w:p>
            <w:r/>
            <w:r>
              <w:rPr>
                <w:rFonts w:ascii="Aptos" w:hAnsi="Aptos"/>
                <w:b w:val="0"/>
                <w:color w:val="18212F"/>
                <w:sz w:val="16"/>
              </w:rPr>
              <w:t>Secure tenancy and navigation baseline working</w:t>
            </w:r>
          </w:p>
        </w:tc>
      </w:tr>
      <w:tr>
        <w:tc>
          <w:tcPr>
            <w:tcW w:type="dxa" w:w="3312"/>
            <w:vAlign w:val="center"/>
          </w:tcPr>
          <w:p>
            <w:r/>
            <w:r>
              <w:rPr>
                <w:rFonts w:ascii="Aptos" w:hAnsi="Aptos"/>
                <w:b w:val="0"/>
                <w:color w:val="18212F"/>
                <w:sz w:val="16"/>
              </w:rPr>
              <w:t>Core CRM</w:t>
            </w:r>
          </w:p>
        </w:tc>
        <w:tc>
          <w:tcPr>
            <w:tcW w:type="dxa" w:w="3312"/>
            <w:vAlign w:val="center"/>
          </w:tcPr>
          <w:p>
            <w:r/>
            <w:r>
              <w:rPr>
                <w:rFonts w:ascii="Aptos" w:hAnsi="Aptos"/>
                <w:b w:val="0"/>
                <w:color w:val="18212F"/>
                <w:sz w:val="16"/>
              </w:rPr>
              <w:t>Contacts, companies, artists, agents, venues, suppliers</w:t>
            </w:r>
          </w:p>
        </w:tc>
        <w:tc>
          <w:tcPr>
            <w:tcW w:type="dxa" w:w="3312"/>
            <w:vAlign w:val="center"/>
          </w:tcPr>
          <w:p>
            <w:r/>
            <w:r>
              <w:rPr>
                <w:rFonts w:ascii="Aptos" w:hAnsi="Aptos"/>
                <w:b w:val="0"/>
                <w:color w:val="18212F"/>
                <w:sz w:val="16"/>
              </w:rPr>
              <w:t>CRUD + search + relationships + RLS tests</w:t>
            </w:r>
          </w:p>
        </w:tc>
      </w:tr>
      <w:tr>
        <w:tc>
          <w:tcPr>
            <w:tcW w:type="dxa" w:w="3312"/>
            <w:vAlign w:val="center"/>
            <w:shd w:fill="F7F9FB"/>
          </w:tcPr>
          <w:p>
            <w:r/>
            <w:r>
              <w:rPr>
                <w:rFonts w:ascii="Aptos" w:hAnsi="Aptos"/>
                <w:b w:val="0"/>
                <w:color w:val="18212F"/>
                <w:sz w:val="16"/>
              </w:rPr>
              <w:t>Events</w:t>
            </w:r>
          </w:p>
        </w:tc>
        <w:tc>
          <w:tcPr>
            <w:tcW w:type="dxa" w:w="3312"/>
            <w:vAlign w:val="center"/>
            <w:shd w:fill="F7F9FB"/>
          </w:tcPr>
          <w:p>
            <w:r/>
            <w:r>
              <w:rPr>
                <w:rFonts w:ascii="Aptos" w:hAnsi="Aptos"/>
                <w:b w:val="0"/>
                <w:color w:val="18212F"/>
                <w:sz w:val="16"/>
              </w:rPr>
              <w:t>Events, lineups, tours, event activity</w:t>
            </w:r>
          </w:p>
        </w:tc>
        <w:tc>
          <w:tcPr>
            <w:tcW w:type="dxa" w:w="3312"/>
            <w:vAlign w:val="center"/>
            <w:shd w:fill="F7F9FB"/>
          </w:tcPr>
          <w:p>
            <w:r/>
            <w:r>
              <w:rPr>
                <w:rFonts w:ascii="Aptos" w:hAnsi="Aptos"/>
                <w:b w:val="0"/>
                <w:color w:val="18212F"/>
                <w:sz w:val="16"/>
              </w:rPr>
              <w:t>End-to-end event workflow usable</w:t>
            </w:r>
          </w:p>
        </w:tc>
      </w:tr>
      <w:tr>
        <w:tc>
          <w:tcPr>
            <w:tcW w:type="dxa" w:w="3312"/>
            <w:vAlign w:val="center"/>
          </w:tcPr>
          <w:p>
            <w:r/>
            <w:r>
              <w:rPr>
                <w:rFonts w:ascii="Aptos" w:hAnsi="Aptos"/>
                <w:b w:val="0"/>
                <w:color w:val="18212F"/>
                <w:sz w:val="16"/>
              </w:rPr>
              <w:t>Operations</w:t>
            </w:r>
          </w:p>
        </w:tc>
        <w:tc>
          <w:tcPr>
            <w:tcW w:type="dxa" w:w="3312"/>
            <w:vAlign w:val="center"/>
          </w:tcPr>
          <w:p>
            <w:r/>
            <w:r>
              <w:rPr>
                <w:rFonts w:ascii="Aptos" w:hAnsi="Aptos"/>
                <w:b w:val="0"/>
                <w:color w:val="18212F"/>
                <w:sz w:val="16"/>
              </w:rPr>
              <w:t>Tasks, meetings, notes, documents</w:t>
            </w:r>
          </w:p>
        </w:tc>
        <w:tc>
          <w:tcPr>
            <w:tcW w:type="dxa" w:w="3312"/>
            <w:vAlign w:val="center"/>
          </w:tcPr>
          <w:p>
            <w:r/>
            <w:r>
              <w:rPr>
                <w:rFonts w:ascii="Aptos" w:hAnsi="Aptos"/>
                <w:b w:val="0"/>
                <w:color w:val="18212F"/>
                <w:sz w:val="16"/>
              </w:rPr>
              <w:t>Daily operating workflow supported</w:t>
            </w:r>
          </w:p>
        </w:tc>
      </w:tr>
      <w:tr>
        <w:tc>
          <w:tcPr>
            <w:tcW w:type="dxa" w:w="3312"/>
            <w:vAlign w:val="center"/>
            <w:shd w:fill="F7F9FB"/>
          </w:tcPr>
          <w:p>
            <w:r/>
            <w:r>
              <w:rPr>
                <w:rFonts w:ascii="Aptos" w:hAnsi="Aptos"/>
                <w:b w:val="0"/>
                <w:color w:val="18212F"/>
                <w:sz w:val="16"/>
              </w:rPr>
              <w:t>Finance</w:t>
            </w:r>
          </w:p>
        </w:tc>
        <w:tc>
          <w:tcPr>
            <w:tcW w:type="dxa" w:w="3312"/>
            <w:vAlign w:val="center"/>
            <w:shd w:fill="F7F9FB"/>
          </w:tcPr>
          <w:p>
            <w:r/>
            <w:r>
              <w:rPr>
                <w:rFonts w:ascii="Aptos" w:hAnsi="Aptos"/>
                <w:b w:val="0"/>
                <w:color w:val="18212F"/>
                <w:sz w:val="16"/>
              </w:rPr>
              <w:t>Financial entries, event summary</w:t>
            </w:r>
          </w:p>
        </w:tc>
        <w:tc>
          <w:tcPr>
            <w:tcW w:type="dxa" w:w="3312"/>
            <w:vAlign w:val="center"/>
            <w:shd w:fill="F7F9FB"/>
          </w:tcPr>
          <w:p>
            <w:r/>
            <w:r>
              <w:rPr>
                <w:rFonts w:ascii="Aptos" w:hAnsi="Aptos"/>
                <w:b w:val="0"/>
                <w:color w:val="18212F"/>
                <w:sz w:val="16"/>
              </w:rPr>
              <w:t>Accurate calculation and restrictive permissions</w:t>
            </w:r>
          </w:p>
        </w:tc>
      </w:tr>
      <w:tr>
        <w:tc>
          <w:tcPr>
            <w:tcW w:type="dxa" w:w="3312"/>
            <w:vAlign w:val="center"/>
          </w:tcPr>
          <w:p>
            <w:r/>
            <w:r>
              <w:rPr>
                <w:rFonts w:ascii="Aptos" w:hAnsi="Aptos"/>
                <w:b w:val="0"/>
                <w:color w:val="18212F"/>
                <w:sz w:val="16"/>
              </w:rPr>
              <w:t>Network</w:t>
            </w:r>
          </w:p>
        </w:tc>
        <w:tc>
          <w:tcPr>
            <w:tcW w:type="dxa" w:w="3312"/>
            <w:vAlign w:val="center"/>
          </w:tcPr>
          <w:p>
            <w:r/>
            <w:r>
              <w:rPr>
                <w:rFonts w:ascii="Aptos" w:hAnsi="Aptos"/>
                <w:b w:val="0"/>
                <w:color w:val="18212F"/>
                <w:sz w:val="16"/>
              </w:rPr>
              <w:t>Profiles, publishing, discovery</w:t>
            </w:r>
          </w:p>
        </w:tc>
        <w:tc>
          <w:tcPr>
            <w:tcW w:type="dxa" w:w="3312"/>
            <w:vAlign w:val="center"/>
          </w:tcPr>
          <w:p>
            <w:r/>
            <w:r>
              <w:rPr>
                <w:rFonts w:ascii="Aptos" w:hAnsi="Aptos"/>
                <w:b w:val="0"/>
                <w:color w:val="18212F"/>
                <w:sz w:val="16"/>
              </w:rPr>
              <w:t>Private/public boundaries proven by tests</w:t>
            </w:r>
          </w:p>
        </w:tc>
      </w:tr>
      <w:tr>
        <w:tc>
          <w:tcPr>
            <w:tcW w:type="dxa" w:w="3312"/>
            <w:vAlign w:val="center"/>
            <w:shd w:fill="F7F9FB"/>
          </w:tcPr>
          <w:p>
            <w:r/>
            <w:r>
              <w:rPr>
                <w:rFonts w:ascii="Aptos" w:hAnsi="Aptos"/>
                <w:b w:val="0"/>
                <w:color w:val="18212F"/>
                <w:sz w:val="16"/>
              </w:rPr>
              <w:t>Admin/Security</w:t>
            </w:r>
          </w:p>
        </w:tc>
        <w:tc>
          <w:tcPr>
            <w:tcW w:type="dxa" w:w="3312"/>
            <w:vAlign w:val="center"/>
            <w:shd w:fill="F7F9FB"/>
          </w:tcPr>
          <w:p>
            <w:r/>
            <w:r>
              <w:rPr>
                <w:rFonts w:ascii="Aptos" w:hAnsi="Aptos"/>
                <w:b w:val="0"/>
                <w:color w:val="18212F"/>
                <w:sz w:val="16"/>
              </w:rPr>
              <w:t>Audit logs, sessions, security settings</w:t>
            </w:r>
          </w:p>
        </w:tc>
        <w:tc>
          <w:tcPr>
            <w:tcW w:type="dxa" w:w="3312"/>
            <w:vAlign w:val="center"/>
            <w:shd w:fill="F7F9FB"/>
          </w:tcPr>
          <w:p>
            <w:r/>
            <w:r>
              <w:rPr>
                <w:rFonts w:ascii="Aptos" w:hAnsi="Aptos"/>
                <w:b w:val="0"/>
                <w:color w:val="18212F"/>
                <w:sz w:val="16"/>
              </w:rPr>
              <w:t>Admin governance and audit coverage complete</w:t>
            </w:r>
          </w:p>
        </w:tc>
      </w:tr>
      <w:tr>
        <w:tc>
          <w:tcPr>
            <w:tcW w:type="dxa" w:w="3312"/>
            <w:vAlign w:val="center"/>
          </w:tcPr>
          <w:p>
            <w:r/>
            <w:r>
              <w:rPr>
                <w:rFonts w:ascii="Aptos" w:hAnsi="Aptos"/>
                <w:b w:val="0"/>
                <w:color w:val="18212F"/>
                <w:sz w:val="16"/>
              </w:rPr>
              <w:t>Legal/Privacy</w:t>
            </w:r>
          </w:p>
        </w:tc>
        <w:tc>
          <w:tcPr>
            <w:tcW w:type="dxa" w:w="3312"/>
            <w:vAlign w:val="center"/>
          </w:tcPr>
          <w:p>
            <w:r/>
            <w:r>
              <w:rPr>
                <w:rFonts w:ascii="Aptos" w:hAnsi="Aptos"/>
                <w:b w:val="0"/>
                <w:color w:val="18212F"/>
                <w:sz w:val="16"/>
              </w:rPr>
              <w:t>All required pages, cookie controls, rights flows</w:t>
            </w:r>
          </w:p>
        </w:tc>
        <w:tc>
          <w:tcPr>
            <w:tcW w:type="dxa" w:w="3312"/>
            <w:vAlign w:val="center"/>
          </w:tcPr>
          <w:p>
            <w:r/>
            <w:r>
              <w:rPr>
                <w:rFonts w:ascii="Aptos" w:hAnsi="Aptos"/>
                <w:b w:val="0"/>
                <w:color w:val="18212F"/>
                <w:sz w:val="16"/>
              </w:rPr>
              <w:t>Counsel review + compliant implementation</w:t>
            </w:r>
          </w:p>
        </w:tc>
      </w:tr>
      <w:tr>
        <w:tc>
          <w:tcPr>
            <w:tcW w:type="dxa" w:w="3312"/>
            <w:vAlign w:val="center"/>
            <w:shd w:fill="F7F9FB"/>
          </w:tcPr>
          <w:p>
            <w:r/>
            <w:r>
              <w:rPr>
                <w:rFonts w:ascii="Aptos" w:hAnsi="Aptos"/>
                <w:b w:val="0"/>
                <w:color w:val="18212F"/>
                <w:sz w:val="16"/>
              </w:rPr>
              <w:t>Integrations</w:t>
            </w:r>
          </w:p>
        </w:tc>
        <w:tc>
          <w:tcPr>
            <w:tcW w:type="dxa" w:w="3312"/>
            <w:vAlign w:val="center"/>
            <w:shd w:fill="F7F9FB"/>
          </w:tcPr>
          <w:p>
            <w:r/>
            <w:r>
              <w:rPr>
                <w:rFonts w:ascii="Aptos" w:hAnsi="Aptos"/>
                <w:b w:val="0"/>
                <w:color w:val="18212F"/>
                <w:sz w:val="16"/>
              </w:rPr>
              <w:t>Email/calendar/ticketing discovery + first connectors</w:t>
            </w:r>
          </w:p>
        </w:tc>
        <w:tc>
          <w:tcPr>
            <w:tcW w:type="dxa" w:w="3312"/>
            <w:vAlign w:val="center"/>
            <w:shd w:fill="F7F9FB"/>
          </w:tcPr>
          <w:p>
            <w:r/>
            <w:r>
              <w:rPr>
                <w:rFonts w:ascii="Aptos" w:hAnsi="Aptos"/>
                <w:b w:val="0"/>
                <w:color w:val="18212F"/>
                <w:sz w:val="16"/>
              </w:rPr>
              <w:t>Connector-specific security and sync tests</w:t>
            </w:r>
          </w:p>
        </w:tc>
      </w:tr>
      <w:tr>
        <w:tc>
          <w:tcPr>
            <w:tcW w:type="dxa" w:w="3312"/>
            <w:vAlign w:val="center"/>
          </w:tcPr>
          <w:p>
            <w:r/>
            <w:r>
              <w:rPr>
                <w:rFonts w:ascii="Aptos" w:hAnsi="Aptos"/>
                <w:b w:val="0"/>
                <w:color w:val="18212F"/>
                <w:sz w:val="16"/>
              </w:rPr>
              <w:t>Launch hardening</w:t>
            </w:r>
          </w:p>
        </w:tc>
        <w:tc>
          <w:tcPr>
            <w:tcW w:type="dxa" w:w="3312"/>
            <w:vAlign w:val="center"/>
          </w:tcPr>
          <w:p>
            <w:r/>
            <w:r>
              <w:rPr>
                <w:rFonts w:ascii="Aptos" w:hAnsi="Aptos"/>
                <w:b w:val="0"/>
                <w:color w:val="18212F"/>
                <w:sz w:val="16"/>
              </w:rPr>
              <w:t>Pen test, performance, accessibility, backup restore</w:t>
            </w:r>
          </w:p>
        </w:tc>
        <w:tc>
          <w:tcPr>
            <w:tcW w:type="dxa" w:w="3312"/>
            <w:vAlign w:val="center"/>
          </w:tcPr>
          <w:p>
            <w:r/>
            <w:r>
              <w:rPr>
                <w:rFonts w:ascii="Aptos" w:hAnsi="Aptos"/>
                <w:b w:val="0"/>
                <w:color w:val="18212F"/>
                <w:sz w:val="16"/>
              </w:rPr>
              <w:t>All launch gates passed</w:t>
            </w:r>
          </w:p>
        </w:tc>
      </w:tr>
    </w:tbl>
    <w:p>
      <w:pPr>
        <w:spacing w:after="40"/>
      </w:pPr>
    </w:p>
    <w:p>
      <w:pPr>
        <w:pStyle w:val="Heading1"/>
        <w:spacing w:after="100"/>
      </w:pPr>
      <w:r>
        <w:t>18. Risks and open decisions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32238"/>
          </w:tcPr>
          <w:p>
            <w:r/>
            <w:r>
              <w:rPr>
                <w:rFonts w:ascii="Aptos" w:hAnsi="Aptos"/>
                <w:b/>
                <w:color w:val="FFFFFF"/>
                <w:sz w:val="17"/>
              </w:rPr>
              <w:t>Risk</w:t>
            </w:r>
          </w:p>
        </w:tc>
        <w:tc>
          <w:tcPr>
            <w:tcW w:type="dxa" w:w="3312"/>
            <w:vAlign w:val="center"/>
            <w:shd w:fill="132238"/>
          </w:tcPr>
          <w:p>
            <w:r/>
            <w:r>
              <w:rPr>
                <w:rFonts w:ascii="Aptos" w:hAnsi="Aptos"/>
                <w:b/>
                <w:color w:val="FFFFFF"/>
                <w:sz w:val="17"/>
              </w:rPr>
              <w:t>Why it matters</w:t>
            </w:r>
          </w:p>
        </w:tc>
        <w:tc>
          <w:tcPr>
            <w:tcW w:type="dxa" w:w="3312"/>
            <w:vAlign w:val="center"/>
            <w:shd w:fill="132238"/>
          </w:tcPr>
          <w:p>
            <w:r/>
            <w:r>
              <w:rPr>
                <w:rFonts w:ascii="Aptos" w:hAnsi="Aptos"/>
                <w:b/>
                <w:color w:val="FFFFFF"/>
                <w:sz w:val="17"/>
              </w:rPr>
              <w:t>Mitigation</w:t>
            </w:r>
          </w:p>
        </w:tc>
      </w:tr>
      <w:tr>
        <w:tc>
          <w:tcPr>
            <w:tcW w:type="dxa" w:w="3312"/>
            <w:vAlign w:val="center"/>
            <w:shd w:fill="F7F9FB"/>
          </w:tcPr>
          <w:p>
            <w:r/>
            <w:r>
              <w:rPr>
                <w:rFonts w:ascii="Aptos" w:hAnsi="Aptos"/>
                <w:b w:val="0"/>
                <w:color w:val="18212F"/>
                <w:sz w:val="16"/>
              </w:rPr>
              <w:t>Network privacy leakage</w:t>
            </w:r>
          </w:p>
        </w:tc>
        <w:tc>
          <w:tcPr>
            <w:tcW w:type="dxa" w:w="3312"/>
            <w:vAlign w:val="center"/>
            <w:shd w:fill="F7F9FB"/>
          </w:tcPr>
          <w:p>
            <w:r/>
            <w:r>
              <w:rPr>
                <w:rFonts w:ascii="Aptos" w:hAnsi="Aptos"/>
                <w:b w:val="0"/>
                <w:color w:val="18212F"/>
                <w:sz w:val="16"/>
              </w:rPr>
              <w:t>Highest risk conceptually: common identities can accidentally expose private tenant data.</w:t>
            </w:r>
          </w:p>
        </w:tc>
        <w:tc>
          <w:tcPr>
            <w:tcW w:type="dxa" w:w="3312"/>
            <w:vAlign w:val="center"/>
            <w:shd w:fill="F7F9FB"/>
          </w:tcPr>
          <w:p>
            <w:r/>
            <w:r>
              <w:rPr>
                <w:rFonts w:ascii="Aptos" w:hAnsi="Aptos"/>
                <w:b w:val="0"/>
                <w:color w:val="18212F"/>
                <w:sz w:val="16"/>
              </w:rPr>
              <w:t>Separate tenant records from network identities; RLS tests; never join private tables for public discovery without explicit policy.</w:t>
            </w:r>
          </w:p>
        </w:tc>
      </w:tr>
      <w:tr>
        <w:tc>
          <w:tcPr>
            <w:tcW w:type="dxa" w:w="3312"/>
            <w:vAlign w:val="center"/>
          </w:tcPr>
          <w:p>
            <w:r/>
            <w:r>
              <w:rPr>
                <w:rFonts w:ascii="Aptos" w:hAnsi="Aptos"/>
                <w:b w:val="0"/>
                <w:color w:val="18212F"/>
                <w:sz w:val="16"/>
              </w:rPr>
              <w:t>Role/subscription complexity</w:t>
            </w:r>
          </w:p>
        </w:tc>
        <w:tc>
          <w:tcPr>
            <w:tcW w:type="dxa" w:w="3312"/>
            <w:vAlign w:val="center"/>
          </w:tcPr>
          <w:p>
            <w:r/>
            <w:r>
              <w:rPr>
                <w:rFonts w:ascii="Aptos" w:hAnsi="Aptos"/>
                <w:b w:val="0"/>
                <w:color w:val="18212F"/>
                <w:sz w:val="16"/>
              </w:rPr>
              <w:t>Permission matrix can become hard to reason about.</w:t>
            </w:r>
          </w:p>
        </w:tc>
        <w:tc>
          <w:tcPr>
            <w:tcW w:type="dxa" w:w="3312"/>
            <w:vAlign w:val="center"/>
          </w:tcPr>
          <w:p>
            <w:r/>
            <w:r>
              <w:rPr>
                <w:rFonts w:ascii="Aptos" w:hAnsi="Aptos"/>
                <w:b w:val="0"/>
                <w:color w:val="18212F"/>
                <w:sz w:val="16"/>
              </w:rPr>
              <w:t>Centralise entitlements and policy evaluation; test combinations automatically.</w:t>
            </w:r>
          </w:p>
        </w:tc>
      </w:tr>
      <w:tr>
        <w:tc>
          <w:tcPr>
            <w:tcW w:type="dxa" w:w="3312"/>
            <w:vAlign w:val="center"/>
            <w:shd w:fill="F7F9FB"/>
          </w:tcPr>
          <w:p>
            <w:r/>
            <w:r>
              <w:rPr>
                <w:rFonts w:ascii="Aptos" w:hAnsi="Aptos"/>
                <w:b w:val="0"/>
                <w:color w:val="18212F"/>
                <w:sz w:val="16"/>
              </w:rPr>
              <w:t>File security</w:t>
            </w:r>
          </w:p>
        </w:tc>
        <w:tc>
          <w:tcPr>
            <w:tcW w:type="dxa" w:w="3312"/>
            <w:vAlign w:val="center"/>
            <w:shd w:fill="F7F9FB"/>
          </w:tcPr>
          <w:p>
            <w:r/>
            <w:r>
              <w:rPr>
                <w:rFonts w:ascii="Aptos" w:hAnsi="Aptos"/>
                <w:b w:val="0"/>
                <w:color w:val="18212F"/>
                <w:sz w:val="16"/>
              </w:rPr>
              <w:t>Sensitive contracts/IDs can create high impact.</w:t>
            </w:r>
          </w:p>
        </w:tc>
        <w:tc>
          <w:tcPr>
            <w:tcW w:type="dxa" w:w="3312"/>
            <w:vAlign w:val="center"/>
            <w:shd w:fill="F7F9FB"/>
          </w:tcPr>
          <w:p>
            <w:r/>
            <w:r>
              <w:rPr>
                <w:rFonts w:ascii="Aptos" w:hAnsi="Aptos"/>
                <w:b w:val="0"/>
                <w:color w:val="18212F"/>
                <w:sz w:val="16"/>
              </w:rPr>
              <w:t>Private buckets, signed URLs, scanning, access logs, least privilege.</w:t>
            </w:r>
          </w:p>
        </w:tc>
      </w:tr>
      <w:tr>
        <w:tc>
          <w:tcPr>
            <w:tcW w:type="dxa" w:w="3312"/>
            <w:vAlign w:val="center"/>
          </w:tcPr>
          <w:p>
            <w:r/>
            <w:r>
              <w:rPr>
                <w:rFonts w:ascii="Aptos" w:hAnsi="Aptos"/>
                <w:b w:val="0"/>
                <w:color w:val="18212F"/>
                <w:sz w:val="16"/>
              </w:rPr>
              <w:t>Legal/compliance changes</w:t>
            </w:r>
          </w:p>
        </w:tc>
        <w:tc>
          <w:tcPr>
            <w:tcW w:type="dxa" w:w="3312"/>
            <w:vAlign w:val="center"/>
          </w:tcPr>
          <w:p>
            <w:r/>
            <w:r>
              <w:rPr>
                <w:rFonts w:ascii="Aptos" w:hAnsi="Aptos"/>
                <w:b w:val="0"/>
                <w:color w:val="18212F"/>
                <w:sz w:val="16"/>
              </w:rPr>
              <w:t>UK privacy law/guidance continues to evolve.</w:t>
            </w:r>
          </w:p>
        </w:tc>
        <w:tc>
          <w:tcPr>
            <w:tcW w:type="dxa" w:w="3312"/>
            <w:vAlign w:val="center"/>
          </w:tcPr>
          <w:p>
            <w:r/>
            <w:r>
              <w:rPr>
                <w:rFonts w:ascii="Aptos" w:hAnsi="Aptos"/>
                <w:b w:val="0"/>
                <w:color w:val="18212F"/>
                <w:sz w:val="16"/>
              </w:rPr>
              <w:t>Legal review before launch and scheduled policy review; version legal pages.</w:t>
            </w:r>
          </w:p>
        </w:tc>
      </w:tr>
      <w:tr>
        <w:tc>
          <w:tcPr>
            <w:tcW w:type="dxa" w:w="3312"/>
            <w:vAlign w:val="center"/>
            <w:shd w:fill="F7F9FB"/>
          </w:tcPr>
          <w:p>
            <w:r/>
            <w:r>
              <w:rPr>
                <w:rFonts w:ascii="Aptos" w:hAnsi="Aptos"/>
                <w:b w:val="0"/>
                <w:color w:val="18212F"/>
                <w:sz w:val="16"/>
              </w:rPr>
              <w:t>Integration dependencies</w:t>
            </w:r>
          </w:p>
        </w:tc>
        <w:tc>
          <w:tcPr>
            <w:tcW w:type="dxa" w:w="3312"/>
            <w:vAlign w:val="center"/>
            <w:shd w:fill="F7F9FB"/>
          </w:tcPr>
          <w:p>
            <w:r/>
            <w:r>
              <w:rPr>
                <w:rFonts w:ascii="Aptos" w:hAnsi="Aptos"/>
                <w:b w:val="0"/>
                <w:color w:val="18212F"/>
                <w:sz w:val="16"/>
              </w:rPr>
              <w:t>Ticketing/email providers may have API limitations or changing terms.</w:t>
            </w:r>
          </w:p>
        </w:tc>
        <w:tc>
          <w:tcPr>
            <w:tcW w:type="dxa" w:w="3312"/>
            <w:vAlign w:val="center"/>
            <w:shd w:fill="F7F9FB"/>
          </w:tcPr>
          <w:p>
            <w:r/>
            <w:r>
              <w:rPr>
                <w:rFonts w:ascii="Aptos" w:hAnsi="Aptos"/>
                <w:b w:val="0"/>
                <w:color w:val="18212F"/>
                <w:sz w:val="16"/>
              </w:rPr>
              <w:t>Design adapters; make links the baseline and API sync optional.</w:t>
            </w:r>
          </w:p>
        </w:tc>
      </w:tr>
      <w:tr>
        <w:tc>
          <w:tcPr>
            <w:tcW w:type="dxa" w:w="3312"/>
            <w:vAlign w:val="center"/>
          </w:tcPr>
          <w:p>
            <w:r/>
            <w:r>
              <w:rPr>
                <w:rFonts w:ascii="Aptos" w:hAnsi="Aptos"/>
                <w:b w:val="0"/>
                <w:color w:val="18212F"/>
                <w:sz w:val="16"/>
              </w:rPr>
              <w:t>User-generated ratings</w:t>
            </w:r>
          </w:p>
        </w:tc>
        <w:tc>
          <w:tcPr>
            <w:tcW w:type="dxa" w:w="3312"/>
            <w:vAlign w:val="center"/>
          </w:tcPr>
          <w:p>
            <w:r/>
            <w:r>
              <w:rPr>
                <w:rFonts w:ascii="Aptos" w:hAnsi="Aptos"/>
                <w:b w:val="0"/>
                <w:color w:val="18212F"/>
                <w:sz w:val="16"/>
              </w:rPr>
              <w:t>Public ratings could create legal/reputational issues.</w:t>
            </w:r>
          </w:p>
        </w:tc>
        <w:tc>
          <w:tcPr>
            <w:tcW w:type="dxa" w:w="3312"/>
            <w:vAlign w:val="center"/>
          </w:tcPr>
          <w:p>
            <w:r/>
            <w:r>
              <w:rPr>
                <w:rFonts w:ascii="Aptos" w:hAnsi="Aptos"/>
                <w:b w:val="0"/>
                <w:color w:val="18212F"/>
                <w:sz w:val="16"/>
              </w:rPr>
              <w:t>Keep ratings private initially; seek legal policy review before network sharing.</w:t>
            </w:r>
          </w:p>
        </w:tc>
      </w:tr>
      <w:tr>
        <w:tc>
          <w:tcPr>
            <w:tcW w:type="dxa" w:w="3312"/>
            <w:vAlign w:val="center"/>
            <w:shd w:fill="F7F9FB"/>
          </w:tcPr>
          <w:p>
            <w:r/>
            <w:r>
              <w:rPr>
                <w:rFonts w:ascii="Aptos" w:hAnsi="Aptos"/>
                <w:b w:val="0"/>
                <w:color w:val="18212F"/>
                <w:sz w:val="16"/>
              </w:rPr>
              <w:t>Financial scope creep</w:t>
            </w:r>
          </w:p>
        </w:tc>
        <w:tc>
          <w:tcPr>
            <w:tcW w:type="dxa" w:w="3312"/>
            <w:vAlign w:val="center"/>
            <w:shd w:fill="F7F9FB"/>
          </w:tcPr>
          <w:p>
            <w:r/>
            <w:r>
              <w:rPr>
                <w:rFonts w:ascii="Aptos" w:hAnsi="Aptos"/>
                <w:b w:val="0"/>
                <w:color w:val="18212F"/>
                <w:sz w:val="16"/>
              </w:rPr>
              <w:t>Turning into accounting software can expand scope dramatically.</w:t>
            </w:r>
          </w:p>
        </w:tc>
        <w:tc>
          <w:tcPr>
            <w:tcW w:type="dxa" w:w="3312"/>
            <w:vAlign w:val="center"/>
            <w:shd w:fill="F7F9FB"/>
          </w:tcPr>
          <w:p>
            <w:r/>
            <w:r>
              <w:rPr>
                <w:rFonts w:ascii="Aptos" w:hAnsi="Aptos"/>
                <w:b w:val="0"/>
                <w:color w:val="18212F"/>
                <w:sz w:val="16"/>
              </w:rPr>
              <w:t>Start with event/booking finance, then integrate accounting systems later.</w:t>
            </w:r>
          </w:p>
        </w:tc>
      </w:tr>
    </w:tbl>
    <w:p>
      <w:pPr>
        <w:spacing w:after="40"/>
      </w:pPr>
    </w:p>
    <w:p>
      <w:pPr>
        <w:pStyle w:val="Heading2"/>
        <w:spacing w:after="100"/>
      </w:pPr>
      <w:r>
        <w:t>Open decisions requiring founder sign-off</w:t>
      </w:r>
    </w:p>
    <w:p>
      <w:pPr>
        <w:pStyle w:val="ListBullet"/>
        <w:spacing w:after="40"/>
      </w:pPr>
      <w:r>
        <w:t>Exact subscription tiers and plan limits.</w:t>
      </w:r>
    </w:p>
    <w:p>
      <w:pPr>
        <w:pStyle w:val="ListBullet"/>
        <w:spacing w:after="40"/>
      </w:pPr>
      <w:r>
        <w:t>Whether users may belong to multiple organisations at MVP.</w:t>
      </w:r>
    </w:p>
    <w:p>
      <w:pPr>
        <w:pStyle w:val="ListBullet"/>
        <w:spacing w:after="40"/>
      </w:pPr>
      <w:r>
        <w:t>Whether platform superusers may impersonate users and what break-glass controls are required.</w:t>
      </w:r>
    </w:p>
    <w:p>
      <w:pPr>
        <w:pStyle w:val="ListBullet"/>
        <w:spacing w:after="40"/>
      </w:pPr>
      <w:r>
        <w:t>Exact network discovery/privacy model and whether profiles are public, authenticated-only or request-to-connect.</w:t>
      </w:r>
    </w:p>
    <w:p>
      <w:pPr>
        <w:pStyle w:val="ListBullet"/>
        <w:spacing w:after="40"/>
      </w:pPr>
      <w:r>
        <w:t>Rating model and whether ratings remain permanently private in v1.</w:t>
      </w:r>
    </w:p>
    <w:p>
      <w:pPr>
        <w:pStyle w:val="ListBullet"/>
        <w:spacing w:after="40"/>
      </w:pPr>
      <w:r>
        <w:t>Exact financial scope for MVP.</w:t>
      </w:r>
    </w:p>
    <w:p>
      <w:pPr>
        <w:pStyle w:val="ListBullet"/>
        <w:spacing w:after="40"/>
      </w:pPr>
      <w:r>
        <w:t>Which ticketing API partners are first priority.</w:t>
      </w:r>
    </w:p>
    <w:p>
      <w:pPr>
        <w:pStyle w:val="ListBullet"/>
        <w:spacing w:after="40"/>
      </w:pPr>
      <w:r>
        <w:t>Whether supplier records are first-class in MVP or optional entity.</w:t>
      </w:r>
    </w:p>
    <w:p>
      <w:pPr>
        <w:pStyle w:val="ListBullet"/>
        <w:spacing w:after="40"/>
      </w:pPr>
      <w:r>
        <w:t>Exact retention periods for tenant data, documents, audit logs and backups.</w:t>
      </w:r>
    </w:p>
    <w:p>
      <w:pPr>
        <w:pStyle w:val="Heading1"/>
        <w:spacing w:after="100"/>
      </w:pPr>
      <w:r>
        <w:t>19. Success metrics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32238"/>
          </w:tcPr>
          <w:p>
            <w:r/>
            <w:r>
              <w:rPr>
                <w:rFonts w:ascii="Aptos" w:hAnsi="Aptos"/>
                <w:b/>
                <w:color w:val="FFFFFF"/>
                <w:sz w:val="17"/>
              </w:rPr>
              <w:t>Metric</w:t>
            </w:r>
          </w:p>
        </w:tc>
        <w:tc>
          <w:tcPr>
            <w:tcW w:type="dxa" w:w="4968"/>
            <w:vAlign w:val="center"/>
            <w:shd w:fill="132238"/>
          </w:tcPr>
          <w:p>
            <w:r/>
            <w:r>
              <w:rPr>
                <w:rFonts w:ascii="Aptos" w:hAnsi="Aptos"/>
                <w:b/>
                <w:color w:val="FFFFFF"/>
                <w:sz w:val="17"/>
              </w:rPr>
              <w:t>Initial success signal</w:t>
            </w:r>
          </w:p>
        </w:tc>
      </w:tr>
      <w:tr>
        <w:tc>
          <w:tcPr>
            <w:tcW w:type="dxa" w:w="4968"/>
            <w:vAlign w:val="center"/>
            <w:shd w:fill="F7F9FB"/>
          </w:tcPr>
          <w:p>
            <w:r/>
            <w:r>
              <w:rPr>
                <w:rFonts w:ascii="Aptos" w:hAnsi="Aptos"/>
                <w:b w:val="0"/>
                <w:color w:val="18212F"/>
                <w:sz w:val="16"/>
              </w:rPr>
              <w:t>Time to first value</w:t>
            </w:r>
          </w:p>
        </w:tc>
        <w:tc>
          <w:tcPr>
            <w:tcW w:type="dxa" w:w="4968"/>
            <w:vAlign w:val="center"/>
            <w:shd w:fill="F7F9FB"/>
          </w:tcPr>
          <w:p>
            <w:r/>
            <w:r>
              <w:rPr>
                <w:rFonts w:ascii="Aptos" w:hAnsi="Aptos"/>
                <w:b w:val="0"/>
                <w:color w:val="18212F"/>
                <w:sz w:val="16"/>
              </w:rPr>
              <w:t>New organisation creates its first useful event/workspace within onboarding session</w:t>
            </w:r>
          </w:p>
        </w:tc>
      </w:tr>
      <w:tr>
        <w:tc>
          <w:tcPr>
            <w:tcW w:type="dxa" w:w="4968"/>
            <w:vAlign w:val="center"/>
          </w:tcPr>
          <w:p>
            <w:r/>
            <w:r>
              <w:rPr>
                <w:rFonts w:ascii="Aptos" w:hAnsi="Aptos"/>
                <w:b w:val="0"/>
                <w:color w:val="18212F"/>
                <w:sz w:val="16"/>
              </w:rPr>
              <w:t>Weekly active use</w:t>
            </w:r>
          </w:p>
        </w:tc>
        <w:tc>
          <w:tcPr>
            <w:tcW w:type="dxa" w:w="4968"/>
            <w:vAlign w:val="center"/>
          </w:tcPr>
          <w:p>
            <w:r/>
            <w:r>
              <w:rPr>
                <w:rFonts w:ascii="Aptos" w:hAnsi="Aptos"/>
                <w:b w:val="0"/>
                <w:color w:val="18212F"/>
                <w:sz w:val="16"/>
              </w:rPr>
              <w:t>Core users return to manage contacts/events/tasks multiple times per week</w:t>
            </w:r>
          </w:p>
        </w:tc>
      </w:tr>
      <w:tr>
        <w:tc>
          <w:tcPr>
            <w:tcW w:type="dxa" w:w="4968"/>
            <w:vAlign w:val="center"/>
            <w:shd w:fill="F7F9FB"/>
          </w:tcPr>
          <w:p>
            <w:r/>
            <w:r>
              <w:rPr>
                <w:rFonts w:ascii="Aptos" w:hAnsi="Aptos"/>
                <w:b w:val="0"/>
                <w:color w:val="18212F"/>
                <w:sz w:val="16"/>
              </w:rPr>
              <w:t>Event workflow adoption</w:t>
            </w:r>
          </w:p>
        </w:tc>
        <w:tc>
          <w:tcPr>
            <w:tcW w:type="dxa" w:w="4968"/>
            <w:vAlign w:val="center"/>
            <w:shd w:fill="F7F9FB"/>
          </w:tcPr>
          <w:p>
            <w:r/>
            <w:r>
              <w:rPr>
                <w:rFonts w:ascii="Aptos" w:hAnsi="Aptos"/>
                <w:b w:val="0"/>
                <w:color w:val="18212F"/>
                <w:sz w:val="16"/>
              </w:rPr>
              <w:t>A meaningful share of events have venue + lineup + task/activity context recorded</w:t>
            </w:r>
          </w:p>
        </w:tc>
      </w:tr>
      <w:tr>
        <w:tc>
          <w:tcPr>
            <w:tcW w:type="dxa" w:w="4968"/>
            <w:vAlign w:val="center"/>
          </w:tcPr>
          <w:p>
            <w:r/>
            <w:r>
              <w:rPr>
                <w:rFonts w:ascii="Aptos" w:hAnsi="Aptos"/>
                <w:b w:val="0"/>
                <w:color w:val="18212F"/>
                <w:sz w:val="16"/>
              </w:rPr>
              <w:t>Search utility</w:t>
            </w:r>
          </w:p>
        </w:tc>
        <w:tc>
          <w:tcPr>
            <w:tcW w:type="dxa" w:w="4968"/>
            <w:vAlign w:val="center"/>
          </w:tcPr>
          <w:p>
            <w:r/>
            <w:r>
              <w:rPr>
                <w:rFonts w:ascii="Aptos" w:hAnsi="Aptos"/>
                <w:b w:val="0"/>
                <w:color w:val="18212F"/>
                <w:sz w:val="16"/>
              </w:rPr>
              <w:t>Users can find target contact/company/artist/event quickly without browsing multiple screens</w:t>
            </w:r>
          </w:p>
        </w:tc>
      </w:tr>
      <w:tr>
        <w:tc>
          <w:tcPr>
            <w:tcW w:type="dxa" w:w="4968"/>
            <w:vAlign w:val="center"/>
            <w:shd w:fill="F7F9FB"/>
          </w:tcPr>
          <w:p>
            <w:r/>
            <w:r>
              <w:rPr>
                <w:rFonts w:ascii="Aptos" w:hAnsi="Aptos"/>
                <w:b w:val="0"/>
                <w:color w:val="18212F"/>
                <w:sz w:val="16"/>
              </w:rPr>
              <w:t>Operational replacement</w:t>
            </w:r>
          </w:p>
        </w:tc>
        <w:tc>
          <w:tcPr>
            <w:tcW w:type="dxa" w:w="4968"/>
            <w:vAlign w:val="center"/>
            <w:shd w:fill="F7F9FB"/>
          </w:tcPr>
          <w:p>
            <w:r/>
            <w:r>
              <w:rPr>
                <w:rFonts w:ascii="Aptos" w:hAnsi="Aptos"/>
                <w:b w:val="0"/>
                <w:color w:val="18212F"/>
                <w:sz w:val="16"/>
              </w:rPr>
              <w:t>Customers report reduced dependency on spreadsheets/manual notes for core workflows</w:t>
            </w:r>
          </w:p>
        </w:tc>
      </w:tr>
      <w:tr>
        <w:tc>
          <w:tcPr>
            <w:tcW w:type="dxa" w:w="4968"/>
            <w:vAlign w:val="center"/>
          </w:tcPr>
          <w:p>
            <w:r/>
            <w:r>
              <w:rPr>
                <w:rFonts w:ascii="Aptos" w:hAnsi="Aptos"/>
                <w:b w:val="0"/>
                <w:color w:val="18212F"/>
                <w:sz w:val="16"/>
              </w:rPr>
              <w:t>Security quality</w:t>
            </w:r>
          </w:p>
        </w:tc>
        <w:tc>
          <w:tcPr>
            <w:tcW w:type="dxa" w:w="4968"/>
            <w:vAlign w:val="center"/>
          </w:tcPr>
          <w:p>
            <w:r/>
            <w:r>
              <w:rPr>
                <w:rFonts w:ascii="Aptos" w:hAnsi="Aptos"/>
                <w:b w:val="0"/>
                <w:color w:val="18212F"/>
                <w:sz w:val="16"/>
              </w:rPr>
              <w:t>Zero known critical tenant-isolation vulnerabilities at launch; all high-severity findings remediated</w:t>
            </w:r>
          </w:p>
        </w:tc>
      </w:tr>
      <w:tr>
        <w:tc>
          <w:tcPr>
            <w:tcW w:type="dxa" w:w="4968"/>
            <w:vAlign w:val="center"/>
            <w:shd w:fill="F7F9FB"/>
          </w:tcPr>
          <w:p>
            <w:r/>
            <w:r>
              <w:rPr>
                <w:rFonts w:ascii="Aptos" w:hAnsi="Aptos"/>
                <w:b w:val="0"/>
                <w:color w:val="18212F"/>
                <w:sz w:val="16"/>
              </w:rPr>
              <w:t>Trust/compliance</w:t>
            </w:r>
          </w:p>
        </w:tc>
        <w:tc>
          <w:tcPr>
            <w:tcW w:type="dxa" w:w="4968"/>
            <w:vAlign w:val="center"/>
            <w:shd w:fill="F7F9FB"/>
          </w:tcPr>
          <w:p>
            <w:r/>
            <w:r>
              <w:rPr>
                <w:rFonts w:ascii="Aptos" w:hAnsi="Aptos"/>
                <w:b w:val="0"/>
                <w:color w:val="18212F"/>
                <w:sz w:val="16"/>
              </w:rPr>
              <w:t>Legal/privacy pages reviewed, consent controls operational, security documentation available</w:t>
            </w:r>
          </w:p>
        </w:tc>
      </w:tr>
    </w:tbl>
    <w:p>
      <w:pPr>
        <w:spacing w:after="40"/>
      </w:pPr>
    </w:p>
    <w:p>
      <w:pPr>
        <w:pStyle w:val="Heading1"/>
        <w:spacing w:after="100"/>
      </w:pPr>
      <w:r>
        <w:t>20. Reference sources</w:t>
      </w:r>
    </w:p>
    <w:p>
      <w:pPr>
        <w:pStyle w:val="Small"/>
      </w:pPr>
      <w:r>
        <w:rPr>
          <w:b/>
        </w:rPr>
        <w:t xml:space="preserve">ICO – Cookies and privacy notices in detail — </w:t>
      </w:r>
      <w:r>
        <w:t>https://ico.org.uk/for-organisations/advice-for-small-organisations/privacy-notices-and-cookies/cookies-and-privacy-notices-in-detail/</w:t>
      </w:r>
    </w:p>
    <w:p>
      <w:pPr>
        <w:pStyle w:val="Small"/>
      </w:pPr>
      <w:r>
        <w:rPr>
          <w:b/>
        </w:rPr>
        <w:t xml:space="preserve">ICO – Cookies and similar technologies — </w:t>
      </w:r>
      <w:r>
        <w:t>https://ico.org.uk/for-organisations/direct-marketing-and-privacy-and-electronic-communications/guide-to-pecr/cookies-and-similar-technologies/</w:t>
      </w:r>
    </w:p>
    <w:p>
      <w:pPr>
        <w:pStyle w:val="Small"/>
      </w:pPr>
      <w:r>
        <w:rPr>
          <w:b/>
        </w:rPr>
        <w:t xml:space="preserve">ICO – Final storage and access technologies guidance published (29 Apr 2026) — </w:t>
      </w:r>
      <w:r>
        <w:t>https://ico.org.uk/about-the-ico/media-centre/news-and-blogs/2026/04/final-storage-and-access-technologies-guidance-published/</w:t>
      </w:r>
    </w:p>
    <w:p>
      <w:pPr>
        <w:pStyle w:val="Small"/>
      </w:pPr>
      <w:r>
        <w:rPr>
          <w:b/>
        </w:rPr>
        <w:t xml:space="preserve">ICO – Data protection by design and by default (updated 5 Feb 2026) — </w:t>
      </w:r>
      <w:r>
        <w:t>https://ico.org.uk/for-organisations/uk-gdpr-guidance-and-resources/accountability-and-governance/guide-to-accountability-and-governance/data-protection-by-design-and-by-default/</w:t>
      </w:r>
    </w:p>
    <w:p>
      <w:pPr>
        <w:pStyle w:val="Small"/>
      </w:pPr>
      <w:r>
        <w:rPr>
          <w:b/>
        </w:rPr>
        <w:t xml:space="preserve">ICO – DPIAs — </w:t>
      </w:r>
      <w:r>
        <w:t>https://ico.org.uk/for-organisations/uk-gdpr-guidance-and-resources/accountability-and-governance/data-protection-impact-assessments-dpias/what-is-a-dpia/</w:t>
      </w:r>
    </w:p>
    <w:p>
      <w:pPr>
        <w:pStyle w:val="Small"/>
      </w:pPr>
      <w:r>
        <w:rPr>
          <w:b/>
        </w:rPr>
        <w:t xml:space="preserve">ICO – Personal data breach guidance — </w:t>
      </w:r>
      <w:r>
        <w:t>https://ico.org.uk/for-organisations/report-a-breach/personal-data-breach/personal-data-breaches-a-guide/</w:t>
      </w:r>
    </w:p>
    <w:p>
      <w:pPr>
        <w:pStyle w:val="Small"/>
      </w:pPr>
      <w:r>
        <w:rPr>
          <w:b/>
        </w:rPr>
        <w:t xml:space="preserve">Supabase – Securing your data — </w:t>
      </w:r>
      <w:r>
        <w:t>https://supabase.com/docs/guides/database/secure-data</w:t>
      </w:r>
    </w:p>
    <w:p>
      <w:pPr>
        <w:pStyle w:val="Small"/>
      </w:pPr>
      <w:r>
        <w:rPr>
          <w:b/>
        </w:rPr>
        <w:t xml:space="preserve">OWASP – Application Security Verification Standard — </w:t>
      </w:r>
      <w:r>
        <w:t>https://owasp.org/www-project-application-security-verification-standard/</w:t>
      </w:r>
    </w:p>
    <w:p>
      <w:pPr>
        <w:pStyle w:val="Small"/>
      </w:pPr>
      <w:r>
        <w:rPr>
          <w:b/>
        </w:rPr>
        <w:t xml:space="preserve">OWASP – ASVS 5.0 session management documentation — </w:t>
      </w:r>
      <w:r>
        <w:t>https://cornucopia.owasp.org/taxonomy/asvs-5.0/07-session-management/01-session-management-documentation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467"/>
        <w:sz w:val="14"/>
      </w:rPr>
      <w:t>Confidential product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65467"/>
        <w:sz w:val="14"/>
      </w:rPr>
      <w:t>EVENT INDUSTRY CRM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821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2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A6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4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465467"/>
      <w:sz w:val="17"/>
    </w:rPr>
  </w:style>
  <w:style w:type="paragraph" w:customStyle="1" w:styleId="Callout">
    <w:name w:val="Callout"/>
    <w:rPr>
      <w:rFonts w:ascii="Aptos" w:hAnsi="Aptos"/>
      <w:b/>
      <w:color w:val="00A6A6"/>
      <w:sz w:val="20"/>
    </w:rPr>
  </w:style>
  <w:style w:type="paragraph" w:customStyle="1" w:styleId="Mono">
    <w:name w:val="Mono"/>
    <w:rPr>
      <w:rFonts w:ascii="Aptos" w:hAnsi="Aptos"/>
      <w:b w:val="0"/>
      <w:color w:val="46546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