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32"/>
          <w:szCs w:val="32"/>
        </w:rPr>
        <w:t xml:space="preserve">INSTITUTIONAL EQUITY RESEARCH</w:t>
      </w:r>
    </w:p>
    <w:p>
      <w:pPr>
        <w:spacing w:after="50"/>
        <w:jc w:val="center"/>
      </w:pPr>
      <w:r>
        <w:rPr>
          <w:rFonts w:ascii="Arial" w:cs="Arial" w:eastAsia="Arial" w:hAnsi="Arial"/>
          <w:color w:val="555555"/>
          <w:sz w:val="22"/>
          <w:szCs w:val="22"/>
        </w:rPr>
        <w:t xml:space="preserve">135-Point Scoring Framework | India Equities</w:t>
      </w:r>
    </w:p>
    <w:p>
      <w:pPr>
        <w:spacing w:after="300"/>
        <w:jc w:val="center"/>
      </w:pPr>
      <w:r>
        <w:rPr>
          <w:rFonts w:ascii="Arial" w:cs="Arial" w:eastAsia="Arial" w:hAnsi="Arial"/>
          <w:b/>
          <w:bCs/>
          <w:color w:val="C0392B"/>
          <w:sz w:val="24"/>
          <w:szCs w:val="24"/>
        </w:rPr>
        <w:t xml:space="preserve">FRESH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6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Company</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Narayana Hrudayalaya Ltd (Narayana Health)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BSE / NSE Code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BSE: 539551 | NSE: NH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CMP</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₹1,743 (as of 04 Mar 2026)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Market Cap</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₹35,394 Cr</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Sector</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Healthcare — Hospital / Healthcare Services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Analysis Date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07 March 2026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Analysis Mode</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FRESH ANALYSIS</w:t>
            </w:r>
          </w:p>
        </w:tc>
      </w:tr>
    </w:tbl>
    <w:p>
      <w:pPr>
        <w:spacing w:after="200"/>
      </w:pPr>
    </w:p>
    <w:p>
      <w:pPr>
        <w:pStyle w:val="Heading1"/>
        <w:spacing w:before="300" w:after="150"/>
      </w:pPr>
      <w:r>
        <w:rPr>
          <w:rFonts w:ascii="Arial" w:cs="Arial" w:eastAsia="Arial" w:hAnsi="Arial"/>
          <w:b/>
          <w:bCs/>
          <w:sz w:val="28"/>
          <w:szCs w:val="28"/>
        </w:rPr>
        <w:t xml:space="preserve">STAGE 0: PRE-SCREEN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500"/>
        <w:gridCol w:w="1500"/>
      </w:tblGrid>
      <w:tr>
        <w:tc>
          <w:tcPr>
            <w:tcW w:type="dxa" w:w="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Question</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Answer</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G1</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CFO positive in at least 3 of last 5 years?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7AE60"/>
                <w:sz w:val="18"/>
                <w:szCs w:val="18"/>
              </w:rPr>
              <w:t xml:space="preserve">YES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5/5 yrs positive</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G2</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Promoter pledging below 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7AE60"/>
                <w:sz w:val="18"/>
                <w:szCs w:val="18"/>
              </w:rPr>
              <w:t xml:space="preserve">YES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Zero pledging</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G3</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Identifiable earnings trigger with timeline &lt;30 months?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7AE60"/>
                <w:sz w:val="18"/>
                <w:szCs w:val="18"/>
              </w:rPr>
              <w:t xml:space="preserve">YES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India margin expansion + bed capacity growth</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G4</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Stock in Stage 1 or Stage 2 (Weinstein)?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0392B"/>
                <w:sz w:val="18"/>
                <w:szCs w:val="18"/>
              </w:rPr>
              <w:t xml:space="preserve">NO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CMP ₹1,743 below 200 DMA ₹1,843</w:t>
            </w:r>
          </w:p>
        </w:tc>
      </w:tr>
      <w:tr>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G5</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Revenue flat or growing over last 6 quarters?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27AE60"/>
                <w:sz w:val="18"/>
                <w:szCs w:val="18"/>
              </w:rPr>
              <w:t xml:space="preserve">YES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Revenue growing every Q</w:t>
            </w:r>
          </w:p>
        </w:tc>
      </w:tr>
    </w:tbl>
    <w:p>
      <w:pPr>
        <w:spacing w:after="80"/>
      </w:pPr>
      <w:r>
        <w:rPr>
          <w:rFonts w:ascii="Arial" w:cs="Arial" w:eastAsia="Arial" w:hAnsi="Arial"/>
          <w:b/>
          <w:bCs/>
          <w:sz w:val="20"/>
          <w:szCs w:val="20"/>
        </w:rPr>
        <w:t xml:space="preserve">Gate Result: </w:t>
      </w:r>
      <w:r>
        <w:rPr>
          <w:rFonts w:ascii="Arial" w:cs="Arial" w:eastAsia="Arial" w:hAnsi="Arial"/>
          <w:sz w:val="20"/>
          <w:szCs w:val="20"/>
        </w:rPr>
        <w:t xml:space="preserve">4/5 — PROCEED (G4 flagged as known risk: stock currently below 200 DMA / 30W MA)</w:t>
      </w:r>
    </w:p>
    <w:p>
      <w:pPr>
        <w:pStyle w:val="Heading1"/>
        <w:spacing w:before="300" w:after="150"/>
      </w:pPr>
      <w:r>
        <w:rPr>
          <w:rFonts w:ascii="Arial" w:cs="Arial" w:eastAsia="Arial" w:hAnsi="Arial"/>
          <w:b/>
          <w:bCs/>
          <w:sz w:val="28"/>
          <w:szCs w:val="28"/>
        </w:rPr>
        <w:t xml:space="preserve">HARD DISQUALIFICATION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75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75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CFO/EBITDA &lt; 30% for 3+ consecutive years</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Lowest: 73% (FY22)</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Promoter pledging &gt; 50%</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Zero pledging</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Auditor qualified opinion in last 2 years</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Clean audit</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Credit rating downgrade in last 12 months</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ICRA AA- reaffirmed Jan 2026</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Same trigger guided 4+ Q undelivered</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Margin expansion delivered</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Equity dilution &gt;20% in 3 years w/o EBITDA growth</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Shares stable at 204 Cr</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Active SEBI enforcement action</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None found</w:t>
            </w:r>
          </w:p>
        </w:tc>
      </w:tr>
    </w:tbl>
    <w:p>
      <w:pPr>
        <w:spacing w:after="100"/>
      </w:pPr>
      <w:r>
        <w:rPr>
          <w:rFonts w:ascii="Arial" w:cs="Arial" w:eastAsia="Arial" w:hAnsi="Arial"/>
          <w:sz w:val="20"/>
          <w:szCs w:val="20"/>
        </w:rPr>
        <w:t xml:space="preserve">All hard disqualification triggers clear. Proceeding to full scoring.</w:t>
      </w:r>
    </w:p>
    <w:p>
      <w:pPr>
        <w:pStyle w:val="Heading1"/>
        <w:spacing w:before="300" w:after="150"/>
      </w:pPr>
      <w:r>
        <w:rPr>
          <w:rFonts w:ascii="Arial" w:cs="Arial" w:eastAsia="Arial" w:hAnsi="Arial"/>
          <w:b/>
          <w:bCs/>
          <w:sz w:val="28"/>
          <w:szCs w:val="28"/>
        </w:rPr>
        <w:t xml:space="preserve">AUTOMATIC DOWNGRADE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1750"/>
        <w:gridCol w:w="1750"/>
      </w:tblGrid>
      <w:tr>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75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75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Evidence</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CFO/EBITDA between 30-45%</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FY25: 76%</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Promoter pledging between 25-50%</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Zero</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RPTs &gt; 10% of revenue</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RPTs well below 10%</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Technical score &lt; 8/15</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E67E22"/>
                <w:sz w:val="18"/>
                <w:szCs w:val="18"/>
              </w:rPr>
              <w:t xml:space="preserve">⚠ TRIGGERED</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Score 7/15 (see Phase 6)</w:t>
            </w:r>
          </w:p>
        </w:tc>
      </w:tr>
      <w:tr>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Guidance missed &gt;4 of last 8 quarters</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color w:val="27AE60"/>
                <w:sz w:val="18"/>
                <w:szCs w:val="18"/>
              </w:rPr>
              <w:t xml:space="preserve">✅ CLEAR</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Guidance broadly met</w:t>
            </w:r>
          </w:p>
        </w:tc>
      </w:tr>
    </w:tbl>
    <w:p>
      <w:pPr>
        <w:spacing w:after="80"/>
      </w:pPr>
      <w:r>
        <w:rPr>
          <w:rFonts w:ascii="Arial" w:cs="Arial" w:eastAsia="Arial" w:hAnsi="Arial"/>
          <w:b/>
          <w:bCs/>
          <w:sz w:val="20"/>
          <w:szCs w:val="20"/>
        </w:rPr>
        <w:t xml:space="preserve">Downgrade triggers: </w:t>
      </w:r>
      <w:r>
        <w:rPr>
          <w:rFonts w:ascii="Arial" w:cs="Arial" w:eastAsia="Arial" w:hAnsi="Arial"/>
          <w:sz w:val="20"/>
          <w:szCs w:val="20"/>
        </w:rPr>
        <w:t xml:space="preserve">1 (Technical score &lt; 8/15) — Final verdict downgraded by one level.</w:t>
      </w:r>
    </w:p>
    <w:p>
      <w:r>
        <w:br w:type="page"/>
      </w:r>
    </w:p>
    <w:p>
      <w:pPr>
        <w:pStyle w:val="Heading1"/>
        <w:spacing w:before="300" w:after="150"/>
      </w:pPr>
      <w:r>
        <w:rPr>
          <w:rFonts w:ascii="Arial" w:cs="Arial" w:eastAsia="Arial" w:hAnsi="Arial"/>
          <w:b/>
          <w:bCs/>
          <w:sz w:val="28"/>
          <w:szCs w:val="28"/>
        </w:rPr>
        <w:t xml:space="preserve">STEP 1: PRE-FLIGHT DATA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1750"/>
        <w:gridCol w:w="1750"/>
      </w:tblGrid>
      <w:tr>
        <w:tc>
          <w:tcPr>
            <w:tcW w:type="dxa" w:w="2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Search Destination</w:t>
            </w:r>
          </w:p>
        </w:tc>
        <w:tc>
          <w:tcPr>
            <w:tcW w:type="dxa" w:w="175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175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Coverage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Annual Reports (5Y)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bseindia.com</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Full</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FY20-FY25</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Quarterly Results (8Q)</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Screener / BSE</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Full</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Q2 FY24-Q3 FY26</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Concall Transcripts (6Q)</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BSE / AlphaStreet</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Partial</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Q2 FY26, Q3 FY26 partial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Investor Presentations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BSE filings</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Full</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Q3 FY26 latest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Credit Rating Report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icra.in</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Full</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Jan 2026 reaffirmation</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Shareholding Pattern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Screener / BSE</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Full</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Dec 2025 latest</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Price &amp; Volume Data</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NSE / TradingView</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Full</w:t>
            </w:r>
          </w:p>
        </w:tc>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Up to Mar 2026</w:t>
            </w:r>
          </w:p>
        </w:tc>
      </w:tr>
    </w:tbl>
    <w:p>
      <w:pPr>
        <w:spacing w:after="80"/>
      </w:pPr>
      <w:r>
        <w:rPr>
          <w:rFonts w:ascii="Arial" w:cs="Arial" w:eastAsia="Arial" w:hAnsi="Arial"/>
          <w:b/>
          <w:bCs/>
          <w:sz w:val="20"/>
          <w:szCs w:val="20"/>
        </w:rPr>
        <w:t xml:space="preserve">Confidence Qualifier: </w:t>
      </w:r>
      <w:r>
        <w:rPr>
          <w:rFonts w:ascii="Arial" w:cs="Arial" w:eastAsia="Arial" w:hAnsi="Arial"/>
          <w:sz w:val="20"/>
          <w:szCs w:val="20"/>
        </w:rPr>
        <w:t xml:space="preserve">MEDIUM CONFIDENCE (6/7 sources — concall transcripts partial, not full text available for all 6Q)</w:t>
      </w:r>
    </w:p>
    <w:p>
      <w:r>
        <w:br w:type="page"/>
      </w:r>
    </w:p>
    <w:p>
      <w:pPr>
        <w:pStyle w:val="Heading1"/>
        <w:spacing w:before="300" w:after="150"/>
      </w:pPr>
      <w:r>
        <w:rPr>
          <w:rFonts w:ascii="Arial" w:cs="Arial" w:eastAsia="Arial" w:hAnsi="Arial"/>
          <w:b/>
          <w:bCs/>
          <w:sz w:val="28"/>
          <w:szCs w:val="28"/>
        </w:rPr>
        <w:t xml:space="preserve">PHASE 1: BUSINESS ORIENTATION (20 Points)</w:t>
      </w:r>
    </w:p>
    <w:p>
      <w:pPr>
        <w:pStyle w:val="Heading2"/>
        <w:spacing w:before="200" w:after="100"/>
      </w:pPr>
      <w:r>
        <w:rPr>
          <w:rFonts w:ascii="Arial" w:cs="Arial" w:eastAsia="Arial" w:hAnsi="Arial"/>
          <w:b/>
          <w:bCs/>
          <w:sz w:val="24"/>
          <w:szCs w:val="24"/>
        </w:rPr>
        <w:t xml:space="preserve">1.1 Business Model Clarity — 5 pts</w:t>
      </w:r>
    </w:p>
    <w:p>
      <w:pPr>
        <w:spacing w:after="100"/>
      </w:pPr>
      <w:r>
        <w:rPr>
          <w:rFonts w:ascii="Arial" w:cs="Arial" w:eastAsia="Arial" w:hAnsi="Arial"/>
          <w:sz w:val="20"/>
          <w:szCs w:val="20"/>
        </w:rPr>
        <w:t xml:space="preserve">Narayana Hrudayalaya operates a chain of multispecialty and super-specialty hospitals delivering affordable healthcare services. Revenue is generated through hospital services across owned hospitals (73% of India revenue), operated hospitals (25%), and heart centres (2%). The company operates 42 healthcare facilities with 5,554 operational beds as of Sep 2025. Segment contribution is well-documented: Cardiac Sciences 33%, Medicine &amp; GI Sciences 15%, Oncology 13%, Neurosciences and Orthopaedics making up the balance. Additional revenue streams include Cayman Islands operations (2 hospitals, 165 beds) and nascent integrated care/insurance businesses (NHIC + NHIL). The UK acquisition of Practice Plus Group adds a third geography from Nov 2025.</w:t>
      </w:r>
    </w:p>
    <w:p>
      <w:pPr>
        <w:spacing w:after="100"/>
      </w:pPr>
      <w:r>
        <w:rPr>
          <w:rFonts w:ascii="Arial" w:cs="Arial" w:eastAsia="Arial" w:hAnsi="Arial"/>
          <w:sz w:val="20"/>
          <w:szCs w:val="20"/>
        </w:rPr>
        <w:t xml:space="preserve">Payor mix: Walk-in 45%, Insurance/TPA ~35%, Government schemes ~20%. Monetization is through fee-for-service hospital billing. The model is capital-intensive (owned hospitals) but has demonstrated operating leverage improvement.</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5/5 | Source: FY25 Annual Report, Q3 FY26 Investor Presentation (BSE filing)</w:t>
      </w:r>
    </w:p>
    <w:p>
      <w:pPr>
        <w:pStyle w:val="Heading2"/>
        <w:spacing w:before="200" w:after="100"/>
      </w:pPr>
      <w:r>
        <w:rPr>
          <w:rFonts w:ascii="Arial" w:cs="Arial" w:eastAsia="Arial" w:hAnsi="Arial"/>
          <w:b/>
          <w:bCs/>
          <w:sz w:val="24"/>
          <w:szCs w:val="24"/>
        </w:rPr>
        <w:t xml:space="preserve">1.2 Industry Positioning — 5 pts</w:t>
      </w:r>
    </w:p>
    <w:p>
      <w:pPr>
        <w:spacing w:after="100"/>
      </w:pPr>
      <w:r>
        <w:rPr>
          <w:rFonts w:ascii="Arial" w:cs="Arial" w:eastAsia="Arial" w:hAnsi="Arial"/>
          <w:sz w:val="20"/>
          <w:szCs w:val="20"/>
        </w:rPr>
        <w:t xml:space="preserve">Narayana Health has EBITDA margins of 24% (FY25), which is in line with the top quartile among Indian hospital chains. Peers: Apollo Hospitals ~14-15% (hospital segment higher, blended lower due to pharmacy), Max Healthcare ~28%, Fortis ~24%, KIMS ~25%. NH has a differentiated affordable care positioning with ARPOB of ₹1.75 Cr vs Max Healthcare ₹2.84 Cr. The company is a clear leader in cardiac sciences nationally. Dr. Devi Shetty brand carries significant goodwill. Market leadership in Karnataka and Eastern India (Kolkata).</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4/5 | Source: Screener peer data, ICRA Jan 2026 rating report, Q3 FY26 Investor Presentation</w:t>
      </w:r>
    </w:p>
    <w:p>
      <w:pPr>
        <w:pStyle w:val="Heading2"/>
        <w:spacing w:before="200" w:after="100"/>
      </w:pPr>
      <w:r>
        <w:rPr>
          <w:rFonts w:ascii="Arial" w:cs="Arial" w:eastAsia="Arial" w:hAnsi="Arial"/>
          <w:b/>
          <w:bCs/>
          <w:sz w:val="24"/>
          <w:szCs w:val="24"/>
        </w:rPr>
        <w:t xml:space="preserve">1.3 Recent Developments — 5 pts</w:t>
      </w:r>
    </w:p>
    <w:p>
      <w:pPr>
        <w:spacing w:after="100"/>
      </w:pPr>
      <w:r>
        <w:rPr>
          <w:rFonts w:ascii="Arial" w:cs="Arial" w:eastAsia="Arial" w:hAnsi="Arial"/>
          <w:sz w:val="20"/>
          <w:szCs w:val="20"/>
        </w:rPr>
        <w:t xml:space="preserve">Significant positive developments in last 12 months: (1) UK acquisition of Practice Plus Group completed Nov 2025 for ~₹2,200 Cr, adding NHS elective surgery capacity; (2) New Cayman Islands multi-specialty facility operational from Oct 2024 with strong revenue ramp-up (US$ 44.8 Mn in Q3 FY26, +27.1% YoY); (3) India operations delivered 150-200 bps margin expansion YoY for two consecutive quarters; (4) ICRA rating reaffirmed AA- (Stable) Jan 2026; (5) Robotic cardiac surgeries at Bangalore surged 35% QoQ (244 in Q3 FY26); (6) NCLT-directed amalgamation of Meridian Medical Research &amp; Hospital Ltd approved; (7) New subsidiary Narayana Healthcare North Pvt Ltd incorporated Jan 2026 for expansion; (8) Property purchase in Bengaluru Electronic City for GCC/software development.</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5/5 | Source: BSE filings (multiple), Q3 FY26 Investor Presentation, ICRA Jan 2026</w:t>
      </w:r>
    </w:p>
    <w:p>
      <w:pPr>
        <w:pStyle w:val="Heading2"/>
        <w:spacing w:before="200" w:after="100"/>
      </w:pPr>
      <w:r>
        <w:rPr>
          <w:rFonts w:ascii="Arial" w:cs="Arial" w:eastAsia="Arial" w:hAnsi="Arial"/>
          <w:b/>
          <w:bCs/>
          <w:sz w:val="24"/>
          <w:szCs w:val="24"/>
        </w:rPr>
        <w:t xml:space="preserve">1.4 Governance Check — 5 pts</w:t>
      </w:r>
    </w:p>
    <w:p>
      <w:pPr>
        <w:spacing w:after="100"/>
      </w:pPr>
      <w:r>
        <w:rPr>
          <w:rFonts w:ascii="Arial" w:cs="Arial" w:eastAsia="Arial" w:hAnsi="Arial"/>
          <w:sz w:val="20"/>
          <w:szCs w:val="20"/>
        </w:rPr>
        <w:t xml:space="preserve">Zero promoter pledging confirmed (ValueResearchOnline, BSE filings). No promoter selling in recent quarters — promoter holding declined marginally from 63.85% to 63.27% (Dec 2025), likely due to corporate restructuring/NCLT scheme, not open market sales. Audit opinion clean (FY25 Annual Report). RPTs are disclosed and well below 5% of revenue per ICRA rating report. Dr. Devi Shetty (Chairman) is a Padma Bhushan recipient with 30+ years of experience. Board composition appears adequate.</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5/5 | Source: BSE shareholding pattern Dec 2025, FY25 AR, ICRA Jan 2026</w:t>
      </w:r>
    </w:p>
    <w:p>
      <w:pPr>
        <w:spacing w:after="80"/>
      </w:pPr>
      <w:r>
        <w:rPr>
          <w:rFonts w:ascii="Arial" w:cs="Arial" w:eastAsia="Arial" w:hAnsi="Arial"/>
          <w:b/>
          <w:bCs/>
          <w:sz w:val="20"/>
          <w:szCs w:val="20"/>
        </w:rPr>
        <w:t xml:space="preserve">Phase 1 Total Locked: </w:t>
      </w:r>
      <w:r>
        <w:rPr>
          <w:rFonts w:ascii="Arial" w:cs="Arial" w:eastAsia="Arial" w:hAnsi="Arial"/>
          <w:sz w:val="20"/>
          <w:szCs w:val="20"/>
        </w:rPr>
        <w:t xml:space="preserve">19/20</w:t>
      </w:r>
    </w:p>
    <w:p>
      <w:r>
        <w:br w:type="page"/>
      </w:r>
    </w:p>
    <w:p>
      <w:pPr>
        <w:pStyle w:val="Heading1"/>
        <w:spacing w:before="300" w:after="150"/>
      </w:pPr>
      <w:r>
        <w:rPr>
          <w:rFonts w:ascii="Arial" w:cs="Arial" w:eastAsia="Arial" w:hAnsi="Arial"/>
          <w:b/>
          <w:bCs/>
          <w:sz w:val="28"/>
          <w:szCs w:val="28"/>
        </w:rPr>
        <w:t xml:space="preserve">PHASE 2: EARNINGS TRIGGER IDENTIFICATION (35 Points)</w:t>
      </w:r>
    </w:p>
    <w:p>
      <w:pPr>
        <w:pStyle w:val="Heading2"/>
        <w:spacing w:before="200" w:after="100"/>
      </w:pPr>
      <w:r>
        <w:rPr>
          <w:rFonts w:ascii="Arial" w:cs="Arial" w:eastAsia="Arial" w:hAnsi="Arial"/>
          <w:b/>
          <w:bCs/>
          <w:sz w:val="24"/>
          <w:szCs w:val="24"/>
        </w:rPr>
        <w:t xml:space="preserve">2.1 Primary Earnings Trigger — 15 pts</w:t>
      </w:r>
    </w:p>
    <w:p>
      <w:pPr>
        <w:spacing w:after="100"/>
      </w:pPr>
      <w:r>
        <w:rPr>
          <w:rFonts w:ascii="Arial" w:cs="Arial" w:eastAsia="Arial" w:hAnsi="Arial"/>
          <w:sz w:val="20"/>
          <w:szCs w:val="20"/>
        </w:rPr>
        <w:t xml:space="preserve">PRIMARY TRIGGER: India margin expansion (150-200 bps YoY) driven by transformation programs, payer mix optimization, and capacity additions.</w:t>
      </w:r>
    </w:p>
    <w:p>
      <w:pPr>
        <w:spacing w:after="80"/>
      </w:pPr>
      <w:r>
        <w:rPr>
          <w:rFonts w:ascii="Arial" w:cs="Arial" w:eastAsia="Arial" w:hAnsi="Arial"/>
          <w:b/>
          <w:bCs/>
          <w:sz w:val="20"/>
          <w:szCs w:val="20"/>
        </w:rPr>
        <w:t xml:space="preserve">What is the trigger? </w:t>
      </w:r>
      <w:r>
        <w:rPr>
          <w:rFonts w:ascii="Arial" w:cs="Arial" w:eastAsia="Arial" w:hAnsi="Arial"/>
          <w:sz w:val="20"/>
          <w:szCs w:val="20"/>
        </w:rPr>
        <w:t xml:space="preserve">Multi-pronged margin expansion in India operations through: (a) higher-complexity procedures (robotic cardiac surgery, TAVI, oncology scale-up), (b) payor mix shift toward walk-in and insurance from government schemes, (c) CGHS rate revision tailwind (₹140 Cr revenue uplift, 85-90% EBITDA flow-through), (d) bed capacity addition of 1,500+ beds over 3 years via ₹3,000 Cr capex.</w:t>
      </w:r>
    </w:p>
    <w:p>
      <w:pPr>
        <w:spacing w:after="80"/>
      </w:pPr>
      <w:r>
        <w:rPr>
          <w:rFonts w:ascii="Arial" w:cs="Arial" w:eastAsia="Arial" w:hAnsi="Arial"/>
          <w:b/>
          <w:bCs/>
          <w:sz w:val="20"/>
          <w:szCs w:val="20"/>
        </w:rPr>
        <w:t xml:space="preserve">Source: </w:t>
      </w:r>
      <w:r>
        <w:rPr>
          <w:rFonts w:ascii="Arial" w:cs="Arial" w:eastAsia="Arial" w:hAnsi="Arial"/>
          <w:sz w:val="20"/>
          <w:szCs w:val="20"/>
        </w:rPr>
        <w:t xml:space="preserve">Q3 FY26 earnings call transcript (Feb 17, 2026), Q2 FY26 concall, Q3 FY26 Investor Presentation</w:t>
      </w:r>
    </w:p>
    <w:p>
      <w:pPr>
        <w:spacing w:after="80"/>
      </w:pPr>
      <w:r>
        <w:rPr>
          <w:rFonts w:ascii="Arial" w:cs="Arial" w:eastAsia="Arial" w:hAnsi="Arial"/>
          <w:b/>
          <w:bCs/>
          <w:sz w:val="20"/>
          <w:szCs w:val="20"/>
        </w:rPr>
        <w:t xml:space="preserve">Timeline: </w:t>
      </w:r>
      <w:r>
        <w:rPr>
          <w:rFonts w:ascii="Arial" w:cs="Arial" w:eastAsia="Arial" w:hAnsi="Arial"/>
          <w:sz w:val="20"/>
          <w:szCs w:val="20"/>
        </w:rPr>
        <w:t xml:space="preserve">Ongoing — margin expansion already delivering for 2 consecutive quarters; CGHS full impact from FY27; bed capacity additions through FY28-FY30</w:t>
      </w:r>
    </w:p>
    <w:p>
      <w:pPr>
        <w:spacing w:after="80"/>
      </w:pPr>
      <w:r>
        <w:rPr>
          <w:rFonts w:ascii="Arial" w:cs="Arial" w:eastAsia="Arial" w:hAnsi="Arial"/>
          <w:b/>
          <w:bCs/>
          <w:sz w:val="20"/>
          <w:szCs w:val="20"/>
        </w:rPr>
        <w:t xml:space="preserve">Revenue impact: </w:t>
      </w:r>
      <w:r>
        <w:rPr>
          <w:rFonts w:ascii="Arial" w:cs="Arial" w:eastAsia="Arial" w:hAnsi="Arial"/>
          <w:sz w:val="20"/>
          <w:szCs w:val="20"/>
        </w:rPr>
        <w:t xml:space="preserve">India revenue growing at ~10-15% YoY (Q3 FY26 India revenue ₹11,796 Mn, +11.8% YoY); consolidated revenue ₹21,512 Mn (+61.2% YoY including UK)</w:t>
      </w:r>
    </w:p>
    <w:p>
      <w:pPr>
        <w:spacing w:after="80"/>
      </w:pPr>
      <w:r>
        <w:rPr>
          <w:rFonts w:ascii="Arial" w:cs="Arial" w:eastAsia="Arial" w:hAnsi="Arial"/>
          <w:b/>
          <w:bCs/>
          <w:sz w:val="20"/>
          <w:szCs w:val="20"/>
        </w:rPr>
        <w:t xml:space="preserve">Margin impact: </w:t>
      </w:r>
      <w:r>
        <w:rPr>
          <w:rFonts w:ascii="Arial" w:cs="Arial" w:eastAsia="Arial" w:hAnsi="Arial"/>
          <w:sz w:val="20"/>
          <w:szCs w:val="20"/>
        </w:rPr>
        <w:t xml:space="preserve">150-200 bps YoY expansion confirmed in Q2 and Q3 FY26; CGHS to add incremental ~100-150 bps from FY27</w:t>
      </w:r>
    </w:p>
    <w:p>
      <w:pPr>
        <w:spacing w:after="80"/>
      </w:pPr>
      <w:r>
        <w:rPr>
          <w:rFonts w:ascii="Arial" w:cs="Arial" w:eastAsia="Arial" w:hAnsi="Arial"/>
          <w:b/>
          <w:bCs/>
          <w:sz w:val="20"/>
          <w:szCs w:val="20"/>
        </w:rPr>
        <w:t xml:space="preserve">Market awareness: </w:t>
      </w:r>
      <w:r>
        <w:rPr>
          <w:rFonts w:ascii="Arial" w:cs="Arial" w:eastAsia="Arial" w:hAnsi="Arial"/>
          <w:sz w:val="20"/>
          <w:szCs w:val="20"/>
        </w:rPr>
        <w:t xml:space="preserve">In-line — sector is well-tracked by institutions; NH specifically gaining attention post UK acquisition</w:t>
      </w:r>
    </w:p>
    <w:p>
      <w:pPr>
        <w:spacing w:after="80"/>
      </w:pPr>
      <w:r>
        <w:rPr>
          <w:rFonts w:ascii="Arial" w:cs="Arial" w:eastAsia="Arial" w:hAnsi="Arial"/>
          <w:b/>
          <w:bCs/>
          <w:sz w:val="20"/>
          <w:szCs w:val="20"/>
        </w:rPr>
        <w:t xml:space="preserve">Management delivered past guidance? </w:t>
      </w:r>
      <w:r>
        <w:rPr>
          <w:rFonts w:ascii="Arial" w:cs="Arial" w:eastAsia="Arial" w:hAnsi="Arial"/>
          <w:sz w:val="20"/>
          <w:szCs w:val="20"/>
        </w:rPr>
        <w:t xml:space="preserve">YES — margin expansion guidance has been delivered for two consecutive quarters</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12/15 | Trigger clear, timeline ongoing-to-24 months for full realization, impact partially quantified, management credible, market in-line</w:t>
      </w:r>
    </w:p>
    <w:p>
      <w:pPr>
        <w:pStyle w:val="Heading2"/>
        <w:spacing w:before="200" w:after="100"/>
      </w:pPr>
      <w:r>
        <w:rPr>
          <w:rFonts w:ascii="Arial" w:cs="Arial" w:eastAsia="Arial" w:hAnsi="Arial"/>
          <w:b/>
          <w:bCs/>
          <w:sz w:val="24"/>
          <w:szCs w:val="24"/>
        </w:rPr>
        <w:t xml:space="preserve">2.2 Trigger Validation — 10 pts</w:t>
      </w:r>
    </w:p>
    <w:p>
      <w:pPr>
        <w:spacing w:after="100"/>
      </w:pPr>
      <w:r>
        <w:rPr>
          <w:rFonts w:ascii="Arial" w:cs="Arial" w:eastAsia="Arial" w:hAnsi="Arial"/>
          <w:sz w:val="20"/>
          <w:szCs w:val="20"/>
        </w:rPr>
        <w:t xml:space="preserve">Full concall transcript (Q3 FY26): Confirmed — management explicitly discussed margin expansion, CGHS tailwind, and capex plans (+3 pts). Investor Presentation (Q3 FY26): Confirmed with quantified data (+2 pts). ICRA Credit Rating Report (Jan 2026): Confirmed strong financial profile, healthy revenue growth, robust margins (+3 pts). BSE Filing (multiple): Confirmed via quarterly results and investor presentations (+2 pts). Total base: 10. Deductions: Concall transcripts partially available (only summaries for some quarters, not full text for all 6Q) → -1.</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9/10 | Source: Multiple primary filings</w:t>
      </w:r>
    </w:p>
    <w:p>
      <w:pPr>
        <w:pStyle w:val="Heading2"/>
        <w:spacing w:before="200" w:after="100"/>
      </w:pPr>
      <w:r>
        <w:rPr>
          <w:rFonts w:ascii="Arial" w:cs="Arial" w:eastAsia="Arial" w:hAnsi="Arial"/>
          <w:b/>
          <w:bCs/>
          <w:sz w:val="24"/>
          <w:szCs w:val="24"/>
        </w:rPr>
        <w:t xml:space="preserve">2.3 Competitive Moat — 10 pts</w:t>
      </w:r>
    </w:p>
    <w:p>
      <w:pPr>
        <w:spacing w:after="100"/>
      </w:pPr>
      <w:r>
        <w:rPr>
          <w:rFonts w:ascii="Arial" w:cs="Arial" w:eastAsia="Arial" w:hAnsi="Arial"/>
          <w:sz w:val="20"/>
          <w:szCs w:val="20"/>
        </w:rPr>
        <w:t xml:space="preserve">EBITDA margin history: FY18 10%, FY19 10%, FY20 14%, FY21 7% (COVID), FY22 18%, FY23 22%, FY24 24%, FY25 24%. The trend shows dramatic margin expansion from ~10% pre-COVID to 24% currently, driven by operational efficiency, case mix improvement, and scale. However, this is a recovery + transformation story rather than 7+ years of stable margins. The moat rests on: (1) Dr. Devi Shetty brand equity in cardiac sciences; (2) affordable care positioning creating volume advantage; (3) geographic dominance in Karnataka and East India; (4) operational know-how in high-volume, cost-efficient healthcare delivery. Entry barriers are moderate-to-high (regulatory approvals, capital intensity, doctor recruitment, brand building). However, competition is intensifying from Apollo, Max, Fortis in overlapping geographies.</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7/10 | Source: Screener 10-year financials, ICRA Jan 2026 rating report</w:t>
      </w:r>
    </w:p>
    <w:p>
      <w:pPr>
        <w:spacing w:after="80"/>
      </w:pPr>
      <w:r>
        <w:rPr>
          <w:rFonts w:ascii="Arial" w:cs="Arial" w:eastAsia="Arial" w:hAnsi="Arial"/>
          <w:b/>
          <w:bCs/>
          <w:sz w:val="20"/>
          <w:szCs w:val="20"/>
        </w:rPr>
        <w:t xml:space="preserve">Phase 2 Total Locked: </w:t>
      </w:r>
      <w:r>
        <w:rPr>
          <w:rFonts w:ascii="Arial" w:cs="Arial" w:eastAsia="Arial" w:hAnsi="Arial"/>
          <w:sz w:val="20"/>
          <w:szCs w:val="20"/>
        </w:rPr>
        <w:t xml:space="preserve">28/35</w:t>
      </w:r>
    </w:p>
    <w:p>
      <w:r>
        <w:br w:type="page"/>
      </w:r>
    </w:p>
    <w:p>
      <w:pPr>
        <w:pStyle w:val="Heading1"/>
        <w:spacing w:before="300" w:after="150"/>
      </w:pPr>
      <w:r>
        <w:rPr>
          <w:rFonts w:ascii="Arial" w:cs="Arial" w:eastAsia="Arial" w:hAnsi="Arial"/>
          <w:b/>
          <w:bCs/>
          <w:sz w:val="28"/>
          <w:szCs w:val="28"/>
        </w:rPr>
        <w:t xml:space="preserve">PHASE 3: MANAGEMENT QUALITY (25 Points)</w:t>
      </w:r>
    </w:p>
    <w:p>
      <w:pPr>
        <w:pStyle w:val="Heading2"/>
        <w:spacing w:before="200" w:after="100"/>
      </w:pPr>
      <w:r>
        <w:rPr>
          <w:rFonts w:ascii="Arial" w:cs="Arial" w:eastAsia="Arial" w:hAnsi="Arial"/>
          <w:b/>
          <w:bCs/>
          <w:sz w:val="24"/>
          <w:szCs w:val="24"/>
        </w:rPr>
        <w:t xml:space="preserve">3.1 Distress Test — 10 pts</w:t>
      </w:r>
    </w:p>
    <w:p>
      <w:pPr>
        <w:spacing w:after="100"/>
      </w:pPr>
      <w:r>
        <w:rPr>
          <w:rFonts w:ascii="Arial" w:cs="Arial" w:eastAsia="Arial" w:hAnsi="Arial"/>
          <w:sz w:val="20"/>
          <w:szCs w:val="20"/>
        </w:rPr>
        <w:t xml:space="preserve">Most significant distress: COVID-19 (FY21). Revenue dropped 17% from ₹3,128 Cr to ₹2,583 Cr. Operating profit collapsed from ₹434 Cr to ₹189 Cr (OPM 7%). PAT turned negative at -₹14 Cr. Stock price fell from ~₹340 to ~₹230 (32% decline). Management response: Transparent communication in concalls about COVID impact. No dilutive equity raise at distress prices. Shares outstanding remained stable at 204 Cr. Recovery was rapid — FY22 revenue surged 43% to ₹3,701 Cr, OPM recovered to 18%, PAT swung to +₹342 Cr. By FY23, revenue hit ₹4,525 Cr and OPM reached 22%, exceeding pre-COVID levels. CFO remained positive even in FY21 at ₹304 Cr, demonstrating cash flow resilience.</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9/10 | Source: Screener financials FY20-FY23, BSE filings</w:t>
      </w:r>
    </w:p>
    <w:p>
      <w:pPr>
        <w:pStyle w:val="Heading2"/>
        <w:spacing w:before="200" w:after="100"/>
      </w:pPr>
      <w:r>
        <w:rPr>
          <w:rFonts w:ascii="Arial" w:cs="Arial" w:eastAsia="Arial" w:hAnsi="Arial"/>
          <w:b/>
          <w:bCs/>
          <w:sz w:val="24"/>
          <w:szCs w:val="24"/>
        </w:rPr>
        <w:t xml:space="preserve">3.2 Walk-the-Talk — 8 pts</w:t>
      </w:r>
    </w:p>
    <w:p>
      <w:pPr>
        <w:spacing w:after="100"/>
      </w:pPr>
      <w:r>
        <w:rPr>
          <w:rFonts w:ascii="Arial" w:cs="Arial" w:eastAsia="Arial" w:hAnsi="Arial"/>
          <w:sz w:val="20"/>
          <w:szCs w:val="20"/>
        </w:rPr>
        <w:t xml:space="preserve">Management has broadly delivered on guidance over the last 8 quarters. Revenue growth guidance of 10-15% has been met. Margin expansion targets of 150-200 bps YoY delivered in Q2 and Q3 FY26. Capex guidance (₹700-800 Cr FY26, ₹1,400-1,450 Cr FY27) appears on track with ₹3,000 Cr cumulative plan. ICRA confirms healthy execution. UK acquisition completed as guided. Cayman facility ramp-up proceeding. Minor misses: some sequential revenue softness in Q3 FY26 standalone India (domestic ₹11,003 Mn vs Q2 ₹11,714 Mn, -6% QoQ), though YoY growth remained positive.</w:t>
      </w:r>
    </w:p>
    <w:p>
      <w:pPr>
        <w:spacing w:after="80"/>
      </w:pPr>
      <w:r>
        <w:rPr>
          <w:rFonts w:ascii="Arial" w:cs="Arial" w:eastAsia="Arial" w:hAnsi="Arial"/>
          <w:b/>
          <w:bCs/>
          <w:sz w:val="20"/>
          <w:szCs w:val="20"/>
        </w:rPr>
        <w:t xml:space="preserve">Delivery rate: </w:t>
      </w:r>
      <w:r>
        <w:rPr>
          <w:rFonts w:ascii="Arial" w:cs="Arial" w:eastAsia="Arial" w:hAnsi="Arial"/>
          <w:sz w:val="20"/>
          <w:szCs w:val="20"/>
        </w:rPr>
        <w:t xml:space="preserve">~6 of 8 quarters met or exceeded guidance</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6/8 | Source: Quarterly results, concall transcripts, ICRA Jan 2026</w:t>
      </w:r>
    </w:p>
    <w:p>
      <w:pPr>
        <w:pStyle w:val="Heading2"/>
        <w:spacing w:before="200" w:after="100"/>
      </w:pPr>
      <w:r>
        <w:rPr>
          <w:rFonts w:ascii="Arial" w:cs="Arial" w:eastAsia="Arial" w:hAnsi="Arial"/>
          <w:b/>
          <w:bCs/>
          <w:sz w:val="24"/>
          <w:szCs w:val="24"/>
        </w:rPr>
        <w:t xml:space="preserve">3.3 Capital Allocation — 7 pts</w:t>
      </w:r>
    </w:p>
    <w:p>
      <w:pPr>
        <w:spacing w:after="100"/>
      </w:pPr>
      <w:r>
        <w:rPr>
          <w:rFonts w:ascii="Arial" w:cs="Arial" w:eastAsia="Arial" w:hAnsi="Arial"/>
          <w:sz w:val="20"/>
          <w:szCs w:val="20"/>
        </w:rPr>
        <w:t xml:space="preserve">ROCE: FY20 14%, FY21 2%, FY22 25%, FY23 32%, FY24 26%, FY25 21%. Average ROCE over last 3 years: ~26% — well above cost of capital. Capital allocation decisions: (1) ₹3,000 Cr India capex plan focused on brownfield/greenfield expansion in proven geographies (Kolkata, Bangalore, Delhi) — logical and returns-accretive. (2) UK acquisition (₹2,200 Cr) is the major risk — funded via GBP 150M debt + GBP 45M equity; currently ROCE-dilutive; management targets EPS neutrality but breakeven unclear. (3) Dividend payout improving: 6% (FY22) to 12% (FY25). (4) No value-destructive M&amp;A historically. (5) Net debt/EBITDA target below 2.5x — ICRA expects 2.1-2.3x peak Mar 2026, improving to 1.4-1.6x by Mar 2027.</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5/7 | Source: Screener ratios, ICRA Jan 2026, Q3 FY26 concall</w:t>
      </w:r>
    </w:p>
    <w:p>
      <w:pPr>
        <w:spacing w:after="80"/>
      </w:pPr>
      <w:r>
        <w:rPr>
          <w:rFonts w:ascii="Arial" w:cs="Arial" w:eastAsia="Arial" w:hAnsi="Arial"/>
          <w:b/>
          <w:bCs/>
          <w:sz w:val="20"/>
          <w:szCs w:val="20"/>
        </w:rPr>
        <w:t xml:space="preserve">Phase 3 Total Locked: </w:t>
      </w:r>
      <w:r>
        <w:rPr>
          <w:rFonts w:ascii="Arial" w:cs="Arial" w:eastAsia="Arial" w:hAnsi="Arial"/>
          <w:sz w:val="20"/>
          <w:szCs w:val="20"/>
        </w:rPr>
        <w:t xml:space="preserve">20/25</w:t>
      </w:r>
    </w:p>
    <w:p>
      <w:r>
        <w:br w:type="page"/>
      </w:r>
    </w:p>
    <w:p>
      <w:pPr>
        <w:pStyle w:val="Heading1"/>
        <w:spacing w:before="300" w:after="150"/>
      </w:pPr>
      <w:r>
        <w:rPr>
          <w:rFonts w:ascii="Arial" w:cs="Arial" w:eastAsia="Arial" w:hAnsi="Arial"/>
          <w:b/>
          <w:bCs/>
          <w:sz w:val="28"/>
          <w:szCs w:val="28"/>
        </w:rPr>
        <w:t xml:space="preserve">PHASE 4: FINANCIAL VALIDATION (20 Points)</w:t>
      </w:r>
    </w:p>
    <w:p>
      <w:pPr>
        <w:pStyle w:val="Heading2"/>
        <w:spacing w:before="200" w:after="100"/>
      </w:pPr>
      <w:r>
        <w:rPr>
          <w:rFonts w:ascii="Arial" w:cs="Arial" w:eastAsia="Arial" w:hAnsi="Arial"/>
          <w:b/>
          <w:bCs/>
          <w:sz w:val="24"/>
          <w:szCs w:val="24"/>
        </w:rPr>
        <w:t xml:space="preserve">4.1 Balance Sheet Health — 7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FY22</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FY23</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FY24</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Net D/E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~0.29x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~0.41x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~0.56x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~0.67x</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Interest Coverage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6.7x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10.0x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8.3x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6.3x</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Shares (Cr)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204</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CWIP % Gross Block</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11.1%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r>
    </w:tbl>
    <w:p>
      <w:pPr>
        <w:spacing w:after="100"/>
      </w:pPr>
      <w:r>
        <w:rPr>
          <w:rFonts w:ascii="Arial" w:cs="Arial" w:eastAsia="Arial" w:hAnsi="Arial"/>
          <w:sz w:val="20"/>
          <w:szCs w:val="20"/>
        </w:rPr>
        <w:t xml:space="preserve">Net D/E has risen from 0.29x to 0.67x due to capex cycle and UK acquisition debt, but remains manageable. Interest coverage has declined but stays above 5x. Zero dilution. CWIP spiked in FY23-24 due to new Cayman facility and India brownfield projects, but has normalized in FY25 as projects commissioned. Sep 2025 CWIP at ₹135 Cr (3.1% of gross block).</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5/7 | Source: Screener balance sheet, ICRA Jan 2026</w:t>
      </w:r>
    </w:p>
    <w:p>
      <w:pPr>
        <w:pStyle w:val="Heading2"/>
        <w:spacing w:before="200" w:after="100"/>
      </w:pPr>
      <w:r>
        <w:rPr>
          <w:rFonts w:ascii="Arial" w:cs="Arial" w:eastAsia="Arial" w:hAnsi="Arial"/>
          <w:b/>
          <w:bCs/>
          <w:sz w:val="24"/>
          <w:szCs w:val="24"/>
        </w:rPr>
        <w:t xml:space="preserve">4.2 Cash Flow Quality — 8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FY22</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FY23</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FY24</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FY25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CFO (₹ Cr)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485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1,085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1,067</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986</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EBITDA (₹ Cr)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664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987</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1,168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1,298</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CFO/EBITDA (%)</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73%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76%</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Receivable Days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37</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FCF (₹ Cr)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218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-339</w:t>
            </w:r>
          </w:p>
        </w:tc>
      </w:tr>
    </w:tbl>
    <w:p>
      <w:pPr>
        <w:spacing w:after="100"/>
      </w:pPr>
      <w:r>
        <w:rPr>
          <w:rFonts w:ascii="Arial" w:cs="Arial" w:eastAsia="Arial" w:hAnsi="Arial"/>
          <w:sz w:val="20"/>
          <w:szCs w:val="20"/>
        </w:rPr>
        <w:t xml:space="preserve">CFO/EBITDA consistently above 70% — excellent cash conversion. Negative cash conversion cycle (-108 to -158 days) reflects working capital efficiency. FCF has turned negative in FY23-25 due to aggressive capex cycle (₹1,176 Cr, ₹1,458 Cr, ₹1,325 Cr investing outflows), but this is growth-driven capex, not operational deterioration. Receivable days stable at 31-37 days. No CFO/EBITDA penalty applies.</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6/8 | Source: Screener cash flow statement</w:t>
      </w:r>
    </w:p>
    <w:p>
      <w:pPr>
        <w:pStyle w:val="Heading2"/>
        <w:spacing w:before="200" w:after="100"/>
      </w:pPr>
      <w:r>
        <w:rPr>
          <w:rFonts w:ascii="Arial" w:cs="Arial" w:eastAsia="Arial" w:hAnsi="Arial"/>
          <w:b/>
          <w:bCs/>
          <w:sz w:val="24"/>
          <w:szCs w:val="24"/>
        </w:rPr>
        <w:t xml:space="preserve">4.3 Growth &amp; Profitability Trend — 5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Quarter</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Rev (₹Cr)</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YoY%</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EBITDA Margin</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ROE%</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ROCE%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Q4 FY24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1,246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Q1 FY25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1,306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Q2 FY25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1,367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Q3 FY25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1,335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Q4 FY25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1,475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+18%</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Q1 FY26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1,507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Q2 FY26</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1,644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Full FY25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5,483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21%</w:t>
            </w:r>
          </w:p>
        </w:tc>
      </w:tr>
    </w:tbl>
    <w:p>
      <w:pPr>
        <w:spacing w:after="100"/>
      </w:pPr>
      <w:r>
        <w:rPr>
          <w:rFonts w:ascii="Arial" w:cs="Arial" w:eastAsia="Arial" w:hAnsi="Arial"/>
          <w:sz w:val="20"/>
          <w:szCs w:val="20"/>
        </w:rPr>
        <w:t xml:space="preserve">Revenue CAGR: 3-year ~14%, 5-year ~12%. Margins stable at 22-24%. ROE 24% and ROCE 21% — both above industry average. Revenue growth is accelerating with Q2 FY26 at 20% YoY. PAT CAGR 5-year 43%.</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4/5 | Source: Screener quarterly/annual data</w:t>
      </w:r>
    </w:p>
    <w:p>
      <w:pPr>
        <w:spacing w:after="80"/>
      </w:pPr>
      <w:r>
        <w:rPr>
          <w:rFonts w:ascii="Arial" w:cs="Arial" w:eastAsia="Arial" w:hAnsi="Arial"/>
          <w:b/>
          <w:bCs/>
          <w:sz w:val="20"/>
          <w:szCs w:val="20"/>
        </w:rPr>
        <w:t xml:space="preserve">Phase 4 Total Locked: </w:t>
      </w:r>
      <w:r>
        <w:rPr>
          <w:rFonts w:ascii="Arial" w:cs="Arial" w:eastAsia="Arial" w:hAnsi="Arial"/>
          <w:sz w:val="20"/>
          <w:szCs w:val="20"/>
        </w:rPr>
        <w:t xml:space="preserve">15/20</w:t>
      </w:r>
    </w:p>
    <w:p>
      <w:r>
        <w:br w:type="page"/>
      </w:r>
    </w:p>
    <w:p>
      <w:pPr>
        <w:pStyle w:val="Heading1"/>
        <w:spacing w:before="300" w:after="150"/>
      </w:pPr>
      <w:r>
        <w:rPr>
          <w:rFonts w:ascii="Arial" w:cs="Arial" w:eastAsia="Arial" w:hAnsi="Arial"/>
          <w:b/>
          <w:bCs/>
          <w:sz w:val="28"/>
          <w:szCs w:val="28"/>
        </w:rPr>
        <w:t xml:space="preserve">PHASE 5: VALUATION &amp; RE-RATING POTENTIAL (20 Points)</w:t>
      </w:r>
    </w:p>
    <w:p>
      <w:pPr>
        <w:pStyle w:val="Heading2"/>
        <w:spacing w:before="200" w:after="100"/>
      </w:pPr>
      <w:r>
        <w:rPr>
          <w:rFonts w:ascii="Arial" w:cs="Arial" w:eastAsia="Arial" w:hAnsi="Arial"/>
          <w:b/>
          <w:bCs/>
          <w:sz w:val="24"/>
          <w:szCs w:val="24"/>
        </w:rPr>
        <w:t xml:space="preserve">5.1 Absolute Valuation — 5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Current</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3-Yr Avg</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5-Yr Avg</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P/E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~45x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~40x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~42x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Premium</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EV/EBITDA</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~27x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~22x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Premium</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P/B</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~9.3x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~7x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~5x</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Expensive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PEG</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Fair</w:t>
            </w:r>
          </w:p>
        </w:tc>
      </w:tr>
    </w:tbl>
    <w:p>
      <w:pPr>
        <w:spacing w:after="100"/>
      </w:pPr>
      <w:r>
        <w:rPr>
          <w:rFonts w:ascii="Arial" w:cs="Arial" w:eastAsia="Arial" w:hAnsi="Arial"/>
          <w:sz w:val="20"/>
          <w:szCs w:val="20"/>
        </w:rPr>
        <w:t xml:space="preserve">Stock is trading at a premium to its own 3-year and 5-year historical averages on P/E, EV/EBITDA, and P/B. However, the business quality has fundamentally improved (OPM from 10% to 24%), so some re-rating is justified. PEG at ~1.5 (using ~30% PAT CAGR) is reasonable but not cheap.</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2/5 | Premium to historical averages; PEG 1.5</w:t>
      </w:r>
    </w:p>
    <w:p>
      <w:pPr>
        <w:pStyle w:val="Heading2"/>
        <w:spacing w:before="200" w:after="100"/>
      </w:pPr>
      <w:r>
        <w:rPr>
          <w:rFonts w:ascii="Arial" w:cs="Arial" w:eastAsia="Arial" w:hAnsi="Arial"/>
          <w:b/>
          <w:bCs/>
          <w:sz w:val="24"/>
          <w:szCs w:val="24"/>
        </w:rPr>
        <w:t xml:space="preserve">5.2 Relative Valuation — 5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6"/>
        <w:gridCol w:w="1496"/>
        <w:gridCol w:w="1500"/>
        <w:gridCol w:w="1500"/>
        <w:gridCol w:w="1496"/>
      </w:tblGrid>
      <w:tr>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49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w:t>
            </w:r>
          </w:p>
        </w:tc>
        <w:tc>
          <w:tcPr>
            <w:tcW w:type="dxa" w:w="149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EV/EBITDA</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EBITDA Margin</w:t>
            </w:r>
          </w:p>
        </w:tc>
        <w:tc>
          <w:tcPr>
            <w:tcW w:type="dxa" w:w="1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Rev CAGR 3Y</w:t>
            </w:r>
          </w:p>
        </w:tc>
        <w:tc>
          <w:tcPr>
            <w:tcW w:type="dxa" w:w="1496"/>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Narayana (NH)</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~45x</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~27x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14%</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24%</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Apollo Hospitals</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~72x</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~30x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~17%</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~18%</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Max Healthcare</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~96x</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~48x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~28%</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Fortis Healthcare</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~85x</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~35x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~24%</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KIMS</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~40x</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~25x</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~30%</w:t>
            </w:r>
          </w:p>
        </w:tc>
        <w:tc>
          <w:tcPr>
            <w:tcW w:type="dxa" w:w="149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r>
    </w:tbl>
    <w:p>
      <w:pPr>
        <w:spacing w:after="100"/>
      </w:pPr>
      <w:r>
        <w:rPr>
          <w:rFonts w:ascii="Arial" w:cs="Arial" w:eastAsia="Arial" w:hAnsi="Arial"/>
          <w:sz w:val="20"/>
          <w:szCs w:val="20"/>
        </w:rPr>
        <w:t xml:space="preserve">*Apollo blended margins lower due to pharmacy/diagnostics segments. NH is significantly cheaper than Apollo, Max, and Fortis on both P/E and EV/EBITDA, with comparable or better margins and ROE. Only KIMS trades at comparable multiples but has higher revenue CAGR. NH has the best ROE in the peer group at 24%.</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4/5 | Cheaper than most peers with equal or better fundamentals</w:t>
      </w:r>
    </w:p>
    <w:p>
      <w:pPr>
        <w:pStyle w:val="Heading2"/>
        <w:spacing w:before="200" w:after="100"/>
      </w:pPr>
      <w:r>
        <w:rPr>
          <w:rFonts w:ascii="Arial" w:cs="Arial" w:eastAsia="Arial" w:hAnsi="Arial"/>
          <w:b/>
          <w:bCs/>
          <w:sz w:val="24"/>
          <w:szCs w:val="24"/>
        </w:rPr>
        <w:t xml:space="preserve">5.3 Re-Rating OR Growth Gate — 6 pts</w:t>
      </w:r>
    </w:p>
    <w:p>
      <w:pPr>
        <w:spacing w:after="100"/>
      </w:pPr>
      <w:r>
        <w:rPr>
          <w:rFonts w:ascii="Arial" w:cs="Arial" w:eastAsia="Arial" w:hAnsi="Arial"/>
          <w:sz w:val="20"/>
          <w:szCs w:val="20"/>
        </w:rPr>
        <w:t xml:space="preserve">Condition A — Re-rating Potential: Multiple re-rating catalysts exist: (1) If UK operations turn EBITDA-positive and achieve scale, the conglomerate discount could narrow; (2) Potential index inclusion as market cap grows; (3) CGHS rate revision providing structural margin tailwind; (4) If integrated care/insurance business scales, it creates an ecosystem play similar to Apollo 24/7. However, the stock has already re-rated from P/E ~20x (FY21) to ~45x currently, so further multiple expansion requires new catalysts. Score: 3/6.</w:t>
      </w:r>
    </w:p>
    <w:p>
      <w:pPr>
        <w:spacing w:after="100"/>
      </w:pPr>
      <w:r>
        <w:rPr>
          <w:rFonts w:ascii="Arial" w:cs="Arial" w:eastAsia="Arial" w:hAnsi="Arial"/>
          <w:sz w:val="20"/>
          <w:szCs w:val="20"/>
        </w:rPr>
        <w:t xml:space="preserve">Condition B — EPS Growth Visibility: EPS growth of ~25-30% is visible for FY26-FY27 from: (a) India margin expansion (150-200 bps ongoing); (b) Cayman revenue ramp-up; (c) UK consolidation adding topline; (d) operating leverage from bed additions. TTM EPS ~₹41.35 vs FY25 EPS ₹38.66 — growth trajectory intact. However, UK integration creates EPS dilution risk in near-term. Score: 4/6.</w:t>
      </w:r>
    </w:p>
    <w:p>
      <w:pPr>
        <w:spacing w:after="80"/>
      </w:pPr>
      <w:r>
        <w:rPr>
          <w:rFonts w:ascii="Arial" w:cs="Arial" w:eastAsia="Arial" w:hAnsi="Arial"/>
          <w:b/>
          <w:bCs/>
          <w:sz w:val="20"/>
          <w:szCs w:val="20"/>
        </w:rPr>
        <w:t xml:space="preserve">Higher score used: </w:t>
      </w:r>
      <w:r>
        <w:rPr>
          <w:rFonts w:ascii="Arial" w:cs="Arial" w:eastAsia="Arial" w:hAnsi="Arial"/>
          <w:sz w:val="20"/>
          <w:szCs w:val="20"/>
        </w:rPr>
        <w:t xml:space="preserve">4/6 (Condition B) | Gate: PASSED</w:t>
      </w:r>
    </w:p>
    <w:p>
      <w:pPr>
        <w:pStyle w:val="Heading2"/>
        <w:spacing w:before="200" w:after="100"/>
      </w:pPr>
      <w:r>
        <w:rPr>
          <w:rFonts w:ascii="Arial" w:cs="Arial" w:eastAsia="Arial" w:hAnsi="Arial"/>
          <w:b/>
          <w:bCs/>
          <w:sz w:val="24"/>
          <w:szCs w:val="24"/>
        </w:rPr>
        <w:t xml:space="preserve">5.4 Price Targets — 4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EPS Assumption</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 Applied</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Target Price</w:t>
            </w:r>
          </w:p>
        </w:tc>
        <w:tc>
          <w:tcPr>
            <w:tcW w:type="dxa" w:w="1872"/>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Upside/Downside</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Bear</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FY27E: ₹40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30x (trough)</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₹1,200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Base</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FY27E: ₹55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40x (mean)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₹2,200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+26%</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Bull</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FY27E: ₹60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48x (mean+1SD)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₹2,880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+65%</w:t>
            </w:r>
          </w:p>
        </w:tc>
      </w:tr>
    </w:tbl>
    <w:p>
      <w:pPr>
        <w:spacing w:after="100"/>
      </w:pPr>
      <w:r>
        <w:rPr>
          <w:rFonts w:ascii="Arial" w:cs="Arial" w:eastAsia="Arial" w:hAnsi="Arial"/>
          <w:sz w:val="20"/>
          <w:szCs w:val="20"/>
        </w:rPr>
        <w:t xml:space="preserve">Risk/reward on base case: ₹1,743 to ₹2,200 (upside ₹457) vs ₹1,743 to ₹1,200 (downside ₹543). Risk/reward ratio ~0.8:1 at CMP. Not favorable at current price. Entry zone closer to ₹1,450-1,550 would improve to ~1.5:1+.</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2/4 | Targets computed, risk/reward unfavorable at CMP</w:t>
      </w:r>
    </w:p>
    <w:p>
      <w:pPr>
        <w:spacing w:after="80"/>
      </w:pPr>
      <w:r>
        <w:rPr>
          <w:rFonts w:ascii="Arial" w:cs="Arial" w:eastAsia="Arial" w:hAnsi="Arial"/>
          <w:b/>
          <w:bCs/>
          <w:sz w:val="20"/>
          <w:szCs w:val="20"/>
        </w:rPr>
        <w:t xml:space="preserve">Phase 5 Total Locked: </w:t>
      </w:r>
      <w:r>
        <w:rPr>
          <w:rFonts w:ascii="Arial" w:cs="Arial" w:eastAsia="Arial" w:hAnsi="Arial"/>
          <w:sz w:val="20"/>
          <w:szCs w:val="20"/>
        </w:rPr>
        <w:t xml:space="preserve">12/20</w:t>
      </w:r>
    </w:p>
    <w:p>
      <w:r>
        <w:br w:type="page"/>
      </w:r>
    </w:p>
    <w:p>
      <w:pPr>
        <w:pStyle w:val="Heading1"/>
        <w:spacing w:before="300" w:after="150"/>
      </w:pPr>
      <w:r>
        <w:rPr>
          <w:rFonts w:ascii="Arial" w:cs="Arial" w:eastAsia="Arial" w:hAnsi="Arial"/>
          <w:b/>
          <w:bCs/>
          <w:sz w:val="28"/>
          <w:szCs w:val="28"/>
        </w:rPr>
        <w:t xml:space="preserve">PHASE 6: TECHNICAL TIMING (15 Points)</w:t>
      </w:r>
    </w:p>
    <w:p>
      <w:pPr>
        <w:pStyle w:val="Heading2"/>
        <w:spacing w:before="200" w:after="100"/>
      </w:pPr>
      <w:r>
        <w:rPr>
          <w:rFonts w:ascii="Arial" w:cs="Arial" w:eastAsia="Arial" w:hAnsi="Arial"/>
          <w:b/>
          <w:bCs/>
          <w:sz w:val="24"/>
          <w:szCs w:val="24"/>
        </w:rPr>
        <w:t xml:space="preserve">6.1 Stage Analysis (Weinstein) — 5 pts</w:t>
      </w:r>
    </w:p>
    <w:p>
      <w:pPr>
        <w:spacing w:after="100"/>
      </w:pPr>
      <w:r>
        <w:rPr>
          <w:rFonts w:ascii="Arial" w:cs="Arial" w:eastAsia="Arial" w:hAnsi="Arial"/>
          <w:sz w:val="20"/>
          <w:szCs w:val="20"/>
        </w:rPr>
        <w:t xml:space="preserve">CMP ₹1,743 is approximately 5.5% below the 200 DMA (₹1,843) and below the 50 DMA (₹1,840-1,898). The stock corrected from a 52-week high of ₹2,370 (a ~26% decline). The 30W MA appears to be flattening or slightly declining. This places the stock in late Stage 3 (Distribution) or early Stage 4 territory. TradingView notes mention a recent trendline breakout attempt, but price has not sustained above the 30W MA.</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0/5 | Stage 3/4 territory — price below declining/flattening 30W MA</w:t>
      </w:r>
    </w:p>
    <w:p>
      <w:pPr>
        <w:pStyle w:val="Heading2"/>
        <w:spacing w:before="200" w:after="100"/>
      </w:pPr>
      <w:r>
        <w:rPr>
          <w:rFonts w:ascii="Arial" w:cs="Arial" w:eastAsia="Arial" w:hAnsi="Arial"/>
          <w:b/>
          <w:bCs/>
          <w:sz w:val="24"/>
          <w:szCs w:val="24"/>
        </w:rPr>
        <w:t xml:space="preserve">6.2 Multi-Timeframe Alignment — 3 pts</w:t>
      </w:r>
    </w:p>
    <w:p>
      <w:pPr>
        <w:spacing w:after="100"/>
      </w:pPr>
      <w:r>
        <w:rPr>
          <w:rFonts w:ascii="Arial" w:cs="Arial" w:eastAsia="Arial" w:hAnsi="Arial"/>
          <w:sz w:val="20"/>
          <w:szCs w:val="20"/>
        </w:rPr>
        <w:t xml:space="preserve">Monthly: Sideways (stock off highs but long-term uptrend intact from ₹1,300 lows). Weekly: Down/Sideways (below 30W MA). Daily: Mixed — recent bounce attempt but not sustained. One timeframe (Monthly) directionally positive.</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1/3</w:t>
      </w:r>
    </w:p>
    <w:p>
      <w:pPr>
        <w:pStyle w:val="Heading2"/>
        <w:spacing w:before="200" w:after="100"/>
      </w:pPr>
      <w:r>
        <w:rPr>
          <w:rFonts w:ascii="Arial" w:cs="Arial" w:eastAsia="Arial" w:hAnsi="Arial"/>
          <w:b/>
          <w:bCs/>
          <w:sz w:val="24"/>
          <w:szCs w:val="24"/>
        </w:rPr>
        <w:t xml:space="preserve">6.3 Support &amp; Resistance — 3 pts</w:t>
      </w:r>
    </w:p>
    <w:p>
      <w:pPr>
        <w:spacing w:after="100"/>
      </w:pPr>
      <w:r>
        <w:rPr>
          <w:rFonts w:ascii="Arial" w:cs="Arial" w:eastAsia="Arial" w:hAnsi="Arial"/>
          <w:sz w:val="20"/>
          <w:szCs w:val="20"/>
        </w:rPr>
        <w:t xml:space="preserve">Key support: ₹1,650 (recent swing low area, close to 100 DMA ₹1,834), ₹1,500 (major support), ₹1,300 (52-week low). Key resistance: ₹1,843-1,900 (200 DMA / 50 DMA cluster), ₹2,000, ₹2,370 (52-week high). CMP ₹1,743 is between support and resistance — not at a clean support level, and significant resistance overhead.</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1/3</w:t>
      </w:r>
    </w:p>
    <w:p>
      <w:pPr>
        <w:pStyle w:val="Heading2"/>
        <w:spacing w:before="200" w:after="100"/>
      </w:pPr>
      <w:r>
        <w:rPr>
          <w:rFonts w:ascii="Arial" w:cs="Arial" w:eastAsia="Arial" w:hAnsi="Arial"/>
          <w:b/>
          <w:bCs/>
          <w:sz w:val="24"/>
          <w:szCs w:val="24"/>
        </w:rPr>
        <w:t xml:space="preserve">6.4 Moving Average Setup — 3 pts</w:t>
      </w:r>
    </w:p>
    <w:p>
      <w:pPr>
        <w:spacing w:after="100"/>
      </w:pPr>
      <w:r>
        <w:rPr>
          <w:rFonts w:ascii="Arial" w:cs="Arial" w:eastAsia="Arial" w:hAnsi="Arial"/>
          <w:sz w:val="20"/>
          <w:szCs w:val="20"/>
        </w:rPr>
        <w:t xml:space="preserve">Price is below 50 DMA and 200 DMA. MAs are clustered and mixed (50 DMA above 200 DMA but both near CMP). No clear bullish MA alignment. Price oscillating around/below the 30W MA equivalent.</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1/3</w:t>
      </w:r>
    </w:p>
    <w:p>
      <w:pPr>
        <w:pStyle w:val="Heading2"/>
        <w:spacing w:before="200" w:after="100"/>
      </w:pPr>
      <w:r>
        <w:rPr>
          <w:rFonts w:ascii="Arial" w:cs="Arial" w:eastAsia="Arial" w:hAnsi="Arial"/>
          <w:b/>
          <w:bCs/>
          <w:sz w:val="24"/>
          <w:szCs w:val="24"/>
        </w:rPr>
        <w:t xml:space="preserve">6.5 Volume Confirmation — 1 pt</w:t>
      </w:r>
    </w:p>
    <w:p>
      <w:pPr>
        <w:spacing w:after="100"/>
      </w:pPr>
      <w:r>
        <w:rPr>
          <w:rFonts w:ascii="Arial" w:cs="Arial" w:eastAsia="Arial" w:hAnsi="Arial"/>
          <w:sz w:val="20"/>
          <w:szCs w:val="20"/>
        </w:rPr>
        <w:t xml:space="preserve">RSI at 44.74 (neutral-bearish). No recent high-volume breakout above resistance. Volume on recent decline has been moderate. No breakout to evaluate.</w:t>
      </w:r>
    </w:p>
    <w:p>
      <w:pPr>
        <w:spacing w:after="80"/>
      </w:pPr>
      <w:r>
        <w:rPr>
          <w:rFonts w:ascii="Arial" w:cs="Arial" w:eastAsia="Arial" w:hAnsi="Arial"/>
          <w:b/>
          <w:bCs/>
          <w:sz w:val="20"/>
          <w:szCs w:val="20"/>
        </w:rPr>
        <w:t xml:space="preserve">Score: </w:t>
      </w:r>
      <w:r>
        <w:rPr>
          <w:rFonts w:ascii="Arial" w:cs="Arial" w:eastAsia="Arial" w:hAnsi="Arial"/>
          <w:sz w:val="20"/>
          <w:szCs w:val="20"/>
        </w:rPr>
        <w:t xml:space="preserve">0/1</w:t>
      </w:r>
    </w:p>
    <w:p>
      <w:pPr>
        <w:spacing w:after="80"/>
      </w:pPr>
      <w:r>
        <w:rPr>
          <w:rFonts w:ascii="Arial" w:cs="Arial" w:eastAsia="Arial" w:hAnsi="Arial"/>
          <w:b/>
          <w:bCs/>
          <w:sz w:val="20"/>
          <w:szCs w:val="20"/>
        </w:rPr>
        <w:t xml:space="preserve">Phase 6 Total Locked: </w:t>
      </w:r>
      <w:r>
        <w:rPr>
          <w:rFonts w:ascii="Arial" w:cs="Arial" w:eastAsia="Arial" w:hAnsi="Arial"/>
          <w:sz w:val="20"/>
          <w:szCs w:val="20"/>
        </w:rPr>
        <w:t xml:space="preserve">3/15</w:t>
      </w:r>
    </w:p>
    <w:p>
      <w:pPr>
        <w:spacing w:after="80"/>
      </w:pPr>
      <w:r>
        <w:rPr>
          <w:rFonts w:ascii="Arial" w:cs="Arial" w:eastAsia="Arial" w:hAnsi="Arial"/>
          <w:b/>
          <w:bCs/>
          <w:sz w:val="20"/>
          <w:szCs w:val="20"/>
        </w:rPr>
        <w:t xml:space="preserve">TECHNICAL OVERRIDE: </w:t>
      </w:r>
      <w:r>
        <w:rPr>
          <w:rFonts w:ascii="Arial" w:cs="Arial" w:eastAsia="Arial" w:hAnsi="Arial"/>
          <w:sz w:val="20"/>
          <w:szCs w:val="20"/>
        </w:rPr>
        <w:t xml:space="preserve">Phase 6 score 3/15 &lt; 8 threshold → Final verdict downgraded by ONE additional level.</w:t>
      </w:r>
    </w:p>
    <w:p>
      <w:r>
        <w:br w:type="page"/>
      </w:r>
    </w:p>
    <w:p>
      <w:pPr>
        <w:pStyle w:val="Heading1"/>
        <w:spacing w:before="300" w:after="150"/>
      </w:pPr>
      <w:r>
        <w:rPr>
          <w:rFonts w:ascii="Arial" w:cs="Arial" w:eastAsia="Arial" w:hAnsi="Arial"/>
          <w:b/>
          <w:bCs/>
          <w:sz w:val="28"/>
          <w:szCs w:val="28"/>
        </w:rPr>
        <w:t xml:space="preserve">FINAL SCORING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1560"/>
        <w:gridCol w:w="1560"/>
      </w:tblGrid>
      <w:tr>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Max</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Weight</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Business Orientation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19</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Earnings Trigger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28</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26%</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3</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Management Quality</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20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19%</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Financial Validation</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15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Valuation &amp; Re-rating</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12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20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6</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Technical Timing</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C0392B"/>
                <w:sz w:val="18"/>
                <w:szCs w:val="18"/>
              </w:rPr>
              <w:t xml:space="preserve">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11%</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TOTAL (RAW)</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1B3A5C"/>
                <w:sz w:val="18"/>
                <w:szCs w:val="18"/>
              </w:rPr>
              <w:t xml:space="preserve">97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135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
            </w:r>
          </w:p>
        </w:tc>
      </w:tr>
    </w:tbl>
    <w:p>
      <w:pPr>
        <w:spacing w:before="200"/>
      </w:pPr>
    </w:p>
    <w:p>
      <w:pPr>
        <w:spacing w:after="80"/>
      </w:pPr>
      <w:r>
        <w:rPr>
          <w:rFonts w:ascii="Arial" w:cs="Arial" w:eastAsia="Arial" w:hAnsi="Arial"/>
          <w:b/>
          <w:bCs/>
          <w:sz w:val="20"/>
          <w:szCs w:val="20"/>
        </w:rPr>
        <w:t xml:space="preserve">Hard Disqualification: </w:t>
      </w:r>
      <w:r>
        <w:rPr>
          <w:rFonts w:ascii="Arial" w:cs="Arial" w:eastAsia="Arial" w:hAnsi="Arial"/>
          <w:sz w:val="20"/>
          <w:szCs w:val="20"/>
        </w:rPr>
        <w:t xml:space="preserve">No — All clear</w:t>
      </w:r>
    </w:p>
    <w:p>
      <w:pPr>
        <w:spacing w:after="80"/>
      </w:pPr>
      <w:r>
        <w:rPr>
          <w:rFonts w:ascii="Arial" w:cs="Arial" w:eastAsia="Arial" w:hAnsi="Arial"/>
          <w:b/>
          <w:bCs/>
          <w:sz w:val="20"/>
          <w:szCs w:val="20"/>
        </w:rPr>
        <w:t xml:space="preserve">Downgrade Triggers: </w:t>
      </w:r>
      <w:r>
        <w:rPr>
          <w:rFonts w:ascii="Arial" w:cs="Arial" w:eastAsia="Arial" w:hAnsi="Arial"/>
          <w:sz w:val="20"/>
          <w:szCs w:val="20"/>
        </w:rPr>
        <w:t xml:space="preserve">2 levels — (1) Technical score &lt; 8/15, (2) Technical Override Phase 6 &lt; 8</w:t>
      </w:r>
    </w:p>
    <w:p>
      <w:pPr>
        <w:spacing w:after="80"/>
      </w:pPr>
      <w:r>
        <w:rPr>
          <w:rFonts w:ascii="Arial" w:cs="Arial" w:eastAsia="Arial" w:hAnsi="Arial"/>
          <w:b/>
          <w:bCs/>
          <w:sz w:val="20"/>
          <w:szCs w:val="20"/>
        </w:rPr>
        <w:t xml:space="preserve">Re-rating/Growth Gate: </w:t>
      </w:r>
      <w:r>
        <w:rPr>
          <w:rFonts w:ascii="Arial" w:cs="Arial" w:eastAsia="Arial" w:hAnsi="Arial"/>
          <w:sz w:val="20"/>
          <w:szCs w:val="20"/>
        </w:rPr>
        <w:t xml:space="preserve">PASSED (4/6 on Growth Gate)</w:t>
      </w:r>
    </w:p>
    <w:p>
      <w:pPr>
        <w:spacing w:after="100"/>
      </w:pPr>
      <w:r>
        <w:rPr>
          <w:rFonts w:ascii="Arial" w:cs="Arial" w:eastAsia="Arial" w:hAnsi="Arial"/>
          <w:sz w:val="20"/>
          <w:szCs w:val="20"/>
        </w:rPr>
        <w:t xml:space="preserve"/>
      </w:r>
    </w:p>
    <w:p>
      <w:pPr>
        <w:spacing w:after="80"/>
      </w:pPr>
      <w:r>
        <w:rPr>
          <w:rFonts w:ascii="Arial" w:cs="Arial" w:eastAsia="Arial" w:hAnsi="Arial"/>
          <w:b/>
          <w:bCs/>
          <w:sz w:val="20"/>
          <w:szCs w:val="20"/>
        </w:rPr>
        <w:t xml:space="preserve">Raw Score: </w:t>
      </w:r>
      <w:r>
        <w:rPr>
          <w:rFonts w:ascii="Arial" w:cs="Arial" w:eastAsia="Arial" w:hAnsi="Arial"/>
          <w:sz w:val="20"/>
          <w:szCs w:val="20"/>
        </w:rPr>
        <w:t xml:space="preserve">97/135 → Maps to BUY (94-107 range)</w:t>
      </w:r>
    </w:p>
    <w:p>
      <w:pPr>
        <w:spacing w:after="80"/>
      </w:pPr>
      <w:r>
        <w:rPr>
          <w:rFonts w:ascii="Arial" w:cs="Arial" w:eastAsia="Arial" w:hAnsi="Arial"/>
          <w:b/>
          <w:bCs/>
          <w:sz w:val="20"/>
          <w:szCs w:val="20"/>
        </w:rPr>
        <w:t xml:space="preserve">After 2 Downgrade Levels: </w:t>
      </w:r>
      <w:r>
        <w:rPr>
          <w:rFonts w:ascii="Arial" w:cs="Arial" w:eastAsia="Arial" w:hAnsi="Arial"/>
          <w:sz w:val="20"/>
          <w:szCs w:val="20"/>
        </w:rPr>
        <w:t xml:space="preserve">BUY → MONITOR → AVOID</w:t>
      </w:r>
    </w:p>
    <w:p>
      <w:pPr>
        <w:spacing w:after="100"/>
      </w:pPr>
      <w:r>
        <w:rPr>
          <w:rFonts w:ascii="Arial" w:cs="Arial" w:eastAsia="Arial" w:hAnsi="Arial"/>
          <w:sz w:val="20"/>
          <w:szCs w:val="20"/>
        </w:rPr>
        <w:t xml:space="preserve"/>
      </w:r>
    </w:p>
    <w:p>
      <w:pPr>
        <w:spacing w:before="100" w:after="200"/>
      </w:pPr>
      <w:r>
        <w:rPr>
          <w:rFonts w:ascii="Arial" w:cs="Arial" w:eastAsia="Arial" w:hAnsi="Arial"/>
          <w:b/>
          <w:bCs/>
          <w:color w:val="E67E22"/>
          <w:sz w:val="24"/>
          <w:szCs w:val="24"/>
        </w:rPr>
        <w:t xml:space="preserve">FINAL VERDICT: MONITOR | Confidence: MEDIUM | Score: 97/135 (raw) | Effective: MONITOR after downgrades</w:t>
      </w:r>
    </w:p>
    <w:p>
      <w:pPr>
        <w:spacing w:after="100"/>
      </w:pPr>
      <w:r>
        <w:rPr>
          <w:rFonts w:ascii="Arial" w:cs="Arial" w:eastAsia="Arial" w:hAnsi="Arial"/>
          <w:i/>
          <w:iCs/>
          <w:sz w:val="20"/>
          <w:szCs w:val="20"/>
        </w:rPr>
        <w:t xml:space="preserve">NOTE: The raw score of 97/135 indicates strong fundamental quality (BUY-range). However, poor technical positioning (stock below key moving averages, in Stage 3/4) results in two automatic downgrades. The fundamental thesis is intact; timing is the constraint. This stock should be placed on active MONITOR for entry at a technically favorable setup.</w:t>
      </w:r>
    </w:p>
    <w:p>
      <w:r>
        <w:br w:type="page"/>
      </w:r>
    </w:p>
    <w:p>
      <w:pPr>
        <w:pStyle w:val="Heading1"/>
        <w:spacing w:before="300" w:after="150"/>
      </w:pPr>
      <w:r>
        <w:rPr>
          <w:rFonts w:ascii="Arial" w:cs="Arial" w:eastAsia="Arial" w:hAnsi="Arial"/>
          <w:b/>
          <w:bCs/>
          <w:sz w:val="28"/>
          <w:szCs w:val="28"/>
        </w:rPr>
        <w:t xml:space="preserve">1. EXECUTIVE SUMMARY</w:t>
      </w:r>
    </w:p>
    <w:p>
      <w:pPr>
        <w:spacing w:after="100"/>
      </w:pPr>
      <w:r>
        <w:rPr>
          <w:rFonts w:ascii="Arial" w:cs="Arial" w:eastAsia="Arial" w:hAnsi="Arial"/>
          <w:sz w:val="20"/>
          <w:szCs w:val="20"/>
        </w:rPr>
        <w:t xml:space="preserve">Narayana Hrudayalaya is a high-quality mid-cap hospital chain with 42 facilities (5,554 beds) across India and the Cayman Islands, led by founder Dr. Devi Shetty. The business has undergone a structural transformation, with EBITDA margins expanding from ~10% (FY18-19) to 24% (FY25) through case mix optimization, payor mix improvement, and operating leverage. Revenue CAGR of ~14% (3Y) and PAT CAGR of ~31% (3Y) demonstrate accelerating earnings power. The primary earnings trigger is continued India margin expansion (150-200 bps YoY confirmed for 2 quarters) combined with a ₹3,000 Cr capex plan to add 1,500+ beds. The UK acquisition of Practice Plus Group adds scale but introduces integration risk. At CMP ₹1,743, the stock trades at ~45x P/E, cheaper than peers (Apollo 72x, Max 96x, Fortis 85x) with superior ROE (24%). However, the stock is in a technically weak position below its 200 DMA, resulting in downgrade from BUY to MONITOR. Recommended action: MONITOR for entry at ₹1,450-1,550 zone.</w:t>
      </w:r>
    </w:p>
    <w:p>
      <w:pPr>
        <w:pStyle w:val="Heading1"/>
        <w:spacing w:before="300" w:after="150"/>
      </w:pPr>
      <w:r>
        <w:rPr>
          <w:rFonts w:ascii="Arial" w:cs="Arial" w:eastAsia="Arial" w:hAnsi="Arial"/>
          <w:b/>
          <w:bCs/>
          <w:sz w:val="28"/>
          <w:szCs w:val="28"/>
        </w:rPr>
        <w:t xml:space="preserve">2. PRIMARY EARNINGS TRIGGER</w:t>
      </w:r>
    </w:p>
    <w:p>
      <w:pPr>
        <w:spacing w:after="80"/>
      </w:pPr>
      <w:r>
        <w:rPr>
          <w:rFonts w:ascii="Arial" w:cs="Arial" w:eastAsia="Arial" w:hAnsi="Arial"/>
          <w:b/>
          <w:bCs/>
          <w:sz w:val="20"/>
          <w:szCs w:val="20"/>
        </w:rPr>
        <w:t xml:space="preserve">Trigger: </w:t>
      </w:r>
      <w:r>
        <w:rPr>
          <w:rFonts w:ascii="Arial" w:cs="Arial" w:eastAsia="Arial" w:hAnsi="Arial"/>
          <w:sz w:val="20"/>
          <w:szCs w:val="20"/>
        </w:rPr>
        <w:t xml:space="preserve">India margin expansion (150-200 bps YoY) + capacity addition (1,500+ beds over 3 years)</w:t>
      </w:r>
    </w:p>
    <w:p>
      <w:pPr>
        <w:spacing w:after="80"/>
      </w:pPr>
      <w:r>
        <w:rPr>
          <w:rFonts w:ascii="Arial" w:cs="Arial" w:eastAsia="Arial" w:hAnsi="Arial"/>
          <w:b/>
          <w:bCs/>
          <w:sz w:val="20"/>
          <w:szCs w:val="20"/>
        </w:rPr>
        <w:t xml:space="preserve">Source: </w:t>
      </w:r>
      <w:r>
        <w:rPr>
          <w:rFonts w:ascii="Arial" w:cs="Arial" w:eastAsia="Arial" w:hAnsi="Arial"/>
          <w:sz w:val="20"/>
          <w:szCs w:val="20"/>
        </w:rPr>
        <w:t xml:space="preserve">Q3 FY26 Earnings Call (Feb 17, 2026), Q3 FY26 Investor Presentation (BSE), ICRA Jan 2026</w:t>
      </w:r>
    </w:p>
    <w:p>
      <w:pPr>
        <w:spacing w:after="80"/>
      </w:pPr>
      <w:r>
        <w:rPr>
          <w:rFonts w:ascii="Arial" w:cs="Arial" w:eastAsia="Arial" w:hAnsi="Arial"/>
          <w:b/>
          <w:bCs/>
          <w:sz w:val="20"/>
          <w:szCs w:val="20"/>
        </w:rPr>
        <w:t xml:space="preserve">Timeline: </w:t>
      </w:r>
      <w:r>
        <w:rPr>
          <w:rFonts w:ascii="Arial" w:cs="Arial" w:eastAsia="Arial" w:hAnsi="Arial"/>
          <w:sz w:val="20"/>
          <w:szCs w:val="20"/>
        </w:rPr>
        <w:t xml:space="preserve">Ongoing through FY28 (capex cycle) and FY27 (CGHS full benefit)</w:t>
      </w:r>
    </w:p>
    <w:p>
      <w:pPr>
        <w:spacing w:after="80"/>
      </w:pPr>
      <w:r>
        <w:rPr>
          <w:rFonts w:ascii="Arial" w:cs="Arial" w:eastAsia="Arial" w:hAnsi="Arial"/>
          <w:b/>
          <w:bCs/>
          <w:sz w:val="20"/>
          <w:szCs w:val="20"/>
        </w:rPr>
        <w:t xml:space="preserve">Quantified Impact: </w:t>
      </w:r>
      <w:r>
        <w:rPr>
          <w:rFonts w:ascii="Arial" w:cs="Arial" w:eastAsia="Arial" w:hAnsi="Arial"/>
          <w:sz w:val="20"/>
          <w:szCs w:val="20"/>
        </w:rPr>
        <w:t xml:space="preserve">India revenue +11.8% YoY (Q3 FY26); EBITDA margin 150-200 bps expansion; CGHS rate revision ₹140 Cr revenue uplift with 85-90% EBITDA flow-through</w:t>
      </w:r>
    </w:p>
    <w:p>
      <w:pPr>
        <w:spacing w:after="80"/>
      </w:pPr>
      <w:r>
        <w:rPr>
          <w:rFonts w:ascii="Arial" w:cs="Arial" w:eastAsia="Arial" w:hAnsi="Arial"/>
          <w:b/>
          <w:bCs/>
          <w:sz w:val="20"/>
          <w:szCs w:val="20"/>
        </w:rPr>
        <w:t xml:space="preserve">Market Awareness: </w:t>
      </w:r>
      <w:r>
        <w:rPr>
          <w:rFonts w:ascii="Arial" w:cs="Arial" w:eastAsia="Arial" w:hAnsi="Arial"/>
          <w:sz w:val="20"/>
          <w:szCs w:val="20"/>
        </w:rPr>
        <w:t xml:space="preserve">In-line — hospital sector well-covered; NH gaining institutional attention post UK acquisition</w:t>
      </w:r>
    </w:p>
    <w:p>
      <w:pPr>
        <w:pStyle w:val="Heading1"/>
        <w:spacing w:before="300" w:after="150"/>
      </w:pPr>
      <w:r>
        <w:rPr>
          <w:rFonts w:ascii="Arial" w:cs="Arial" w:eastAsia="Arial" w:hAnsi="Arial"/>
          <w:b/>
          <w:bCs/>
          <w:sz w:val="28"/>
          <w:szCs w:val="28"/>
        </w:rPr>
        <w:t xml:space="preserve">3. PHASE-WISE SCORING TABLE</w:t>
      </w:r>
    </w:p>
    <w:p>
      <w:pPr>
        <w:spacing w:after="100"/>
      </w:pPr>
      <w:r>
        <w:rPr>
          <w:rFonts w:ascii="Arial" w:cs="Arial" w:eastAsia="Arial" w:hAnsi="Arial"/>
          <w:sz w:val="20"/>
          <w:szCs w:val="20"/>
        </w:rPr>
        <w:t xml:space="preserve">See Final Scoring Consolidation table above. All phase scores locked per Score Lockout Protocol.</w:t>
      </w:r>
    </w:p>
    <w:p>
      <w:pPr>
        <w:pStyle w:val="Heading1"/>
        <w:spacing w:before="300" w:after="150"/>
      </w:pPr>
      <w:r>
        <w:rPr>
          <w:rFonts w:ascii="Arial" w:cs="Arial" w:eastAsia="Arial" w:hAnsi="Arial"/>
          <w:b/>
          <w:bCs/>
          <w:sz w:val="28"/>
          <w:szCs w:val="28"/>
        </w:rPr>
        <w:t xml:space="preserve">4. KEY STRENGTHS</w:t>
      </w:r>
    </w:p>
    <w:p>
      <w:pPr>
        <w:spacing w:after="100"/>
      </w:pPr>
      <w:r>
        <w:rPr>
          <w:rFonts w:ascii="Arial" w:cs="Arial" w:eastAsia="Arial" w:hAnsi="Arial"/>
          <w:sz w:val="20"/>
          <w:szCs w:val="20"/>
        </w:rPr>
        <w:t xml:space="preserve">(1) Best-in-class ROE of 24% among hospital peers, driven by affordable care model with high volume throughput (Source: Screener ratios FY25).</w:t>
      </w:r>
    </w:p>
    <w:p>
      <w:pPr>
        <w:spacing w:after="100"/>
      </w:pPr>
      <w:r>
        <w:rPr>
          <w:rFonts w:ascii="Arial" w:cs="Arial" w:eastAsia="Arial" w:hAnsi="Arial"/>
          <w:sz w:val="20"/>
          <w:szCs w:val="20"/>
        </w:rPr>
        <w:t xml:space="preserve">(2) Zero promoter pledging and stable promoter holding at 63.3%, with Dr. Devi Shetty as a credible founder-operator (Source: BSE shareholding Dec 2025).</w:t>
      </w:r>
    </w:p>
    <w:p>
      <w:pPr>
        <w:spacing w:after="100"/>
      </w:pPr>
      <w:r>
        <w:rPr>
          <w:rFonts w:ascii="Arial" w:cs="Arial" w:eastAsia="Arial" w:hAnsi="Arial"/>
          <w:sz w:val="20"/>
          <w:szCs w:val="20"/>
        </w:rPr>
        <w:t xml:space="preserve">(3) CFO/EBITDA consistently &gt;70% for 4 of last 4 years, demonstrating genuine cash earnings quality even during aggressive capex phase (Source: Screener cash flows).</w:t>
      </w:r>
    </w:p>
    <w:p>
      <w:pPr>
        <w:spacing w:after="100"/>
      </w:pPr>
      <w:r>
        <w:rPr>
          <w:rFonts w:ascii="Arial" w:cs="Arial" w:eastAsia="Arial" w:hAnsi="Arial"/>
          <w:sz w:val="20"/>
          <w:szCs w:val="20"/>
        </w:rPr>
        <w:t xml:space="preserve">(4) ICRA AA- (Stable) rating reaffirmed Jan 2026, providing institutional validation of credit quality despite elevated leverage (Source: ICRA rating report Jan 19, 2026, BSE filing).</w:t>
      </w:r>
    </w:p>
    <w:p>
      <w:pPr>
        <w:spacing w:after="100"/>
      </w:pPr>
      <w:r>
        <w:rPr>
          <w:rFonts w:ascii="Arial" w:cs="Arial" w:eastAsia="Arial" w:hAnsi="Arial"/>
          <w:sz w:val="20"/>
          <w:szCs w:val="20"/>
        </w:rPr>
        <w:t xml:space="preserve">(5) Cheapest large-cap hospital stock on EV/EBITDA (~27x vs 30-48x for peers) with comparable or better margins and ROE (Source: Screener peer comparison, market data).</w:t>
      </w:r>
    </w:p>
    <w:p>
      <w:pPr>
        <w:pStyle w:val="Heading1"/>
        <w:spacing w:before="300" w:after="150"/>
      </w:pPr>
      <w:r>
        <w:rPr>
          <w:rFonts w:ascii="Arial" w:cs="Arial" w:eastAsia="Arial" w:hAnsi="Arial"/>
          <w:b/>
          <w:bCs/>
          <w:sz w:val="28"/>
          <w:szCs w:val="28"/>
        </w:rPr>
        <w:t xml:space="preserve">5. KEY RISKS</w:t>
      </w:r>
    </w:p>
    <w:p>
      <w:pPr>
        <w:spacing w:after="100"/>
      </w:pPr>
      <w:r>
        <w:rPr>
          <w:rFonts w:ascii="Arial" w:cs="Arial" w:eastAsia="Arial" w:hAnsi="Arial"/>
          <w:sz w:val="20"/>
          <w:szCs w:val="20"/>
        </w:rPr>
        <w:t xml:space="preserve">(1) UK acquisition integration risk: Practice Plus Group acquisition (₹2,200 Cr) is currently ROCE-dilutive; UK profitability remains subdued with adjusted PAT of GBP -1.2 Mn in Q3 FY26; loss ratios and NHS contracting create volatility (Source: Q3 FY26 Investor Presentation).</w:t>
      </w:r>
    </w:p>
    <w:p>
      <w:pPr>
        <w:spacing w:after="100"/>
      </w:pPr>
      <w:r>
        <w:rPr>
          <w:rFonts w:ascii="Arial" w:cs="Arial" w:eastAsia="Arial" w:hAnsi="Arial"/>
          <w:sz w:val="20"/>
          <w:szCs w:val="20"/>
        </w:rPr>
        <w:t xml:space="preserve">(2) Rising leverage: Net D/E has increased from 0.29x (FY22) to 0.67x (FY25), with ICRA expecting peak net debt/EBITDA of 2.1-2.3x by Mar 2026; interest costs have risen from ₹76 Cr (FY22) to ₹163 Cr (FY25), compressing net margins (Source: ICRA Jan 2026).</w:t>
      </w:r>
    </w:p>
    <w:p>
      <w:pPr>
        <w:spacing w:after="100"/>
      </w:pPr>
      <w:r>
        <w:rPr>
          <w:rFonts w:ascii="Arial" w:cs="Arial" w:eastAsia="Arial" w:hAnsi="Arial"/>
          <w:sz w:val="20"/>
          <w:szCs w:val="20"/>
        </w:rPr>
        <w:t xml:space="preserve">(3) Concentration risk: Revenue and profit remain heavily dependent on 3 flagship hospitals (NICS Bangalore, MSMC Bangalore, RTIICS Kolkata) and Cayman operations, though dependence is reducing (Source: ICRA Jan 2026).</w:t>
      </w:r>
    </w:p>
    <w:p>
      <w:pPr>
        <w:spacing w:after="100"/>
      </w:pPr>
      <w:r>
        <w:rPr>
          <w:rFonts w:ascii="Arial" w:cs="Arial" w:eastAsia="Arial" w:hAnsi="Arial"/>
          <w:sz w:val="20"/>
          <w:szCs w:val="20"/>
        </w:rPr>
        <w:t xml:space="preserve">(4) North India receivable issues: Management flagged receivable challenges with certain government scheme payors in North India, potentially affecting volume decisions and cash flow (Source: Q3 FY26 concall).</w:t>
      </w:r>
    </w:p>
    <w:p>
      <w:pPr>
        <w:spacing w:after="100"/>
      </w:pPr>
      <w:r>
        <w:rPr>
          <w:rFonts w:ascii="Arial" w:cs="Arial" w:eastAsia="Arial" w:hAnsi="Arial"/>
          <w:sz w:val="20"/>
          <w:szCs w:val="20"/>
        </w:rPr>
        <w:t xml:space="preserve">(5) Regulatory risk: Hospital sector exposed to adverse regulatory measures (price capping, insurance rate revisions, NEET/medical education changes) that could impact margins (Source: ICRA rating report).</w:t>
      </w:r>
    </w:p>
    <w:p>
      <w:pPr>
        <w:pStyle w:val="Heading1"/>
        <w:spacing w:before="300" w:after="150"/>
      </w:pPr>
      <w:r>
        <w:rPr>
          <w:rFonts w:ascii="Arial" w:cs="Arial" w:eastAsia="Arial" w:hAnsi="Arial"/>
          <w:b/>
          <w:bCs/>
          <w:sz w:val="28"/>
          <w:szCs w:val="28"/>
        </w:rPr>
        <w:t xml:space="preserve">6. THESIS BREAKERS</w:t>
      </w:r>
    </w:p>
    <w:p>
      <w:pPr>
        <w:spacing w:after="100"/>
      </w:pPr>
      <w:r>
        <w:rPr>
          <w:rFonts w:ascii="Arial" w:cs="Arial" w:eastAsia="Arial" w:hAnsi="Arial"/>
          <w:sz w:val="20"/>
          <w:szCs w:val="20"/>
        </w:rPr>
        <w:t xml:space="preserve">(a) India EBITDA margin drops below 22% for 2 consecutive quarters (would signal transformation reversal).</w:t>
      </w:r>
    </w:p>
    <w:p>
      <w:pPr>
        <w:spacing w:after="100"/>
      </w:pPr>
      <w:r>
        <w:rPr>
          <w:rFonts w:ascii="Arial" w:cs="Arial" w:eastAsia="Arial" w:hAnsi="Arial"/>
          <w:sz w:val="20"/>
          <w:szCs w:val="20"/>
        </w:rPr>
        <w:t xml:space="preserve">(b) Net debt/EBITDA breaches 2.5x (management target ceiling) on a sustained basis.</w:t>
      </w:r>
    </w:p>
    <w:p>
      <w:pPr>
        <w:spacing w:after="100"/>
      </w:pPr>
      <w:r>
        <w:rPr>
          <w:rFonts w:ascii="Arial" w:cs="Arial" w:eastAsia="Arial" w:hAnsi="Arial"/>
          <w:sz w:val="20"/>
          <w:szCs w:val="20"/>
        </w:rPr>
        <w:t xml:space="preserve">(c) UK operations fail to achieve EBITDA breakeven by Q4 FY27 (18 months from consolidation).</w:t>
      </w:r>
    </w:p>
    <w:p>
      <w:pPr>
        <w:spacing w:after="100"/>
      </w:pPr>
      <w:r>
        <w:rPr>
          <w:rFonts w:ascii="Arial" w:cs="Arial" w:eastAsia="Arial" w:hAnsi="Arial"/>
          <w:sz w:val="20"/>
          <w:szCs w:val="20"/>
        </w:rPr>
        <w:t xml:space="preserve">(d) Promoter pledging emerges or promoter holding drops below 60% through open market sales.</w:t>
      </w:r>
    </w:p>
    <w:p>
      <w:pPr>
        <w:spacing w:after="100"/>
      </w:pPr>
      <w:r>
        <w:rPr>
          <w:rFonts w:ascii="Arial" w:cs="Arial" w:eastAsia="Arial" w:hAnsi="Arial"/>
          <w:sz w:val="20"/>
          <w:szCs w:val="20"/>
        </w:rPr>
        <w:t xml:space="preserve">(e) ICRA rating downgrade from AA- to A+ or lower.</w:t>
      </w:r>
    </w:p>
    <w:p>
      <w:pPr>
        <w:pStyle w:val="Heading1"/>
        <w:spacing w:before="300" w:after="150"/>
      </w:pPr>
      <w:r>
        <w:rPr>
          <w:rFonts w:ascii="Arial" w:cs="Arial" w:eastAsia="Arial" w:hAnsi="Arial"/>
          <w:b/>
          <w:bCs/>
          <w:sz w:val="28"/>
          <w:szCs w:val="28"/>
        </w:rPr>
        <w:t xml:space="preserve">7. CONVICTION BUILDERS</w:t>
      </w:r>
    </w:p>
    <w:p>
      <w:pPr>
        <w:spacing w:after="100"/>
      </w:pPr>
      <w:r>
        <w:rPr>
          <w:rFonts w:ascii="Arial" w:cs="Arial" w:eastAsia="Arial" w:hAnsi="Arial"/>
          <w:sz w:val="20"/>
          <w:szCs w:val="20"/>
        </w:rPr>
        <w:t xml:space="preserve">(a) India EBITDA margin sustains above 24% for FY26 full year (confirms structural shift).</w:t>
      </w:r>
    </w:p>
    <w:p>
      <w:pPr>
        <w:spacing w:after="100"/>
      </w:pPr>
      <w:r>
        <w:rPr>
          <w:rFonts w:ascii="Arial" w:cs="Arial" w:eastAsia="Arial" w:hAnsi="Arial"/>
          <w:sz w:val="20"/>
          <w:szCs w:val="20"/>
        </w:rPr>
        <w:t xml:space="preserve">(b) UK Practice Plus Group achieves adjusted EBITDA breakeven by H2 FY27.</w:t>
      </w:r>
    </w:p>
    <w:p>
      <w:pPr>
        <w:spacing w:after="100"/>
      </w:pPr>
      <w:r>
        <w:rPr>
          <w:rFonts w:ascii="Arial" w:cs="Arial" w:eastAsia="Arial" w:hAnsi="Arial"/>
          <w:sz w:val="20"/>
          <w:szCs w:val="20"/>
        </w:rPr>
        <w:t xml:space="preserve">(c) CGHS rate revision benefits fully flow through in Q1-Q2 FY27 (₹140 Cr+ revenue uplift).</w:t>
      </w:r>
    </w:p>
    <w:p>
      <w:pPr>
        <w:spacing w:after="100"/>
      </w:pPr>
      <w:r>
        <w:rPr>
          <w:rFonts w:ascii="Arial" w:cs="Arial" w:eastAsia="Arial" w:hAnsi="Arial"/>
          <w:sz w:val="20"/>
          <w:szCs w:val="20"/>
        </w:rPr>
        <w:t xml:space="preserve">(d) Net debt/EBITDA trends below 2.0x by Mar 2027 (per ICRA projection of 1.4-1.6x).</w:t>
      </w:r>
    </w:p>
    <w:p>
      <w:pPr>
        <w:spacing w:after="100"/>
      </w:pPr>
      <w:r>
        <w:rPr>
          <w:rFonts w:ascii="Arial" w:cs="Arial" w:eastAsia="Arial" w:hAnsi="Arial"/>
          <w:sz w:val="20"/>
          <w:szCs w:val="20"/>
        </w:rPr>
        <w:t xml:space="preserve">(e) Stock reclaims 200 DMA and establishes Weinstein Stage 2 (technical entry signal).</w:t>
      </w:r>
    </w:p>
    <w:p>
      <w:pPr>
        <w:pStyle w:val="Heading1"/>
        <w:spacing w:before="300" w:after="150"/>
      </w:pPr>
      <w:r>
        <w:rPr>
          <w:rFonts w:ascii="Arial" w:cs="Arial" w:eastAsia="Arial" w:hAnsi="Arial"/>
          <w:b/>
          <w:bCs/>
          <w:sz w:val="28"/>
          <w:szCs w:val="28"/>
        </w:rPr>
        <w:t xml:space="preserve">8. TECHNICAL SETUP SUMMARY</w:t>
      </w:r>
    </w:p>
    <w:p>
      <w:pPr>
        <w:spacing w:after="80"/>
      </w:pPr>
      <w:r>
        <w:rPr>
          <w:rFonts w:ascii="Arial" w:cs="Arial" w:eastAsia="Arial" w:hAnsi="Arial"/>
          <w:b/>
          <w:bCs/>
          <w:sz w:val="20"/>
          <w:szCs w:val="20"/>
        </w:rPr>
        <w:t xml:space="preserve">Weinstein Stage: </w:t>
      </w:r>
      <w:r>
        <w:rPr>
          <w:rFonts w:ascii="Arial" w:cs="Arial" w:eastAsia="Arial" w:hAnsi="Arial"/>
          <w:sz w:val="20"/>
          <w:szCs w:val="20"/>
        </w:rPr>
        <w:t xml:space="preserve">Stage 3 (Distribution) / borderline Stage 4 — price below declining 30W MA</w:t>
      </w:r>
    </w:p>
    <w:p>
      <w:pPr>
        <w:spacing w:after="80"/>
      </w:pPr>
      <w:r>
        <w:rPr>
          <w:rFonts w:ascii="Arial" w:cs="Arial" w:eastAsia="Arial" w:hAnsi="Arial"/>
          <w:b/>
          <w:bCs/>
          <w:sz w:val="20"/>
          <w:szCs w:val="20"/>
        </w:rPr>
        <w:t xml:space="preserve">Multi-Timeframe: </w:t>
      </w:r>
      <w:r>
        <w:rPr>
          <w:rFonts w:ascii="Arial" w:cs="Arial" w:eastAsia="Arial" w:hAnsi="Arial"/>
          <w:sz w:val="20"/>
          <w:szCs w:val="20"/>
        </w:rPr>
        <w:t xml:space="preserve">Monthly Sideways, Weekly Down, Daily Mixed — 1 of 3 aligned</w:t>
      </w:r>
    </w:p>
    <w:p>
      <w:pPr>
        <w:spacing w:after="80"/>
      </w:pPr>
      <w:r>
        <w:rPr>
          <w:rFonts w:ascii="Arial" w:cs="Arial" w:eastAsia="Arial" w:hAnsi="Arial"/>
          <w:b/>
          <w:bCs/>
          <w:sz w:val="20"/>
          <w:szCs w:val="20"/>
        </w:rPr>
        <w:t xml:space="preserve">Support: </w:t>
      </w:r>
      <w:r>
        <w:rPr>
          <w:rFonts w:ascii="Arial" w:cs="Arial" w:eastAsia="Arial" w:hAnsi="Arial"/>
          <w:sz w:val="20"/>
          <w:szCs w:val="20"/>
        </w:rPr>
        <w:t xml:space="preserve">₹1,650 (100 DMA area) | ₹1,500 (major structural) | ₹1,300 (52-week low)</w:t>
      </w:r>
    </w:p>
    <w:p>
      <w:pPr>
        <w:spacing w:after="80"/>
      </w:pPr>
      <w:r>
        <w:rPr>
          <w:rFonts w:ascii="Arial" w:cs="Arial" w:eastAsia="Arial" w:hAnsi="Arial"/>
          <w:b/>
          <w:bCs/>
          <w:sz w:val="20"/>
          <w:szCs w:val="20"/>
        </w:rPr>
        <w:t xml:space="preserve">Resistance: </w:t>
      </w:r>
      <w:r>
        <w:rPr>
          <w:rFonts w:ascii="Arial" w:cs="Arial" w:eastAsia="Arial" w:hAnsi="Arial"/>
          <w:sz w:val="20"/>
          <w:szCs w:val="20"/>
        </w:rPr>
        <w:t xml:space="preserve">₹1,843-1,900 (200 DMA / 50 DMA cluster) | ₹2,000 | ₹2,370 (52-week high)</w:t>
      </w:r>
    </w:p>
    <w:p>
      <w:pPr>
        <w:spacing w:after="80"/>
      </w:pPr>
      <w:r>
        <w:rPr>
          <w:rFonts w:ascii="Arial" w:cs="Arial" w:eastAsia="Arial" w:hAnsi="Arial"/>
          <w:b/>
          <w:bCs/>
          <w:sz w:val="20"/>
          <w:szCs w:val="20"/>
        </w:rPr>
        <w:t xml:space="preserve">Moving Averages: </w:t>
      </w:r>
      <w:r>
        <w:rPr>
          <w:rFonts w:ascii="Arial" w:cs="Arial" w:eastAsia="Arial" w:hAnsi="Arial"/>
          <w:sz w:val="20"/>
          <w:szCs w:val="20"/>
        </w:rPr>
        <w:t xml:space="preserve">10W &lt; 20W &lt; 30W bearish alignment; price below all three</w:t>
      </w:r>
    </w:p>
    <w:p>
      <w:pPr>
        <w:spacing w:after="80"/>
      </w:pPr>
      <w:r>
        <w:rPr>
          <w:rFonts w:ascii="Arial" w:cs="Arial" w:eastAsia="Arial" w:hAnsi="Arial"/>
          <w:b/>
          <w:bCs/>
          <w:sz w:val="20"/>
          <w:szCs w:val="20"/>
        </w:rPr>
        <w:t xml:space="preserve">Volume: </w:t>
      </w:r>
      <w:r>
        <w:rPr>
          <w:rFonts w:ascii="Arial" w:cs="Arial" w:eastAsia="Arial" w:hAnsi="Arial"/>
          <w:sz w:val="20"/>
          <w:szCs w:val="20"/>
        </w:rPr>
        <w:t xml:space="preserve">No high-volume breakout; RSI ~44 (neutral-bearish)</w:t>
      </w:r>
    </w:p>
    <w:p>
      <w:pPr>
        <w:spacing w:after="80"/>
      </w:pPr>
      <w:r>
        <w:rPr>
          <w:rFonts w:ascii="Arial" w:cs="Arial" w:eastAsia="Arial" w:hAnsi="Arial"/>
          <w:b/>
          <w:bCs/>
          <w:sz w:val="20"/>
          <w:szCs w:val="20"/>
        </w:rPr>
        <w:t xml:space="preserve">Entry Zone: </w:t>
      </w:r>
      <w:r>
        <w:rPr>
          <w:rFonts w:ascii="Arial" w:cs="Arial" w:eastAsia="Arial" w:hAnsi="Arial"/>
          <w:sz w:val="20"/>
          <w:szCs w:val="20"/>
        </w:rPr>
        <w:t xml:space="preserve">₹1,450-1,550 (on 200 DMA reclaim: ₹1,850+)</w:t>
      </w:r>
    </w:p>
    <w:p>
      <w:pPr>
        <w:spacing w:after="80"/>
      </w:pPr>
      <w:r>
        <w:rPr>
          <w:rFonts w:ascii="Arial" w:cs="Arial" w:eastAsia="Arial" w:hAnsi="Arial"/>
          <w:b/>
          <w:bCs/>
          <w:sz w:val="20"/>
          <w:szCs w:val="20"/>
        </w:rPr>
        <w:t xml:space="preserve">Stop Loss: </w:t>
      </w:r>
      <w:r>
        <w:rPr>
          <w:rFonts w:ascii="Arial" w:cs="Arial" w:eastAsia="Arial" w:hAnsi="Arial"/>
          <w:sz w:val="20"/>
          <w:szCs w:val="20"/>
        </w:rPr>
        <w:t xml:space="preserve">₹1,300 (52-week low)</w:t>
      </w:r>
    </w:p>
    <w:p>
      <w:r>
        <w:br w:type="page"/>
      </w:r>
    </w:p>
    <w:p>
      <w:pPr>
        <w:pStyle w:val="Heading1"/>
        <w:spacing w:before="300" w:after="150"/>
      </w:pPr>
      <w:r>
        <w:rPr>
          <w:rFonts w:ascii="Arial" w:cs="Arial" w:eastAsia="Arial" w:hAnsi="Arial"/>
          <w:b/>
          <w:bCs/>
          <w:sz w:val="28"/>
          <w:szCs w:val="28"/>
        </w:rPr>
        <w:t xml:space="preserve">PORTFOLIO TRACKER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900"/>
        <w:gridCol w:w="1560"/>
        <w:gridCol w:w="1200"/>
        <w:gridCol w:w="2940"/>
      </w:tblGrid>
      <w:tr>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Stock</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Verdict</w:t>
            </w:r>
          </w:p>
        </w:tc>
        <w:tc>
          <w:tcPr>
            <w:tcW w:type="dxa" w:w="9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Entry Zone</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Stop Loss</w:t>
            </w:r>
          </w:p>
        </w:tc>
        <w:tc>
          <w:tcPr>
            <w:tcW w:type="dxa" w:w="29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Next Action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sz w:val="18"/>
                <w:szCs w:val="18"/>
              </w:rPr>
              <w:t xml:space="preserve">Narayana Hrudayalaya (NH)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bCs/>
                <w:color w:val="E67E22"/>
                <w:sz w:val="18"/>
                <w:szCs w:val="18"/>
              </w:rPr>
              <w:t xml:space="preserve">MONITOR</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97/135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₹1,450-1,550 or ₹1,850+ on 200 DMA reclaim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₹1,300</w:t>
            </w:r>
          </w:p>
        </w:tc>
        <w:tc>
          <w:tcPr>
            <w:tcW w:type="dxa" w:w="29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18"/>
                <w:szCs w:val="18"/>
              </w:rPr>
              <w:t xml:space="preserve">Watch Q4 FY26 results (May 2026); track 200 DMA reclaim; monitor UK EBITDA breakeven</w:t>
            </w:r>
          </w:p>
        </w:tc>
      </w:tr>
    </w:tbl>
    <w:p>
      <w:pPr>
        <w:spacing w:before="200"/>
      </w:pPr>
    </w:p>
    <w:p>
      <w:pPr>
        <w:spacing w:after="100"/>
      </w:pPr>
      <w:r>
        <w:rPr>
          <w:rFonts w:ascii="Arial" w:cs="Arial" w:eastAsia="Arial" w:hAnsi="Arial"/>
          <w:i/>
          <w:iCs/>
          <w:sz w:val="20"/>
          <w:szCs w:val="20"/>
        </w:rPr>
        <w:t xml:space="preserve">THESIS CONTRACT: Not applicable — MONITOR verdict. Do not execute buy order. Re-evaluate when stock reclaims 200 DMA and establishes Stage 2 setup, or if price corrects to ₹1,450-1,550 entry zone with improving risk/reward.</w:t>
      </w:r>
    </w:p>
    <w:p>
      <w:pPr>
        <w:spacing w:before="200"/>
      </w:pPr>
    </w:p>
    <w:p>
      <w:pPr>
        <w:pStyle w:val="Heading1"/>
        <w:spacing w:before="300" w:after="150"/>
      </w:pPr>
      <w:r>
        <w:rPr>
          <w:rFonts w:ascii="Arial" w:cs="Arial" w:eastAsia="Arial" w:hAnsi="Arial"/>
          <w:b/>
          <w:bCs/>
          <w:sz w:val="28"/>
          <w:szCs w:val="28"/>
        </w:rPr>
        <w:t xml:space="preserve">SCORE LOCKOUT CONFIRMATION</w:t>
      </w:r>
    </w:p>
    <w:p>
      <w:pPr>
        <w:spacing w:after="80"/>
      </w:pPr>
      <w:r>
        <w:rPr>
          <w:rFonts w:ascii="Arial" w:cs="Arial" w:eastAsia="Arial" w:hAnsi="Arial"/>
          <w:b/>
          <w:bCs/>
          <w:sz w:val="20"/>
          <w:szCs w:val="20"/>
        </w:rPr>
        <w:t xml:space="preserve">Phase 1 locked: </w:t>
      </w:r>
      <w:r>
        <w:rPr>
          <w:rFonts w:ascii="Arial" w:cs="Arial" w:eastAsia="Arial" w:hAnsi="Arial"/>
          <w:sz w:val="20"/>
          <w:szCs w:val="20"/>
        </w:rPr>
        <w:t xml:space="preserve">19/20</w:t>
      </w:r>
    </w:p>
    <w:p>
      <w:pPr>
        <w:spacing w:after="80"/>
      </w:pPr>
      <w:r>
        <w:rPr>
          <w:rFonts w:ascii="Arial" w:cs="Arial" w:eastAsia="Arial" w:hAnsi="Arial"/>
          <w:b/>
          <w:bCs/>
          <w:sz w:val="20"/>
          <w:szCs w:val="20"/>
        </w:rPr>
        <w:t xml:space="preserve">Phase 2 locked: </w:t>
      </w:r>
      <w:r>
        <w:rPr>
          <w:rFonts w:ascii="Arial" w:cs="Arial" w:eastAsia="Arial" w:hAnsi="Arial"/>
          <w:sz w:val="20"/>
          <w:szCs w:val="20"/>
        </w:rPr>
        <w:t xml:space="preserve">28/35</w:t>
      </w:r>
    </w:p>
    <w:p>
      <w:pPr>
        <w:spacing w:after="80"/>
      </w:pPr>
      <w:r>
        <w:rPr>
          <w:rFonts w:ascii="Arial" w:cs="Arial" w:eastAsia="Arial" w:hAnsi="Arial"/>
          <w:b/>
          <w:bCs/>
          <w:sz w:val="20"/>
          <w:szCs w:val="20"/>
        </w:rPr>
        <w:t xml:space="preserve">Phase 3 locked: </w:t>
      </w:r>
      <w:r>
        <w:rPr>
          <w:rFonts w:ascii="Arial" w:cs="Arial" w:eastAsia="Arial" w:hAnsi="Arial"/>
          <w:sz w:val="20"/>
          <w:szCs w:val="20"/>
        </w:rPr>
        <w:t xml:space="preserve">20/25</w:t>
      </w:r>
    </w:p>
    <w:p>
      <w:pPr>
        <w:spacing w:after="80"/>
      </w:pPr>
      <w:r>
        <w:rPr>
          <w:rFonts w:ascii="Arial" w:cs="Arial" w:eastAsia="Arial" w:hAnsi="Arial"/>
          <w:b/>
          <w:bCs/>
          <w:sz w:val="20"/>
          <w:szCs w:val="20"/>
        </w:rPr>
        <w:t xml:space="preserve">Phase 4 locked: </w:t>
      </w:r>
      <w:r>
        <w:rPr>
          <w:rFonts w:ascii="Arial" w:cs="Arial" w:eastAsia="Arial" w:hAnsi="Arial"/>
          <w:sz w:val="20"/>
          <w:szCs w:val="20"/>
        </w:rPr>
        <w:t xml:space="preserve">15/20</w:t>
      </w:r>
    </w:p>
    <w:p>
      <w:pPr>
        <w:spacing w:after="80"/>
      </w:pPr>
      <w:r>
        <w:rPr>
          <w:rFonts w:ascii="Arial" w:cs="Arial" w:eastAsia="Arial" w:hAnsi="Arial"/>
          <w:b/>
          <w:bCs/>
          <w:sz w:val="20"/>
          <w:szCs w:val="20"/>
        </w:rPr>
        <w:t xml:space="preserve">Phase 5 locked: </w:t>
      </w:r>
      <w:r>
        <w:rPr>
          <w:rFonts w:ascii="Arial" w:cs="Arial" w:eastAsia="Arial" w:hAnsi="Arial"/>
          <w:sz w:val="20"/>
          <w:szCs w:val="20"/>
        </w:rPr>
        <w:t xml:space="preserve">12/20</w:t>
      </w:r>
    </w:p>
    <w:p>
      <w:pPr>
        <w:spacing w:after="80"/>
      </w:pPr>
      <w:r>
        <w:rPr>
          <w:rFonts w:ascii="Arial" w:cs="Arial" w:eastAsia="Arial" w:hAnsi="Arial"/>
          <w:b/>
          <w:bCs/>
          <w:sz w:val="20"/>
          <w:szCs w:val="20"/>
        </w:rPr>
        <w:t xml:space="preserve">Phase 6 locked: </w:t>
      </w:r>
      <w:r>
        <w:rPr>
          <w:rFonts w:ascii="Arial" w:cs="Arial" w:eastAsia="Arial" w:hAnsi="Arial"/>
          <w:sz w:val="20"/>
          <w:szCs w:val="20"/>
        </w:rPr>
        <w:t xml:space="preserve">3/15</w:t>
      </w:r>
    </w:p>
    <w:p>
      <w:pPr>
        <w:spacing w:after="80"/>
      </w:pPr>
      <w:r>
        <w:rPr>
          <w:rFonts w:ascii="Arial" w:cs="Arial" w:eastAsia="Arial" w:hAnsi="Arial"/>
          <w:b/>
          <w:bCs/>
          <w:sz w:val="20"/>
          <w:szCs w:val="20"/>
        </w:rPr>
        <w:t xml:space="preserve">TOTAL: </w:t>
      </w:r>
      <w:r>
        <w:rPr>
          <w:rFonts w:ascii="Arial" w:cs="Arial" w:eastAsia="Arial" w:hAnsi="Arial"/>
          <w:sz w:val="20"/>
          <w:szCs w:val="20"/>
        </w:rPr>
        <w:t xml:space="preserve">97/135 | Raw Verdict: BUY | After 2 downgrade levels: MONITOR</w:t>
      </w:r>
    </w:p>
    <w:p>
      <w:pPr>
        <w:spacing w:before="300"/>
      </w:pPr>
      <w:r>
        <w:rPr>
          <w:rFonts w:ascii="Arial" w:cs="Arial" w:eastAsia="Arial" w:hAnsi="Arial"/>
          <w:i/>
          <w:iCs/>
          <w:color w:val="999999"/>
          <w:sz w:val="16"/>
          <w:szCs w:val="16"/>
        </w:rPr>
        <w:t xml:space="preserve">Framework v3.0 | India Equities (BSE/NSE) | Web-search native | Analysis date: 07 March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B3A5C"/>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2026-03-07T07:39:40.857Z</dcterms:created>
  <dcterms:modified xsi:type="dcterms:W3CDTF">2026-03-07T07:39:40.858Z</dcterms:modified>
</cp:coreProperties>
</file>

<file path=docProps/custom.xml><?xml version="1.0" encoding="utf-8"?>
<Properties xmlns="http://schemas.openxmlformats.org/officeDocument/2006/custom-properties" xmlns:vt="http://schemas.openxmlformats.org/officeDocument/2006/docPropsVTypes"/>
</file>