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88888"/>
          <w:sz w:val="18"/>
          <w:szCs w:val="18"/>
        </w:rPr>
        <w:t xml:space="preserve">EQUITY RESEARCH NOTE</w:t>
      </w:r>
    </w:p>
    <w:p>
      <w:pPr>
        <w:spacing w:after="40"/>
        <w:jc w:val="center"/>
      </w:pPr>
      <w:r>
        <w:rPr>
          <w:rFonts w:ascii="Arial" w:cs="Arial" w:eastAsia="Arial" w:hAnsi="Arial"/>
          <w:b/>
          <w:bCs/>
          <w:color w:val="1B3A5C"/>
          <w:sz w:val="40"/>
          <w:szCs w:val="40"/>
        </w:rPr>
        <w:t xml:space="preserve">PAYTM (ONE97 COMMUNICATIONS LTD)</w:t>
      </w:r>
    </w:p>
    <w:p>
      <w:pPr>
        <w:pBdr>
          <w:bottom w:val="single" w:color="1B3A5C" w:sz="6" w:space="8"/>
        </w:pBdr>
        <w:spacing w:after="200"/>
        <w:jc w:val="center"/>
      </w:pPr>
      <w:r>
        <w:rPr>
          <w:rFonts w:ascii="Arial" w:cs="Arial" w:eastAsia="Arial" w:hAnsi="Arial"/>
          <w:color w:val="666666"/>
          <w:sz w:val="20"/>
          <w:szCs w:val="20"/>
        </w:rPr>
        <w:t xml:space="preserve">BSE: 543396  |  NSE: PAYTM  |  Sector: Financial Technology (Fintech)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20"/>
              <w:left w:type="dxa" w:w="200"/>
              <w:bottom w:type="dxa" w:w="120"/>
              <w:right w:type="dxa" w:w="200"/>
            </w:tcMar>
          </w:tcPr>
          <w:p>
            <w:pPr>
              <w:jc w:val="center"/>
            </w:pPr>
            <w:r>
              <w:rPr>
                <w:rFonts w:ascii="Arial" w:cs="Arial" w:eastAsia="Arial" w:hAnsi="Arial"/>
                <w:b/>
                <w:bCs/>
                <w:color w:val="FFFFFF"/>
                <w:sz w:val="30"/>
                <w:szCs w:val="30"/>
              </w:rPr>
              <w:t xml:space="preserve">VERDICT: ARCHIVED AT PRE-SCREEN GATE</w:t>
            </w:r>
          </w:p>
          <w:p>
            <w:pPr>
              <w:spacing w:before="60"/>
              <w:jc w:val="center"/>
            </w:pPr>
            <w:r>
              <w:rPr>
                <w:rFonts w:ascii="Arial" w:cs="Arial" w:eastAsia="Arial" w:hAnsi="Arial"/>
                <w:color w:val="FFCDD2"/>
                <w:sz w:val="20"/>
                <w:szCs w:val="20"/>
              </w:rPr>
              <w:t xml:space="preserve">Gate Score: 3/5 (Minimum 4/5 required to proceed)  |  Full analysis NOT conducted</w:t>
            </w:r>
          </w:p>
        </w:tc>
      </w:tr>
    </w:tbl>
    <w:p>
      <w:pPr>
        <w:spacing w:before="120" w:after="120"/>
      </w:pPr>
    </w:p>
    <w:p>
      <w:pPr>
        <w:pStyle w:val="Heading1"/>
      </w:pPr>
      <w:r>
        <w:rPr>
          <w:rFonts w:ascii="Arial" w:cs="Arial" w:eastAsia="Arial" w:hAnsi="Arial"/>
        </w:rPr>
        <w:t xml:space="preserve">Analysis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Company Name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Paytm (One97 Communications Ltd)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BSE / NSE Code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BSE: 543396 / NSE: PAYTM</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CMP (March 7, 2026)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₹1,038 – 1,048</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Market Cap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₹66,456 – 67,390 Cr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Sector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Financial Technology (Fintech) – Digital Payments &amp; Financial Services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Analysis 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March 7, 2026</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Analysis Mode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FRESH ANALYSIS (Not previously in Portfolio Tracker)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52-Week Range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₹651.50 – ₹1,381.80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P/E (TTM)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Negative (-105.84 to -388) – historical losses; turning profitable Q1–Q3 FY26</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3.88 – 4.3x</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Promoter Structure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identifiable promoter. Professionally managed. VJS holds ~19.4% (largest individual shareholder, not classified as promoter).</w:t>
            </w:r>
          </w:p>
        </w:tc>
      </w:tr>
    </w:tbl>
    <w:p>
      <w:pPr>
        <w:spacing w:before="120" w:after="120"/>
      </w:pPr>
    </w:p>
    <w:p>
      <w:pPr>
        <w:pStyle w:val="Heading1"/>
      </w:pPr>
      <w:r>
        <w:rPr>
          <w:rFonts w:ascii="Arial" w:cs="Arial" w:eastAsia="Arial" w:hAnsi="Arial"/>
        </w:rPr>
        <w:t xml:space="preserve">Company Overview</w:t>
      </w:r>
    </w:p>
    <w:p>
      <w:pPr>
        <w:spacing w:after="120"/>
      </w:pPr>
      <w:r>
        <w:rPr>
          <w:rFonts w:ascii="Arial" w:cs="Arial" w:eastAsia="Arial" w:hAnsi="Arial"/>
          <w:b w:val="false"/>
          <w:bCs w:val="false"/>
          <w:i w:val="false"/>
          <w:iCs w:val="false"/>
          <w:color w:val="333333"/>
          <w:sz w:val="22"/>
          <w:szCs w:val="22"/>
        </w:rPr>
        <w:t xml:space="preserve">Paytm, operated by One97 Communications Ltd, is India’s leading digital payments and financial services ecosystem. The company offers mobile payments (UPI, wallet, cards), payment gateway services for online merchants, offline payment solutions (QR codes, soundbox devices, card machines), and distribution of financial services including lending, insurance, mutual funds, and equity broking. As of Q3 FY26, the company had 1.44 Cr merchant device subscriptions, 7.6 Cr monthly active users, and processed ₹6.2 lakh Cr in payments GMV in Q2 FY26.</w:t>
      </w:r>
    </w:p>
    <w:p>
      <w:pPr>
        <w:spacing w:after="120"/>
      </w:pPr>
      <w:r>
        <w:rPr>
          <w:rFonts w:ascii="Arial" w:cs="Arial" w:eastAsia="Arial" w:hAnsi="Arial"/>
          <w:b w:val="false"/>
          <w:bCs w:val="false"/>
          <w:i w:val="false"/>
          <w:iCs w:val="false"/>
          <w:color w:val="333333"/>
          <w:sz w:val="22"/>
          <w:szCs w:val="22"/>
        </w:rPr>
        <w:t xml:space="preserve">The company faced a major regulatory crisis in early 2024 when the RBI imposed restrictions on Paytm Payments Bank, forcing a restructuring of its banking and wallet operations. The business has since stabilized, securing all three critical payment licenses from the RBI (online payment aggregator, offline payment aggregator, and cross-border payments) and transitioning to a third-party banking model.</w:t>
      </w:r>
    </w:p>
    <w:p>
      <w:pPr>
        <w:spacing w:before="120" w:after="120"/>
      </w:pPr>
    </w:p>
    <w:p>
      <w:pPr>
        <w:pStyle w:val="Heading1"/>
      </w:pPr>
      <w:r>
        <w:rPr>
          <w:rFonts w:ascii="Arial" w:cs="Arial" w:eastAsia="Arial" w:hAnsi="Arial"/>
        </w:rPr>
        <w:t xml:space="preserve">Stage 0: Pre-Screen Gate</w:t>
      </w:r>
    </w:p>
    <w:p>
      <w:pPr>
        <w:spacing w:after="120"/>
      </w:pPr>
      <w:r>
        <w:rPr>
          <w:rFonts w:ascii="Arial" w:cs="Arial" w:eastAsia="Arial" w:hAnsi="Arial"/>
          <w:b w:val="false"/>
          <w:bCs w:val="false"/>
          <w:i/>
          <w:iCs/>
          <w:color w:val="666666"/>
          <w:sz w:val="22"/>
          <w:szCs w:val="22"/>
        </w:rPr>
        <w:t xml:space="preserve">The Pre-Screen Gate is designed to protect deep-dive analysis capacity. It uses five binary questions to determine whether a stock merits the 3–4 hour investment required for full 135-point scoring. Failing the gate means the stock is archived — not rejected permanently, but shelved until conditions change.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1000"/>
        <w:gridCol w:w="30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Answer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Evidence</w:t>
            </w:r>
          </w:p>
        </w:tc>
      </w:tr>
      <w:tr>
        <w:tc>
          <w:tcPr>
            <w:tcW w:type="dxa" w:w="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G1</w:t>
            </w:r>
          </w:p>
        </w:tc>
        <w:tc>
          <w:tcPr>
            <w:tcW w:type="dxa" w:w="47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CFO positive in at least 3 of the last 5 years?</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bCs/>
                <w:color w:val="B71C1C"/>
                <w:sz w:val="20"/>
                <w:szCs w:val="20"/>
              </w:rPr>
              <w:t xml:space="preserve">NO</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Positive in 2/5 years only: FY23 (₹416 Cr), FY24 (₹651 Cr). Negative in FY21 (-₹2,082), FY22 (-₹1,236), FY25 (-₹121).</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G2</w:t>
            </w:r>
          </w:p>
        </w:tc>
        <w:tc>
          <w:tcPr>
            <w:tcW w:type="dxa" w:w="4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promoter pledging below 25%?</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B5E20"/>
                <w:sz w:val="20"/>
                <w:szCs w:val="20"/>
              </w:rPr>
              <w:t xml:space="preserve">YES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No promoter group exists (professionally managed company). VJS at ~19.4% with no pledging. Not applicable.</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G3</w:t>
            </w:r>
          </w:p>
        </w:tc>
        <w:tc>
          <w:tcPr>
            <w:tcW w:type="dxa" w:w="4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there an identifiable earnings trigger with timeline &lt; 30 months?</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B5E20"/>
                <w:sz w:val="20"/>
                <w:szCs w:val="20"/>
              </w:rPr>
              <w:t xml:space="preserve">YES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Profitability inflection confirmed: 3 consecutive profitable quarters (Q1–Q3 FY26). EBITDA at 7% in Q3 FY26. Financial services revenue growing 34% YoY. Timeline: ongoing.</w:t>
            </w:r>
          </w:p>
        </w:tc>
      </w:tr>
      <w:tr>
        <w:tc>
          <w:tcPr>
            <w:tcW w:type="dxa" w:w="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G4</w:t>
            </w:r>
          </w:p>
        </w:tc>
        <w:tc>
          <w:tcPr>
            <w:tcW w:type="dxa" w:w="47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the stock in Stage 1 or Stage 2 (Weinstein) — NOT below a declining 30W MA?</w:t>
            </w:r>
          </w:p>
        </w:tc>
        <w:tc>
          <w:tcPr>
            <w:tcW w:type="dxa" w:w="1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bCs/>
                <w:color w:val="B71C1C"/>
                <w:sz w:val="20"/>
                <w:szCs w:val="20"/>
              </w:rPr>
              <w:t xml:space="preserve">NO</w:t>
            </w:r>
          </w:p>
        </w:tc>
        <w:tc>
          <w:tcPr>
            <w:tcW w:type="dxa" w:w="3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CMP ₹1,038–1,048 is ~9–10% below the 200 DMA (₹1,140–1,157) and ~12–14% below the 50 DMA (₹1,181–1,214). Stock is in confirmed downtrend from ₹1,381 high. Stage 3/4 territory.</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G5</w:t>
            </w:r>
          </w:p>
        </w:tc>
        <w:tc>
          <w:tcPr>
            <w:tcW w:type="dxa" w:w="4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Is revenue flat or growing (not declining) over the last 6 quarters?</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1B5E20"/>
                <w:sz w:val="20"/>
                <w:szCs w:val="20"/>
              </w:rPr>
              <w:t xml:space="preserve">YES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Sequential growth for 6 consecutive quarters: Q2 FY25 ₹1,659 → Q3 ₹1,828 → Q4 ₹1,912 → Q1 FY26 ₹1,918 → Q2 ₹2,061 → Q3 ₹2,194 Cr.</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jc w:val="center"/>
            </w:pPr>
            <w:r>
              <w:rPr>
                <w:rFonts w:ascii="Arial" w:cs="Arial" w:eastAsia="Arial" w:hAnsi="Arial"/>
                <w:b/>
                <w:bCs/>
                <w:color w:val="B71C1C"/>
                <w:sz w:val="26"/>
                <w:szCs w:val="26"/>
              </w:rPr>
              <w:t xml:space="preserve">GATE RESULT: 3/5  |  STATUS: ARCHIVE</w:t>
            </w:r>
          </w:p>
          <w:p>
            <w:pPr>
              <w:spacing w:before="60"/>
              <w:jc w:val="center"/>
            </w:pPr>
            <w:r>
              <w:rPr>
                <w:rFonts w:ascii="Arial" w:cs="Arial" w:eastAsia="Arial" w:hAnsi="Arial"/>
                <w:color w:val="666666"/>
                <w:sz w:val="20"/>
                <w:szCs w:val="20"/>
              </w:rPr>
              <w:t xml:space="preserve">Failed Questions: G1 (CFO history) and G4 (Technical stage). Rule: 3/5 or fewer = ARCHIVE. Do not proceed to full analysis.</w:t>
            </w:r>
          </w:p>
        </w:tc>
      </w:tr>
    </w:tbl>
    <w:p>
      <w:pPr>
        <w:spacing w:before="120" w:after="120"/>
      </w:pPr>
    </w:p>
    <w:p>
      <w:pPr>
        <w:pStyle w:val="Heading1"/>
      </w:pPr>
      <w:r>
        <w:rPr>
          <w:rFonts w:ascii="Arial" w:cs="Arial" w:eastAsia="Arial" w:hAnsi="Arial"/>
        </w:rPr>
        <w:t xml:space="preserve">Detailed Gate Failure Analysis</w:t>
      </w:r>
    </w:p>
    <w:p>
      <w:pPr>
        <w:pStyle w:val="Heading2"/>
      </w:pPr>
      <w:r>
        <w:rPr>
          <w:rFonts w:ascii="Arial" w:cs="Arial" w:eastAsia="Arial" w:hAnsi="Arial"/>
        </w:rPr>
        <w:t xml:space="preserve">G1 Failure: Cash Flow from Operations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FY21</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FY22</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FY23</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FY24</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FY25</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B71C1C"/>
                <w:sz w:val="20"/>
                <w:szCs w:val="20"/>
              </w:rPr>
              <w:t xml:space="preserve">-₹2,082 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B71C1C"/>
                <w:sz w:val="20"/>
                <w:szCs w:val="20"/>
              </w:rPr>
              <w:t xml:space="preserve">-₹1,236 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5E20"/>
                <w:sz w:val="20"/>
                <w:szCs w:val="20"/>
              </w:rPr>
              <w:t xml:space="preserve">+₹416 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5E20"/>
                <w:sz w:val="20"/>
                <w:szCs w:val="20"/>
              </w:rPr>
              <w:t xml:space="preserve">+₹651 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B71C1C"/>
                <w:sz w:val="20"/>
                <w:szCs w:val="20"/>
              </w:rPr>
              <w:t xml:space="preserve">-₹121 Cr</w:t>
            </w:r>
          </w:p>
        </w:tc>
      </w:tr>
    </w:tbl>
    <w:p>
      <w:pPr>
        <w:spacing w:after="120"/>
      </w:pPr>
      <w:r>
        <w:rPr>
          <w:rFonts w:ascii="Arial" w:cs="Arial" w:eastAsia="Arial" w:hAnsi="Arial"/>
          <w:b w:val="false"/>
          <w:bCs w:val="false"/>
          <w:i w:val="false"/>
          <w:iCs w:val="false"/>
          <w:color w:val="333333"/>
          <w:sz w:val="22"/>
          <w:szCs w:val="22"/>
        </w:rPr>
        <w:t xml:space="preserve">Paytm generated positive CFO in only 2 of the last 5 fiscal years. The gate requires at least 3. The company was a chronic cash burner from FY18–FY22 as it scaled its digital payments ecosystem at the cost of profitability. CFO turned positive for the first time in FY23, improved in FY24, but slipped back to negative in FY25 due to the RBI crisis on Paytm Payments Bank (revenue dropped from ₹9,978 Cr to ₹6,900 Cr).</w:t>
      </w:r>
    </w:p>
    <w:p>
      <w:pPr>
        <w:spacing w:after="120"/>
      </w:pPr>
      <w:r>
        <w:rPr>
          <w:rFonts w:ascii="Arial" w:cs="Arial" w:eastAsia="Arial" w:hAnsi="Arial"/>
          <w:b w:val="false"/>
          <w:bCs w:val="false"/>
          <w:i/>
          <w:iCs/>
          <w:color w:val="666666"/>
          <w:sz w:val="22"/>
          <w:szCs w:val="22"/>
        </w:rPr>
        <w:t xml:space="preserve">Mitigating factor: With EBITDA turning positive at 7% in Q3 FY26 and three consecutive profitable quarters, FY26 CFO may turn positive. However, this is prospective and cannot be used to pass the gate, which relies on audited historical data.</w:t>
      </w:r>
    </w:p>
    <w:p>
      <w:pPr>
        <w:spacing w:before="120" w:after="120"/>
      </w:pPr>
    </w:p>
    <w:p>
      <w:pPr>
        <w:pStyle w:val="Heading2"/>
      </w:pPr>
      <w:r>
        <w:rPr>
          <w:rFonts w:ascii="Arial" w:cs="Arial" w:eastAsia="Arial" w:hAnsi="Arial"/>
        </w:rPr>
        <w:t xml:space="preserve">G4 Failure: Technical Stage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Indicator</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CMP (Mar 7, 2026)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₹1,038 – 1,048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Near 52-week low</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50 DMA</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₹1,181 – 1,214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CMP ~12–14% below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200 DMA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₹1,140 – 1,157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CMP ~9–10% below</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52-Week High</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₹1,381.80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CMP ~24–25% off high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52-Week 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₹651.50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CMP ~59% above low</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Weinstein Stage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Stage 3 / Early Stage 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Below declining 30W &amp; 200 DMA</w:t>
            </w:r>
          </w:p>
        </w:tc>
      </w:tr>
    </w:tbl>
    <w:p>
      <w:pPr>
        <w:spacing w:after="120"/>
      </w:pPr>
      <w:r>
        <w:rPr>
          <w:rFonts w:ascii="Arial" w:cs="Arial" w:eastAsia="Arial" w:hAnsi="Arial"/>
          <w:b w:val="false"/>
          <w:bCs w:val="false"/>
          <w:i w:val="false"/>
          <w:iCs w:val="false"/>
          <w:color w:val="333333"/>
          <w:sz w:val="22"/>
          <w:szCs w:val="22"/>
        </w:rPr>
        <w:t xml:space="preserve">The stock rallied from ₹651 to ₹1,381 (a 112% move) between April and December 2025, representing a clear Stage 2 advance driven by the profitability inflection narrative. Since the December high, the stock has corrected ~25% and is now trading below all key moving averages. The 50 DMA is declining, and the 200 DMA appears to be flattening or starting to turn down. This is characteristic of Weinstein Stage 3 (distribution) transitioning to Stage 4 (decline).</w:t>
      </w:r>
    </w:p>
    <w:p>
      <w:pPr>
        <w:spacing w:after="120"/>
      </w:pPr>
      <w:r>
        <w:rPr>
          <w:rFonts w:ascii="Arial" w:cs="Arial" w:eastAsia="Arial" w:hAnsi="Arial"/>
          <w:b w:val="false"/>
          <w:bCs w:val="false"/>
          <w:i/>
          <w:iCs/>
          <w:color w:val="666666"/>
          <w:sz w:val="22"/>
          <w:szCs w:val="22"/>
        </w:rPr>
        <w:t xml:space="preserve">The framework requires the stock to be in Stage 1 (accumulation) or Stage 2 (advancing) to pass G4. Stage 3/4 positions carry adverse risk/reward for new entries.</w:t>
      </w:r>
    </w:p>
    <w:p>
      <w:pPr>
        <w:spacing w:before="120" w:after="120"/>
      </w:pPr>
    </w:p>
    <w:p>
      <w:pPr>
        <w:pStyle w:val="Heading1"/>
      </w:pPr>
      <w:r>
        <w:rPr>
          <w:rFonts w:ascii="Arial" w:cs="Arial" w:eastAsia="Arial" w:hAnsi="Arial"/>
        </w:rPr>
        <w:t xml:space="preserve">Key Financials Snapshot (For Reference)</w:t>
      </w:r>
    </w:p>
    <w:p>
      <w:pPr>
        <w:spacing w:after="120"/>
      </w:pPr>
      <w:r>
        <w:rPr>
          <w:rFonts w:ascii="Arial" w:cs="Arial" w:eastAsia="Arial" w:hAnsi="Arial"/>
          <w:b w:val="false"/>
          <w:bCs w:val="false"/>
          <w:i/>
          <w:iCs/>
          <w:color w:val="666666"/>
          <w:sz w:val="22"/>
          <w:szCs w:val="22"/>
        </w:rPr>
        <w:t xml:space="preserve">Although the gate has been failed and full scoring is not conducted, the following data is provided for context and to aid future re-evaluation.</w:t>
      </w:r>
    </w:p>
    <w:p>
      <w:pPr>
        <w:pStyle w:val="Heading2"/>
      </w:pPr>
      <w:r>
        <w:rPr>
          <w:rFonts w:ascii="Arial" w:cs="Arial" w:eastAsia="Arial" w:hAnsi="Arial"/>
        </w:rPr>
        <w:t xml:space="preserve">Quarterly Revenue &amp; Profitability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Quarter</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Revenue (₹Cr)</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YoY %</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EBITDA (₹Cr)</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OPM %</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 (₹Cr)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Q2 FY25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1,659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-404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-24%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930*</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Q3 FY25</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1,828</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-223</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-12%</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-208</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Q4 FY25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-89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-545*</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Q1 FY26</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1,918</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72</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4%</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123</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Q2 FY26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141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Q3 FY26</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2,194</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156</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7%</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225</w:t>
            </w:r>
          </w:p>
        </w:tc>
      </w:tr>
    </w:tbl>
    <w:p>
      <w:pPr>
        <w:spacing w:after="60"/>
      </w:pPr>
      <w:r>
        <w:rPr>
          <w:rFonts w:ascii="Arial" w:cs="Arial" w:eastAsia="Arial" w:hAnsi="Arial"/>
          <w:b w:val="false"/>
          <w:bCs w:val="false"/>
          <w:i/>
          <w:iCs/>
          <w:color w:val="888888"/>
          <w:sz w:val="22"/>
          <w:szCs w:val="22"/>
        </w:rPr>
        <w:t xml:space="preserve">*Q2 FY25 PAT includes one-time gain from Paytm Payments Bank sale. Q4 FY25 PAT includes ₹522 Cr exceptional ESOP acceleration charge. Q2 FY26 PAT impacted by ₹190 Cr impairment on First Games JV.</w:t>
      </w:r>
    </w:p>
    <w:p>
      <w:pPr>
        <w:spacing w:before="120" w:after="120"/>
      </w:pPr>
    </w:p>
    <w:p>
      <w:pPr>
        <w:pStyle w:val="Heading2"/>
      </w:pPr>
      <w:r>
        <w:rPr>
          <w:rFonts w:ascii="Arial" w:cs="Arial" w:eastAsia="Arial" w:hAnsi="Arial"/>
        </w:rPr>
        <w:t xml:space="preserve">Annual P&amp;L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FY22</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FY23</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FY24</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FY25</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Revenue (₹Cr)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4,974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7,990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9,978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6,900</w:t>
            </w:r>
          </w:p>
        </w:tc>
      </w:tr>
      <w:tr>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Op. Loss (₹Cr)</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-2,384</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-1,644</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-943</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-1,506</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PAT (₹Cr)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-2,396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-1,776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-1,422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-663</w:t>
            </w:r>
          </w:p>
        </w:tc>
      </w:tr>
      <w:tr>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CFO (₹Cr)</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-1,236</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416</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651</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-121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ROCE %</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-22%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-10%</w:t>
            </w:r>
          </w:p>
        </w:tc>
      </w:tr>
    </w:tbl>
    <w:p>
      <w:pPr>
        <w:spacing w:before="120" w:after="120"/>
      </w:pPr>
    </w:p>
    <w:p>
      <w:pPr>
        <w:pStyle w:val="Heading2"/>
      </w:pPr>
      <w:r>
        <w:rPr>
          <w:rFonts w:ascii="Arial" w:cs="Arial" w:eastAsia="Arial" w:hAnsi="Arial"/>
        </w:rPr>
        <w:t xml:space="preserve">Balance Sheet Highlights (Sep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Equity + Reserves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₹15,340 Cr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Borrowings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₹160 Cr (almost debt-free)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Cash Balance (Dec 2025)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₹12,882 Cr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Total Assets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₹22,537 Cr</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Book Value / Share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w:t>
            </w:r>
          </w:p>
        </w:tc>
      </w:tr>
    </w:tbl>
    <w:p>
      <w:pPr>
        <w:spacing w:before="120" w:after="120"/>
      </w:pPr>
    </w:p>
    <w:p>
      <w:pPr>
        <w:pStyle w:val="Heading2"/>
      </w:pPr>
      <w:r>
        <w:rPr>
          <w:rFonts w:ascii="Arial" w:cs="Arial" w:eastAsia="Arial" w:hAnsi="Arial"/>
        </w:rPr>
        <w:t xml:space="preserve">Shareholding Pattern (Dec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Holding %</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Trend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FIIs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51.75%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B71C1C"/>
                <w:sz w:val="20"/>
                <w:szCs w:val="20"/>
              </w:rPr>
              <w:t xml:space="preserve">Declining (from 72% in Mar 2023)</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DIIs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20.32%</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1B5E20"/>
                <w:sz w:val="20"/>
                <w:szCs w:val="20"/>
              </w:rPr>
              <w:t xml:space="preserve">Rising steadily (from 3% in Mar 2023)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Public / Others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27.91%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Stable</w:t>
            </w:r>
          </w:p>
        </w:tc>
      </w:tr>
    </w:tbl>
    <w:p>
      <w:pPr>
        <w:spacing w:after="120"/>
      </w:pPr>
      <w:r>
        <w:rPr>
          <w:rFonts w:ascii="Arial" w:cs="Arial" w:eastAsia="Arial" w:hAnsi="Arial"/>
          <w:b w:val="false"/>
          <w:bCs w:val="false"/>
          <w:i w:val="false"/>
          <w:iCs w:val="false"/>
          <w:color w:val="333333"/>
          <w:sz w:val="22"/>
          <w:szCs w:val="22"/>
        </w:rPr>
        <w:t xml:space="preserve">Notable: FII selling has been significant and sustained (Elevation Capital, BNP Paribas, Integrated Core Strategies all sold large stakes in Q3 FY26). DII buying (mutual funds) has been the offsetting force, rising from 3% to 20% in less than 3 years.</w:t>
      </w:r>
    </w:p>
    <w:p>
      <w:pPr>
        <w:spacing w:before="120" w:after="120"/>
      </w:pPr>
    </w:p>
    <w:p>
      <w:r>
        <w:br w:type="page"/>
      </w:r>
    </w:p>
    <w:p>
      <w:pPr>
        <w:pStyle w:val="Heading1"/>
      </w:pPr>
      <w:r>
        <w:rPr>
          <w:rFonts w:ascii="Arial" w:cs="Arial" w:eastAsia="Arial" w:hAnsi="Arial"/>
        </w:rPr>
        <w:t xml:space="preserve">Re-Entry Conditions: What Would Need to Change</w:t>
      </w:r>
    </w:p>
    <w:p>
      <w:pPr>
        <w:spacing w:after="120"/>
      </w:pPr>
      <w:r>
        <w:rPr>
          <w:rFonts w:ascii="Arial" w:cs="Arial" w:eastAsia="Arial" w:hAnsi="Arial"/>
          <w:b w:val="false"/>
          <w:bCs w:val="false"/>
          <w:i w:val="false"/>
          <w:iCs w:val="false"/>
          <w:color w:val="333333"/>
          <w:sz w:val="22"/>
          <w:szCs w:val="22"/>
        </w:rPr>
        <w:t xml:space="preserve">The following conditions must be met for Paytm to clear the Pre-Screen Gate and merit a full 135-point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Failed Gate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Re-Entry Condition</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Earliest Check 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CFO positive in 3 of last 5 years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FY26 annual results show positive CFO. This would give 3/5 years (FY23, FY24, FY26) of positive CFO, clearing the gate.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May–June 2026 (FY26 annual results)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G4</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Weinstein Stage 1 or 2</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Stock must reclaim and close above a rising 30W MA (~₹1,100–1,150 zone) with sustained volume. Ideally forming a Stage 1 base above ₹950–1,000 support.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Ongoing — monitor weekly chart for base formation</w:t>
            </w:r>
          </w:p>
        </w:tc>
      </w:tr>
    </w:tbl>
    <w:p>
      <w:pPr>
        <w:spacing w:before="120" w:after="120"/>
      </w:pPr>
    </w:p>
    <w:p>
      <w:pPr>
        <w:spacing w:after="120"/>
      </w:pPr>
      <w:r>
        <w:rPr>
          <w:rFonts w:ascii="Arial" w:cs="Arial" w:eastAsia="Arial" w:hAnsi="Arial"/>
          <w:b w:val="false"/>
          <w:bCs w:val="false"/>
          <w:i w:val="false"/>
          <w:iCs w:val="false"/>
          <w:color w:val="333333"/>
          <w:sz w:val="22"/>
          <w:szCs w:val="22"/>
        </w:rPr>
        <w:t xml:space="preserve">Ideal re-entry scenario: FY26 annual results (May–June 2026) confirm positive CFO AND the stock has by then formed a Stage 1 base above the 30W MA. Both conditions must be met simultaneously for gate clearance.</w:t>
      </w:r>
    </w:p>
    <w:p>
      <w:pPr>
        <w:spacing w:before="120" w:after="120"/>
      </w:pPr>
    </w:p>
    <w:p>
      <w:pPr>
        <w:pStyle w:val="Heading1"/>
      </w:pPr>
      <w:r>
        <w:rPr>
          <w:rFonts w:ascii="Arial" w:cs="Arial" w:eastAsia="Arial" w:hAnsi="Arial"/>
        </w:rPr>
        <w:t xml:space="preserve">Qualitative Assessment (Pre-Gate Notes)</w:t>
      </w:r>
    </w:p>
    <w:p>
      <w:pPr>
        <w:spacing w:after="120"/>
      </w:pPr>
      <w:r>
        <w:rPr>
          <w:rFonts w:ascii="Arial" w:cs="Arial" w:eastAsia="Arial" w:hAnsi="Arial"/>
          <w:b w:val="false"/>
          <w:bCs w:val="false"/>
          <w:i w:val="false"/>
          <w:iCs w:val="false"/>
          <w:color w:val="333333"/>
          <w:sz w:val="22"/>
          <w:szCs w:val="22"/>
        </w:rPr>
        <w:t xml:space="preserve">While the gate prevents full scoring, the following observations are noted for future reference:</w:t>
      </w:r>
    </w:p>
    <w:p>
      <w:pPr>
        <w:pStyle w:val="Heading2"/>
      </w:pPr>
      <w:r>
        <w:rPr>
          <w:rFonts w:ascii="Arial" w:cs="Arial" w:eastAsia="Arial" w:hAnsi="Arial"/>
        </w:rPr>
        <w:t xml:space="preserve">Strengths Worth Monitoring</w:t>
      </w:r>
    </w:p>
    <w:p>
      <w:pPr>
        <w:pStyle w:val="ListParagraph"/>
        <w:numPr>
          <w:ilvl w:val="0"/>
          <w:numId w:val="2"/>
        </w:numPr>
      </w:pPr>
      <w:r>
        <w:rPr>
          <w:rFonts w:ascii="Arial" w:cs="Arial" w:eastAsia="Arial" w:hAnsi="Arial"/>
          <w:sz w:val="22"/>
          <w:szCs w:val="22"/>
        </w:rPr>
        <w:t xml:space="preserve">Profitability inflection is real: Three consecutive profitable quarters (Q1–Q3 FY26) with EBITDA margins improving from 4% to 7%. This is the first sustained profitability in company history.</w:t>
      </w:r>
    </w:p>
    <w:p>
      <w:pPr>
        <w:pStyle w:val="ListParagraph"/>
        <w:numPr>
          <w:ilvl w:val="0"/>
          <w:numId w:val="2"/>
        </w:numPr>
      </w:pPr>
      <w:r>
        <w:rPr>
          <w:rFonts w:ascii="Arial" w:cs="Arial" w:eastAsia="Arial" w:hAnsi="Arial"/>
          <w:sz w:val="22"/>
          <w:szCs w:val="22"/>
        </w:rPr>
        <w:t xml:space="preserve">Financial services distribution is scaling: Revenue grew 34% YoY in Q3 FY26 to ₹672 Cr, driven by merchant lending and wealth products. Contribution profit at 57% margin.</w:t>
      </w:r>
    </w:p>
    <w:p>
      <w:pPr>
        <w:pStyle w:val="ListParagraph"/>
        <w:numPr>
          <w:ilvl w:val="0"/>
          <w:numId w:val="2"/>
        </w:numPr>
      </w:pPr>
      <w:r>
        <w:rPr>
          <w:rFonts w:ascii="Arial" w:cs="Arial" w:eastAsia="Arial" w:hAnsi="Arial"/>
          <w:sz w:val="22"/>
          <w:szCs w:val="22"/>
        </w:rPr>
        <w:t xml:space="preserve">Regulatory clearances secured: All three critical RBI payment licenses obtained (online PA, offline PA, cross-border). This removes the largest overhang from the 2024 crisis.</w:t>
      </w:r>
    </w:p>
    <w:p>
      <w:pPr>
        <w:pStyle w:val="ListParagraph"/>
        <w:numPr>
          <w:ilvl w:val="0"/>
          <w:numId w:val="2"/>
        </w:numPr>
      </w:pPr>
      <w:r>
        <w:rPr>
          <w:rFonts w:ascii="Arial" w:cs="Arial" w:eastAsia="Arial" w:hAnsi="Arial"/>
          <w:sz w:val="22"/>
          <w:szCs w:val="22"/>
        </w:rPr>
        <w:t xml:space="preserve">Fortress balance sheet: ₹12,882 Cr cash with only ₹160 Cr debt. Near-zero leverage provides substantial runway for investment and competitive resilience.</w:t>
      </w:r>
    </w:p>
    <w:p>
      <w:pPr>
        <w:pStyle w:val="ListParagraph"/>
        <w:numPr>
          <w:ilvl w:val="0"/>
          <w:numId w:val="2"/>
        </w:numPr>
      </w:pPr>
      <w:r>
        <w:rPr>
          <w:rFonts w:ascii="Arial" w:cs="Arial" w:eastAsia="Arial" w:hAnsi="Arial"/>
          <w:sz w:val="22"/>
          <w:szCs w:val="22"/>
        </w:rPr>
        <w:t xml:space="preserve">DII accumulation: Domestic institutional ownership has risen from 3% to 20% in under 3 years, signaling institutional conviction in the turnaround.</w:t>
      </w:r>
    </w:p>
    <w:p>
      <w:pPr>
        <w:pStyle w:val="Heading2"/>
      </w:pPr>
      <w:r>
        <w:rPr>
          <w:rFonts w:ascii="Arial" w:cs="Arial" w:eastAsia="Arial" w:hAnsi="Arial"/>
        </w:rPr>
        <w:t xml:space="preserve">Risks That Would Impact Full Analysis</w:t>
      </w:r>
    </w:p>
    <w:p>
      <w:pPr>
        <w:pStyle w:val="ListParagraph"/>
        <w:numPr>
          <w:ilvl w:val="0"/>
          <w:numId w:val="2"/>
        </w:numPr>
      </w:pPr>
      <w:r>
        <w:rPr>
          <w:rFonts w:ascii="Arial" w:cs="Arial" w:eastAsia="Arial" w:hAnsi="Arial"/>
          <w:sz w:val="22"/>
          <w:szCs w:val="22"/>
        </w:rPr>
        <w:t xml:space="preserve">Profitability sustainability is unproven: Three quarters is not a trend. EBITDA margin at 7% remains thin. Management flagged that other income will decline from Q4 FY26 due to lower yields on maturing investments and growing MTF book.</w:t>
      </w:r>
    </w:p>
    <w:p>
      <w:pPr>
        <w:pStyle w:val="ListParagraph"/>
        <w:numPr>
          <w:ilvl w:val="0"/>
          <w:numId w:val="2"/>
        </w:numPr>
      </w:pPr>
      <w:r>
        <w:rPr>
          <w:rFonts w:ascii="Arial" w:cs="Arial" w:eastAsia="Arial" w:hAnsi="Arial"/>
          <w:sz w:val="22"/>
          <w:szCs w:val="22"/>
        </w:rPr>
        <w:t xml:space="preserve">FII selling is persistent: Foreign institutional holders have been reducing stakes consistently from 72% to 52%. Elevation Capital, BNP Paribas, and Integrated Core Strategies sold large blocks in Q3 FY26.</w:t>
      </w:r>
    </w:p>
    <w:p>
      <w:pPr>
        <w:pStyle w:val="ListParagraph"/>
        <w:numPr>
          <w:ilvl w:val="0"/>
          <w:numId w:val="2"/>
        </w:numPr>
      </w:pPr>
      <w:r>
        <w:rPr>
          <w:rFonts w:ascii="Arial" w:cs="Arial" w:eastAsia="Arial" w:hAnsi="Arial"/>
          <w:sz w:val="22"/>
          <w:szCs w:val="22"/>
        </w:rPr>
        <w:t xml:space="preserve">Competitive intensity from PhonePe: PhonePe’s financial services revenue share has risen from 4% in FY24 to 13% in H1 FY26, directly pressuring Paytm’s margins in a segment that accounts for roughly one-third of revenue.</w:t>
      </w:r>
    </w:p>
    <w:p>
      <w:pPr>
        <w:pStyle w:val="ListParagraph"/>
        <w:numPr>
          <w:ilvl w:val="0"/>
          <w:numId w:val="2"/>
        </w:numPr>
      </w:pPr>
      <w:r>
        <w:rPr>
          <w:rFonts w:ascii="Arial" w:cs="Arial" w:eastAsia="Arial" w:hAnsi="Arial"/>
          <w:sz w:val="22"/>
          <w:szCs w:val="22"/>
        </w:rPr>
        <w:t xml:space="preserve">PIDF incentive uncertainty: The Payment Infrastructure Development Fund scheme expired Dec 2025. Paytm received ₹128 Cr in H1 FY26 from this scheme. Loss of this incentive will pressure contribution margins (management guided mid-50s% vs current 57%).</w:t>
      </w:r>
    </w:p>
    <w:p>
      <w:pPr>
        <w:pStyle w:val="ListParagraph"/>
        <w:numPr>
          <w:ilvl w:val="0"/>
          <w:numId w:val="2"/>
        </w:numPr>
      </w:pPr>
      <w:r>
        <w:rPr>
          <w:rFonts w:ascii="Arial" w:cs="Arial" w:eastAsia="Arial" w:hAnsi="Arial"/>
          <w:sz w:val="22"/>
          <w:szCs w:val="22"/>
        </w:rPr>
        <w:t xml:space="preserve">Tax impact from FY27: Starting FY27, income tax will apply to other income (interest income), which has been a meaningful profitability contributor. Operating profits will still be offset by carry-forward losses.</w:t>
      </w:r>
    </w:p>
    <w:p>
      <w:pPr>
        <w:spacing w:before="120" w:after="120"/>
      </w:pPr>
    </w:p>
    <w:p>
      <w:pPr>
        <w:pStyle w:val="Heading1"/>
      </w:pPr>
      <w:r>
        <w:rPr>
          <w:rFonts w:ascii="Arial" w:cs="Arial" w:eastAsia="Arial" w:hAnsi="Arial"/>
        </w:rPr>
        <w:t xml:space="preserve">Portfolio Tracker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2660"/>
      </w:tblGrid>
      <w:tr>
        <w:tc>
          <w:tcPr>
            <w:tcW w:type="dxa" w:w="1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Stock</w:t>
            </w:r>
          </w:p>
        </w:tc>
        <w:tc>
          <w:tcPr>
            <w:tcW w:type="dxa" w:w="1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Verdict</w:t>
            </w:r>
          </w:p>
        </w:tc>
        <w:tc>
          <w:tcPr>
            <w:tcW w:type="dxa" w:w="1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Entry Zone</w:t>
            </w:r>
          </w:p>
        </w:tc>
        <w:tc>
          <w:tcPr>
            <w:tcW w:type="dxa" w:w="1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Stop Loss</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Next Action</w:t>
            </w:r>
          </w:p>
        </w:tc>
      </w:tr>
      <w:tr>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Paytm (PAYTM)</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B71C1C"/>
                <w:sz w:val="20"/>
                <w:szCs w:val="20"/>
              </w:rPr>
              <w:t xml:space="preserve">ARCHIVED</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Gate: 3/5</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1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Re-check after FY26 annual results (May–Jun 2026) + stock above rising 30W MA</w:t>
            </w:r>
          </w:p>
        </w:tc>
      </w:tr>
    </w:tbl>
    <w:p>
      <w:pPr>
        <w:spacing w:before="120" w:after="120"/>
      </w:pPr>
    </w:p>
    <w:p>
      <w:pPr>
        <w:pStyle w:val="Heading2"/>
      </w:pPr>
      <w:r>
        <w:rPr>
          <w:rFonts w:ascii="Arial" w:cs="Arial" w:eastAsia="Arial" w:hAnsi="Arial"/>
        </w:rPr>
        <w:t xml:space="preserve">Data Sources</w:t>
      </w:r>
    </w:p>
    <w:p>
      <w:pPr>
        <w:spacing w:after="120"/>
      </w:pPr>
      <w:r>
        <w:rPr>
          <w:rFonts w:ascii="Arial" w:cs="Arial" w:eastAsia="Arial" w:hAnsi="Arial"/>
          <w:b w:val="false"/>
          <w:bCs w:val="false"/>
          <w:i w:val="false"/>
          <w:iCs w:val="false"/>
          <w:color w:val="333333"/>
          <w:sz w:val="22"/>
          <w:szCs w:val="22"/>
        </w:rPr>
        <w:t xml:space="preserve">Screener.in (consolidated financials, ratios, shareholding), BSE filings (corporate announcements, shareholding patterns), Paytm IR page (earnings releases, presentations, transcripts), NSE price data (via 5paisa, Dhan, Upstox), TradingView (technical analysis community notes), Company blog (Q3 FY26 results announcement).</w:t>
      </w:r>
    </w:p>
    <w:p>
      <w:pPr>
        <w:spacing w:before="120" w:after="120"/>
      </w:pPr>
    </w:p>
    <w:p>
      <w:pPr>
        <w:pBdr>
          <w:top w:val="single" w:color="CCCCCC" w:sz="2" w:space="8"/>
        </w:pBdr>
        <w:spacing w:before="200"/>
        <w:jc w:val="center"/>
      </w:pPr>
      <w:r>
        <w:rPr>
          <w:rFonts w:ascii="Arial" w:cs="Arial" w:eastAsia="Arial" w:hAnsi="Arial"/>
          <w:i/>
          <w:iCs/>
          <w:color w:val="999999"/>
          <w:sz w:val="16"/>
          <w:szCs w:val="16"/>
        </w:rPr>
        <w:t xml:space="preserve">End of Analysis  |  Framework v3.0  |  India Equities (BSE/NSE)  |  Personal Use Only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4"/>
        <w:szCs w:val="14"/>
      </w:rPr>
      <w:t xml:space="preserve">Paytm (One97 Communications) | Pre-Screen Gate Analysis | March 7, 2026 | Personal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color w:val="888888"/>
        <w:sz w:val="16"/>
        <w:szCs w:val="16"/>
      </w:rPr>
      <w:t xml:space="preserve">INSTITUTIONAL EQUITY RESEARCH  |  </w:t>
    </w:r>
    <w:r>
      <w:rPr>
        <w:rFonts w:ascii="Arial" w:cs="Arial" w:eastAsia="Arial" w:hAnsi="Arial"/>
        <w:b/>
        <w:bCs/>
        <w:color w:val="1B3A5C"/>
        <w:sz w:val="16"/>
        <w:szCs w:val="16"/>
      </w:rPr>
      <w:t xml:space="preserve">135-POINT FRAMEWORK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2026-03-07T07:36:37.877Z</dcterms:created>
  <dcterms:modified xsi:type="dcterms:W3CDTF">2026-03-07T07:36:37.878Z</dcterms:modified>
</cp:coreProperties>
</file>

<file path=docProps/custom.xml><?xml version="1.0" encoding="utf-8"?>
<Properties xmlns="http://schemas.openxmlformats.org/officeDocument/2006/custom-properties" xmlns:vt="http://schemas.openxmlformats.org/officeDocument/2006/docPropsVTypes"/>
</file>