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36"/>
          <w:szCs w:val="36"/>
        </w:rPr>
        <w:t xml:space="preserve">EQUITY RESEARCH REPORT</w:t>
      </w:r>
    </w:p>
    <w:p>
      <w:pPr>
        <w:pBdr>
          <w:bottom w:val="single" w:color="1B3A5C" w:sz="3" w:space="8"/>
        </w:pBdr>
        <w:spacing w:after="40"/>
        <w:jc w:val="center"/>
      </w:pPr>
      <w:r>
        <w:rPr>
          <w:rFonts w:ascii="Arial" w:cs="Arial" w:eastAsia="Arial" w:hAnsi="Arial"/>
          <w:b/>
          <w:bCs/>
          <w:color w:val="1B3A5C"/>
          <w:sz w:val="44"/>
          <w:szCs w:val="44"/>
        </w:rPr>
        <w:t xml:space="preserve">AARTI PHARMALABS LIMITED</w:t>
      </w:r>
    </w:p>
    <w:p>
      <w:pPr>
        <w:spacing w:after="200"/>
        <w:jc w:val="center"/>
      </w:pPr>
      <w:r>
        <w:rPr>
          <w:rFonts w:ascii="Arial" w:cs="Arial" w:eastAsia="Arial" w:hAnsi="Arial"/>
          <w:color w:val="555555"/>
          <w:sz w:val="18"/>
          <w:szCs w:val="18"/>
        </w:rPr>
        <w:t xml:space="preserve">NSE: AARTIPHARM | BSE: 543748 | Sector: Pharmaceuticals (API / CDMO / Xanthine)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0000" w:sz="3"/>
              <w:left w:val="single" w:color="CC0000" w:sz="3"/>
              <w:bottom w:val="single" w:color="CC0000" w:sz="3"/>
              <w:right w:val="single" w:color="CC0000" w:sz="3"/>
            </w:tcBorders>
            <w:shd w:fill="FFF5F5" w:val="clear"/>
            <w:tcMar>
              <w:top w:type="dxa" w:w="120"/>
              <w:left w:type="dxa" w:w="200"/>
              <w:bottom w:type="dxa" w:w="120"/>
              <w:right w:type="dxa" w:w="200"/>
            </w:tcMar>
          </w:tcPr>
          <w:p>
            <w:pPr>
              <w:spacing w:after="60"/>
              <w:jc w:val="center"/>
            </w:pPr>
            <w:r>
              <w:rPr>
                <w:rFonts w:ascii="Arial" w:cs="Arial" w:eastAsia="Arial" w:hAnsi="Arial"/>
                <w:b/>
                <w:bCs/>
                <w:color w:val="CC0000"/>
                <w:sz w:val="36"/>
                <w:szCs w:val="36"/>
              </w:rPr>
              <w:t xml:space="preserve">VERDICT: ARCHIVE</w:t>
            </w:r>
          </w:p>
          <w:p>
            <w:pPr>
              <w:spacing w:after="40"/>
              <w:jc w:val="center"/>
            </w:pPr>
            <w:r>
              <w:rPr>
                <w:rFonts w:ascii="Arial" w:cs="Arial" w:eastAsia="Arial" w:hAnsi="Arial"/>
                <w:color w:val="CC0000"/>
                <w:sz w:val="20"/>
                <w:szCs w:val="20"/>
              </w:rPr>
              <w:t xml:space="preserve">Pre-Screen Gate Failure: 3/5 (Minimum 4/5 required to proceed)</w:t>
            </w:r>
          </w:p>
          <w:p>
            <w:pPr>
              <w:jc w:val="center"/>
            </w:pPr>
            <w:r>
              <w:rPr>
                <w:rFonts w:ascii="Arial" w:cs="Arial" w:eastAsia="Arial" w:hAnsi="Arial"/>
                <w:color w:val="666666"/>
                <w:sz w:val="18"/>
                <w:szCs w:val="18"/>
              </w:rPr>
              <w:t xml:space="preserve">Failed: G4 (Technical Stage) + G5 (Revenue Declining)</w:t>
            </w:r>
          </w:p>
        </w:tc>
      </w:tr>
    </w:tbl>
    <w:p>
      <w:pPr>
        <w:spacing w:after="80" w:before="0"/>
      </w:pPr>
      <w:r>
        <w:rPr>
          <w:rFonts w:ascii="Arial" w:cs="Arial" w:eastAsia="Arial" w:hAnsi="Arial"/>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400"/>
        <w:gridCol w:w="2520"/>
      </w:tblGrid>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CMP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~725 (as of 07 Mar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Market Cap</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~6,555 Cr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52W High / Low</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971 / 550</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P/E (TTM)</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~27-31x</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Promoter Holding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43.10% (Dec 2025)</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Analysis Mode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FRESH ANALYSIS</w:t>
            </w:r>
          </w:p>
        </w:tc>
      </w:tr>
    </w:tbl>
    <w:p>
      <w:pPr>
        <w:pStyle w:val="Heading1"/>
      </w:pPr>
      <w:r>
        <w:rPr>
          <w:rFonts w:ascii="Arial" w:cs="Arial" w:eastAsia="Arial" w:hAnsi="Arial"/>
        </w:rPr>
        <w:t xml:space="preserve">1. Executive Summary</w:t>
      </w:r>
    </w:p>
    <w:p>
      <w:pPr>
        <w:spacing w:after="120" w:before="0"/>
      </w:pPr>
      <w:r>
        <w:rPr>
          <w:rFonts w:ascii="Arial" w:cs="Arial" w:eastAsia="Arial" w:hAnsi="Arial"/>
          <w:sz w:val="20"/>
          <w:szCs w:val="20"/>
        </w:rPr>
        <w:t xml:space="preserve">Aarti Pharmalabs Limited (APL), demerged from Aarti Industries in October 2022 and listed in January 2023, is an established manufacturer of generic APIs, pharmaceutical intermediates, and Xanthine derivatives (caffeine, theophylline), with a growing CDMO/CMO business. The company holds approximately 15-20% global Xanthine market share and operates 7 manufacturing units (3 USFDA-approved) with 3 R&amp;D centres. Revenue grew from 1,200 Cr in FY22 to 2,115 Cr in FY25, with EBITDA margins expanding from 17% to 22%.</w:t>
      </w:r>
    </w:p>
    <w:p>
      <w:pPr>
        <w:spacing w:after="120" w:before="0"/>
      </w:pPr>
      <w:r>
        <w:rPr>
          <w:rFonts w:ascii="Arial" w:cs="Arial" w:eastAsia="Arial" w:hAnsi="Arial"/>
          <w:sz w:val="20"/>
          <w:szCs w:val="20"/>
        </w:rPr>
        <w:t xml:space="preserve">However, the stock fails the Pre-Screen Gate on two counts: (1) the price is in a clear technical downtrend, trading well below its declining 200 DMA and 30-week moving average (Stage 3/4 Weinstein), and (2) quarterly revenue has been declining year-on-year for three consecutive quarters in FY26 (Q1: -30%, Q2: -9%, Q3: -20% YoY), driven by API margin pressure, Atali plant stabilization delays, and goods-in-transit timing effects. While the underlying business has merit (CRISIL upgrade to AA-, strong CDMO pipeline of 159 projects, Xanthine expansion to 9,000 MTPA), the framework mandates archiving until both failed gate conditions reverse.</w:t>
      </w:r>
    </w:p>
    <w:p>
      <w:pPr>
        <w:pStyle w:val="Heading1"/>
      </w:pPr>
      <w:r>
        <w:rPr>
          <w:rFonts w:ascii="Arial" w:cs="Arial" w:eastAsia="Arial" w:hAnsi="Arial"/>
        </w:rPr>
        <w:t xml:space="preserve">2. Stage 0: Pre-Screen Gate</w:t>
      </w:r>
    </w:p>
    <w:p>
      <w:pPr>
        <w:spacing w:after="120" w:before="0"/>
      </w:pPr>
      <w:r>
        <w:rPr>
          <w:rFonts w:ascii="Arial" w:cs="Arial" w:eastAsia="Arial" w:hAnsi="Arial"/>
          <w:b/>
          <w:bCs/>
          <w:sz w:val="20"/>
          <w:szCs w:val="20"/>
        </w:rPr>
        <w:t xml:space="preserve">Gate Rule: 5/5 Yes = Proceed | 4/5 Yes = Proceed with flag | 3/5 or fewer =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00"/>
        <w:gridCol w:w="52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Question</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Answer</w:t>
            </w:r>
          </w:p>
        </w:tc>
        <w:tc>
          <w:tcPr>
            <w:tcW w:type="dxa" w:w="5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CFO positive in at least 3 of the last 5 years?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CFO: FY22 (-44 Cr), FY23 (+250 Cr), FY24 (+216 Cr), FY25 (+332 Cr). 3 of 4 available years positive.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Promoter pledging below 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Promoter pledging: 0%. No shares pledged.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Identifiable earnings trigger with timeline &lt; 30 months?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YES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CDMO Atali ramp-up (FY27 revenue contribution) + Xanthine expansion 5,000 to 9,000 MTPA by FY26-end.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Stock in Stage 1 or Stage 2 (Weinstein)?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NO</w:t>
            </w:r>
          </w:p>
        </w:tc>
        <w:tc>
          <w:tcPr>
            <w:tcW w:type="dxa" w:w="52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sz w:val="18"/>
                <w:szCs w:val="18"/>
              </w:rPr>
              <w:t xml:space="preserve">CMP ~700 well below declining 200 DMA (~820) and 50 DMA (~784). Price in clear downtrend. Stage 3/4.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Revenue flat or growing (not declining) over last 6 quarters?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18"/>
                <w:szCs w:val="18"/>
              </w:rPr>
              <w:t xml:space="preserve">NO</w:t>
            </w:r>
          </w:p>
        </w:tc>
        <w:tc>
          <w:tcPr>
            <w:tcW w:type="dxa" w:w="526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jc w:val="left"/>
            </w:pPr>
            <w:r>
              <w:rPr>
                <w:rFonts w:ascii="Arial" w:cs="Arial" w:eastAsia="Arial" w:hAnsi="Arial"/>
                <w:sz w:val="18"/>
                <w:szCs w:val="18"/>
              </w:rPr>
              <w:t xml:space="preserve">Consol revenue Q1-Q3 FY26: 386, 418, 432 Cr vs year-ago 555, 458, 538 Cr. YoY decline of -30%, -9%, -20%.</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Gate Result: 3/5 </w:t>
      </w:r>
      <w:r>
        <w:rPr>
          <w:rFonts w:ascii="Arial" w:cs="Arial" w:eastAsia="Arial" w:hAnsi="Arial"/>
          <w:b/>
          <w:bCs/>
          <w:sz w:val="20"/>
          <w:szCs w:val="20"/>
        </w:rPr>
        <w:t xml:space="preserve">| Status: </w:t>
      </w:r>
      <w:r>
        <w:rPr>
          <w:rFonts w:ascii="Arial" w:cs="Arial" w:eastAsia="Arial" w:hAnsi="Arial"/>
          <w:b/>
          <w:bCs/>
          <w:color w:val="CC0000"/>
          <w:sz w:val="20"/>
          <w:szCs w:val="20"/>
        </w:rPr>
        <w:t xml:space="preserve">ARCHIVE</w:t>
      </w:r>
      <w:r>
        <w:rPr>
          <w:rFonts w:ascii="Arial" w:cs="Arial" w:eastAsia="Arial" w:hAnsi="Arial"/>
          <w:sz w:val="20"/>
          <w:szCs w:val="20"/>
        </w:rPr>
        <w:t xml:space="preserve"> | Failed questions: G4 (Technical Stage), G5 (Revenue Declining)</w:t>
      </w:r>
    </w:p>
    <w:p>
      <w:pPr>
        <w:pStyle w:val="Heading2"/>
      </w:pPr>
      <w:r>
        <w:rPr>
          <w:rFonts w:ascii="Arial" w:cs="Arial" w:eastAsia="Arial" w:hAnsi="Arial"/>
        </w:rPr>
        <w:t xml:space="preserve">3. Re-Entry Conditions</w:t>
      </w:r>
    </w:p>
    <w:p>
      <w:pPr>
        <w:spacing w:after="120" w:before="0"/>
      </w:pPr>
      <w:r>
        <w:rPr>
          <w:rFonts w:ascii="Arial" w:cs="Arial" w:eastAsia="Arial" w:hAnsi="Arial"/>
          <w:sz w:val="20"/>
          <w:szCs w:val="20"/>
        </w:rPr>
        <w:t xml:space="preserve">For Aarti Pharmalabs to re-enter the Pre-Screen Gate, BOTH of the following must be satisfied simultaneously:</w:t>
      </w:r>
    </w:p>
    <w:p>
      <w:pPr>
        <w:spacing w:after="120" w:before="0"/>
      </w:pPr>
      <w:r>
        <w:rPr>
          <w:rFonts w:ascii="Arial" w:cs="Arial" w:eastAsia="Arial" w:hAnsi="Arial"/>
          <w:sz w:val="20"/>
          <w:szCs w:val="20"/>
        </w:rPr>
        <w:t xml:space="preserve">(a) TECHNICAL: CMP must reclaim and sustain above the 30-week moving average (currently estimated ~780-800), with the 30W MA flattening or turning upward, indicating Stage 1 or Stage 2 transition. The stock must NOT be below a declining 30W MA at the time of re-screening.</w:t>
      </w:r>
    </w:p>
    <w:p>
      <w:pPr>
        <w:spacing w:after="120" w:before="0"/>
      </w:pPr>
      <w:r>
        <w:rPr>
          <w:rFonts w:ascii="Arial" w:cs="Arial" w:eastAsia="Arial" w:hAnsi="Arial"/>
          <w:sz w:val="20"/>
          <w:szCs w:val="20"/>
        </w:rPr>
        <w:t xml:space="preserve">(b) REVENUE: At least one full quarter of year-on-year consolidated revenue growth must be demonstrated. Currently, Q1-Q3 FY26 are all declining YoY. The earliest this could reverse is Q4 FY26 (January-March 2026) given that Q4 FY25 had elevated revenue of 564 Cr, making a YoY beat in Q4 FY26 unlikely. Realistic re-check window: Q1 FY27 results (August 2026).</w:t>
      </w:r>
    </w:p>
    <w:p>
      <w:pPr>
        <w:pStyle w:val="Heading2"/>
      </w:pPr>
      <w:r>
        <w:rPr>
          <w:rFonts w:ascii="Arial" w:cs="Arial" w:eastAsia="Arial" w:hAnsi="Arial"/>
        </w:rPr>
        <w:t xml:space="preserve">4. Hard Disqualification Layer (Completed Despite Archive)</w:t>
      </w:r>
    </w:p>
    <w:p>
      <w:pPr>
        <w:spacing w:after="120" w:before="0"/>
      </w:pPr>
      <w:r>
        <w:rPr>
          <w:rFonts w:ascii="Arial" w:cs="Arial" w:eastAsia="Arial" w:hAnsi="Arial"/>
          <w:sz w:val="20"/>
          <w:szCs w:val="20"/>
        </w:rPr>
        <w:t xml:space="preserve">Although the gate failed, the Hard Disqualification layer was checked for completeness. No hard disqualification triggers are active, which is a positive signal for future re-screening.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CFO/EBITDA &lt; 30% for 3+ consecutive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CFO/EBITDA: FY23 ~73%, FY24 ~56%, FY25 ~72%. Well above 30%.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Promoter pledging &gt; 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0% pledging.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Auditor qualified opinion in last 2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 qualification flagged in Screener or credit report.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Credit rating downgrade in last 12 months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UPGRADED to CRISIL AA-/Stable in Jul 2025 from A+/Positive.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Same trigger guided 4+ quarters, undelivered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Atali trigger is new (Phase 1 operationalized Q2 FY26). CDMO guidance recently introduced.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Equity dilution &gt; 20% in 3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Shares outstanding: 9.06 Cr. No dilution post-demerger listing.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Active SEBI enforcement 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006600"/>
                <w:sz w:val="18"/>
                <w:szCs w:val="18"/>
              </w:rPr>
              <w:t xml:space="preserve">CLEAR</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Delhi HC restraint on Ruxolitinib API is IP dispute, not SEBI action. No SEBI enforcement.</w:t>
            </w:r>
          </w:p>
        </w:tc>
      </w:tr>
    </w:tbl>
    <w:p>
      <w:pPr>
        <w:pStyle w:val="Heading1"/>
      </w:pPr>
      <w:r>
        <w:rPr>
          <w:rFonts w:ascii="Arial" w:cs="Arial" w:eastAsia="Arial" w:hAnsi="Arial"/>
        </w:rPr>
        <w:t xml:space="preserve">5. Financial Snapshot</w:t>
      </w:r>
    </w:p>
    <w:p>
      <w:pPr>
        <w:pStyle w:val="Heading3"/>
      </w:pPr>
      <w:r>
        <w:rPr>
          <w:rFonts w:ascii="Arial" w:cs="Arial" w:eastAsia="Arial" w:hAnsi="Arial"/>
        </w:rPr>
        <w:t xml:space="preserve">5.1 Annual Consolidated Financials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900"/>
        <w:gridCol w:w="1000"/>
        <w:gridCol w:w="1060"/>
        <w:gridCol w:w="1100"/>
        <w:gridCol w:w="180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Year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Revenue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EBITDA</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w:t>
            </w:r>
          </w:p>
        </w:tc>
        <w:tc>
          <w:tcPr>
            <w:tcW w:type="dxa" w:w="1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CFO</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CFO/EBITDA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Borrowings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FY22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341</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FY23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193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FY24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1,853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217</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FY25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272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413</w:t>
            </w:r>
          </w:p>
        </w:tc>
      </w:tr>
    </w:tbl>
    <w:p>
      <w:pPr>
        <w:spacing w:after="120" w:before="0"/>
      </w:pPr>
      <w:r>
        <w:rPr>
          <w:rFonts w:ascii="Arial" w:cs="Arial" w:eastAsia="Arial" w:hAnsi="Arial"/>
          <w:sz w:val="20"/>
          <w:szCs w:val="20"/>
        </w:rPr>
        <w:t xml:space="preserve"/>
      </w:r>
    </w:p>
    <w:p>
      <w:pPr>
        <w:pStyle w:val="Heading3"/>
      </w:pPr>
      <w:r>
        <w:rPr>
          <w:rFonts w:ascii="Arial" w:cs="Arial" w:eastAsia="Arial" w:hAnsi="Arial"/>
        </w:rPr>
        <w:t xml:space="preserve">5.2 Quarterly Consolidated Financials (Cr)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560"/>
        <w:gridCol w:w="200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Quarter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Revenue (Cr)</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EBITDA (Cr)</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OPM %</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 (Cr)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Q2 FY24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Q3 FY24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449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Q4 FY24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506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118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65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Q1 FY25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555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Q2 FY25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458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Q3 FY25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538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129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Q4 FY25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564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88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Q1 FY26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386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93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50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Q2 FY26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418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74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Q3 FY26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103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sz w:val="18"/>
                <w:szCs w:val="18"/>
              </w:rPr>
              <w:t xml:space="preserve">48</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Key observations: Revenue grew strongly from FY22 to FY25 (21% CAGR over 3 years), but FY26 quarterly run-rate is substantially below FY25 levels. The company attributes this to Atali plant stabilization costs, goods-in-transit timing (49 Cr in Q3 FY26), API segment margin pressure from Chinese competition, and Ganesh Polychem JV losses. Management has guided for CDMO revenue recovery from FY27 as Atali reaches full operational capacity.</w:t>
      </w:r>
    </w:p>
    <w:p>
      <w:pPr>
        <w:pStyle w:val="Heading1"/>
      </w:pPr>
      <w:r>
        <w:rPr>
          <w:rFonts w:ascii="Arial" w:cs="Arial" w:eastAsia="Arial" w:hAnsi="Arial"/>
        </w:rPr>
        <w:t xml:space="preserve">6. Business Overview</w:t>
      </w:r>
    </w:p>
    <w:p>
      <w:pPr>
        <w:pStyle w:val="Heading3"/>
      </w:pPr>
      <w:r>
        <w:rPr>
          <w:rFonts w:ascii="Arial" w:cs="Arial" w:eastAsia="Arial" w:hAnsi="Arial"/>
        </w:rPr>
        <w:t xml:space="preserve">6.1 Revenue Segments</w:t>
      </w:r>
    </w:p>
    <w:p>
      <w:pPr>
        <w:spacing w:after="120" w:before="0"/>
      </w:pPr>
      <w:r>
        <w:rPr>
          <w:rFonts w:ascii="Arial" w:cs="Arial" w:eastAsia="Arial" w:hAnsi="Arial"/>
          <w:sz w:val="20"/>
          <w:szCs w:val="20"/>
        </w:rPr>
        <w:t xml:space="preserve">Aarti Pharmalabs operates across three main segments: (1) Xanthine Derivatives (caffeine, theophylline, aminophylline) contributing approximately 49% of Q3 FY26 turnover, with 15-20% global market share; (2) Generic APIs and Intermediates for regulated markets (US, EU, Japan) across therapeutic areas including oncology, anti-diabetic, cardiovascular, and corticosteroids; (3) CDMO/CMO services with 21 customers, 159 active projects (39 in commercial stage), positioned as a China+1 beneficiary.</w:t>
      </w:r>
    </w:p>
    <w:p>
      <w:pPr>
        <w:spacing w:after="120" w:before="0"/>
      </w:pPr>
      <w:r>
        <w:rPr>
          <w:rFonts w:ascii="Arial" w:cs="Arial" w:eastAsia="Arial" w:hAnsi="Arial"/>
          <w:sz w:val="20"/>
          <w:szCs w:val="20"/>
        </w:rPr>
        <w:t xml:space="preserve">Export sales constitute approximately 51% of turnover. The company holds 220+ products in its portfolio, has filed 62 patents, and operates 3 USFDA-approved facilities.</w:t>
      </w:r>
    </w:p>
    <w:p>
      <w:pPr>
        <w:pStyle w:val="Heading3"/>
      </w:pPr>
      <w:r>
        <w:rPr>
          <w:rFonts w:ascii="Arial" w:cs="Arial" w:eastAsia="Arial" w:hAnsi="Arial"/>
        </w:rPr>
        <w:t xml:space="preserve">6.2 Capacity Expansion in Progress</w:t>
      </w:r>
    </w:p>
    <w:p>
      <w:pPr>
        <w:spacing w:after="120" w:before="0"/>
      </w:pPr>
      <w:r>
        <w:rPr>
          <w:rFonts w:ascii="Arial" w:cs="Arial" w:eastAsia="Arial" w:hAnsi="Arial"/>
          <w:sz w:val="20"/>
          <w:szCs w:val="20"/>
        </w:rPr>
        <w:t xml:space="preserve">Atali Greenfield (Gujarat): Phase 1 operationalized in Q2 FY26 with 440 KL reactor capacity across 63 reactors on 80 acres. Total project outlay of 450 Cr with 300 Cr capitalized, 150 Cr remaining. Scalable to 8-10x Phase 1 capacity. Currently in validation/stabilization phase; management expects resolution by end of Q4 FY26, with meaningful revenue contribution from FY27.</w:t>
      </w:r>
    </w:p>
    <w:p>
      <w:pPr>
        <w:spacing w:after="120" w:before="0"/>
      </w:pPr>
      <w:r>
        <w:rPr>
          <w:rFonts w:ascii="Arial" w:cs="Arial" w:eastAsia="Arial" w:hAnsi="Arial"/>
          <w:sz w:val="20"/>
          <w:szCs w:val="20"/>
        </w:rPr>
        <w:t xml:space="preserve">Xanthine Expansion: Brownfield expansion at Tarapur from 5,000 MTPA to 9,000 MTPA targeted by end of FY26. Approved capex of approximately 150 Cr across two sites. New capacity already tied to customers seeking increased India sourcing (China+1 theme).</w:t>
      </w:r>
    </w:p>
    <w:p>
      <w:pPr>
        <w:pStyle w:val="Heading3"/>
      </w:pPr>
      <w:r>
        <w:rPr>
          <w:rFonts w:ascii="Arial" w:cs="Arial" w:eastAsia="Arial" w:hAnsi="Arial"/>
        </w:rPr>
        <w:t xml:space="preserve">6.3 Key Risks Identified</w:t>
      </w:r>
    </w:p>
    <w:p>
      <w:pPr>
        <w:spacing w:after="120" w:before="0"/>
      </w:pPr>
      <w:r>
        <w:rPr>
          <w:rFonts w:ascii="Arial" w:cs="Arial" w:eastAsia="Arial" w:hAnsi="Arial"/>
          <w:sz w:val="20"/>
          <w:szCs w:val="20"/>
        </w:rPr>
        <w:t xml:space="preserve">Regulatory/Pollution Risk: Dombivali plant received MPCB closure order in May 2024 (subsequently restarted). Vapi plant received GPCB closure order in January 2025 (revoked within weeks). Recurring pollution board actions indicate ongoing regulatory vulnerability across multiple sites.</w:t>
      </w:r>
    </w:p>
    <w:p>
      <w:pPr>
        <w:spacing w:after="120" w:before="0"/>
      </w:pPr>
      <w:r>
        <w:rPr>
          <w:rFonts w:ascii="Arial" w:cs="Arial" w:eastAsia="Arial" w:hAnsi="Arial"/>
          <w:sz w:val="20"/>
          <w:szCs w:val="20"/>
        </w:rPr>
        <w:t xml:space="preserve">Revenue Decline: Three consecutive quarters of YoY revenue decline in FY26. Management revised EBITDA growth guidance downward to 8-12% for FY26 from earlier higher estimates.</w:t>
      </w:r>
    </w:p>
    <w:p>
      <w:pPr>
        <w:spacing w:after="120" w:before="0"/>
      </w:pPr>
      <w:r>
        <w:rPr>
          <w:rFonts w:ascii="Arial" w:cs="Arial" w:eastAsia="Arial" w:hAnsi="Arial"/>
          <w:sz w:val="20"/>
          <w:szCs w:val="20"/>
        </w:rPr>
        <w:t xml:space="preserve">Promoter Holding Decline: Promoter stake has declined from 46.46% (Mar 2024) to 43.10% (Dec 2025), a drop of 3.36 percentage points over 7 quarters. While no pledging exists, the consistent selling warrants monitoring.</w:t>
      </w:r>
    </w:p>
    <w:p>
      <w:pPr>
        <w:spacing w:after="120" w:before="0"/>
      </w:pPr>
      <w:r>
        <w:rPr>
          <w:rFonts w:ascii="Arial" w:cs="Arial" w:eastAsia="Arial" w:hAnsi="Arial"/>
          <w:sz w:val="20"/>
          <w:szCs w:val="20"/>
        </w:rPr>
        <w:t xml:space="preserve">Debt Increase: Gross debt rose to 650 Cr as of 9M FY26 from 413 Cr at FY25-end, driven by Atali capex. Net debt/equity targeted at 0.3-0.35x by Q4 FY26.</w:t>
      </w:r>
    </w:p>
    <w:p>
      <w:pPr>
        <w:spacing w:after="120" w:before="0"/>
      </w:pPr>
      <w:r>
        <w:rPr>
          <w:rFonts w:ascii="Arial" w:cs="Arial" w:eastAsia="Arial" w:hAnsi="Arial"/>
          <w:sz w:val="20"/>
          <w:szCs w:val="20"/>
        </w:rPr>
        <w:t xml:space="preserve">Chinese Competition: Xanthine derivatives face competition from Chinese producers who control approximately 70% of global market share. Risk of dumping if overcapacity develops.</w:t>
      </w:r>
    </w:p>
    <w:p>
      <w:pPr>
        <w:spacing w:after="120" w:before="0"/>
      </w:pPr>
      <w:r>
        <w:rPr>
          <w:rFonts w:ascii="Arial" w:cs="Arial" w:eastAsia="Arial" w:hAnsi="Arial"/>
          <w:sz w:val="20"/>
          <w:szCs w:val="20"/>
        </w:rPr>
        <w:t xml:space="preserve">Delhi HC Ruxolitinib Order: Court restraint on selling drug with Ruxolitinib API (IP dispute). Company states no financial impact, but regulatory/legal overhang persists.</w:t>
      </w:r>
    </w:p>
    <w:p>
      <w:pPr>
        <w:pStyle w:val="Heading1"/>
      </w:pPr>
      <w:r>
        <w:rPr>
          <w:rFonts w:ascii="Arial" w:cs="Arial" w:eastAsia="Arial" w:hAnsi="Arial"/>
        </w:rPr>
        <w:t xml:space="preserve">7. Positive Signals for Future Re-Assessment</w:t>
      </w:r>
    </w:p>
    <w:p>
      <w:pPr>
        <w:spacing w:after="120" w:before="0"/>
      </w:pPr>
      <w:r>
        <w:rPr>
          <w:rFonts w:ascii="Arial" w:cs="Arial" w:eastAsia="Arial" w:hAnsi="Arial"/>
          <w:sz w:val="20"/>
          <w:szCs w:val="20"/>
        </w:rPr>
        <w:t xml:space="preserve">Credit Rating Upgrade: CRISIL upgraded APL to AA-/Stable from A+/Positive in July 2025, reflecting sustained improvement in business risk profile and strong financial profile. This is a meaningful positive indicator.</w:t>
      </w:r>
    </w:p>
    <w:p>
      <w:pPr>
        <w:spacing w:after="120" w:before="0"/>
      </w:pPr>
      <w:r>
        <w:rPr>
          <w:rFonts w:ascii="Arial" w:cs="Arial" w:eastAsia="Arial" w:hAnsi="Arial"/>
          <w:sz w:val="20"/>
          <w:szCs w:val="20"/>
        </w:rPr>
        <w:t xml:space="preserve">Cash Flow Quality: CFO/EBITDA has been healthy at 72% in FY25, 56% in FY24, and 73% in FY23. The negative CFO in FY22 (-44 Cr) was the demerger transition year. Cash flow quality is structurally sound.</w:t>
      </w:r>
    </w:p>
    <w:p>
      <w:pPr>
        <w:spacing w:after="120" w:before="0"/>
      </w:pPr>
      <w:r>
        <w:rPr>
          <w:rFonts w:ascii="Arial" w:cs="Arial" w:eastAsia="Arial" w:hAnsi="Arial"/>
          <w:sz w:val="20"/>
          <w:szCs w:val="20"/>
        </w:rPr>
        <w:t xml:space="preserve">CDMO Pipeline Depth: 159 active projects with 21 customers, 39 in commercial stage. Management confident in meeting CDMO revenue guidance for FY26. Long-term vision of 800-1,000 Cr CDMO revenue by FY29.</w:t>
      </w:r>
    </w:p>
    <w:p>
      <w:pPr>
        <w:spacing w:after="120" w:before="0"/>
      </w:pPr>
      <w:r>
        <w:rPr>
          <w:rFonts w:ascii="Arial" w:cs="Arial" w:eastAsia="Arial" w:hAnsi="Arial"/>
          <w:sz w:val="20"/>
          <w:szCs w:val="20"/>
        </w:rPr>
        <w:t xml:space="preserve">Margin Structure: EBITDA margins have expanded from 17% (FY22) to 22% (FY25), with Xanthine contributing higher-margin revenue. API margins are under pressure but expected to recover as new oncology and diabetic launches materialize in 2026-27.</w:t>
      </w:r>
    </w:p>
    <w:p>
      <w:pPr>
        <w:spacing w:after="120" w:before="0"/>
      </w:pPr>
      <w:r>
        <w:rPr>
          <w:rFonts w:ascii="Arial" w:cs="Arial" w:eastAsia="Arial" w:hAnsi="Arial"/>
          <w:sz w:val="20"/>
          <w:szCs w:val="20"/>
        </w:rPr>
        <w:t xml:space="preserve">Valuation: At current P/E of ~27-31x, the stock trades at a meaningful discount to peers like Supriya Lifescience (~30x, with 35% EBITDA margins) and Shilpa Medicare (~67-111x). EV/EBITDA of ~16.6x vs 3-year average of ~15.85x is marginally expensive but not stretched given the CDMO growth optionality.</w:t>
      </w:r>
    </w:p>
    <w:p>
      <w:pPr>
        <w:pStyle w:val="Heading1"/>
      </w:pPr>
      <w:r>
        <w:rPr>
          <w:rFonts w:ascii="Arial" w:cs="Arial" w:eastAsia="Arial" w:hAnsi="Arial"/>
        </w:rPr>
        <w:t xml:space="preserve">8. Technical Snapshot</w:t>
      </w:r>
    </w:p>
    <w:p>
      <w:pPr>
        <w:spacing w:after="120" w:before="0"/>
      </w:pPr>
      <w:r>
        <w:rPr>
          <w:rFonts w:ascii="Arial" w:cs="Arial" w:eastAsia="Arial" w:hAnsi="Arial"/>
          <w:sz w:val="20"/>
          <w:szCs w:val="20"/>
        </w:rPr>
        <w:t xml:space="preserve">CMP: ~700-725 | 52W High: 971 | 52W Low: 550-574</w:t>
      </w:r>
    </w:p>
    <w:p>
      <w:pPr>
        <w:spacing w:after="120" w:before="0"/>
      </w:pPr>
      <w:r>
        <w:rPr>
          <w:rFonts w:ascii="Arial" w:cs="Arial" w:eastAsia="Arial" w:hAnsi="Arial"/>
          <w:sz w:val="20"/>
          <w:szCs w:val="20"/>
        </w:rPr>
        <w:t xml:space="preserve">200 DMA: ~820 (declining) | 50 DMA: ~784 (declining) | Stock trading well below all key moving averages.</w:t>
      </w:r>
    </w:p>
    <w:p>
      <w:pPr>
        <w:spacing w:after="120" w:before="0"/>
      </w:pPr>
      <w:r>
        <w:rPr>
          <w:rFonts w:ascii="Arial" w:cs="Arial" w:eastAsia="Arial" w:hAnsi="Arial"/>
          <w:sz w:val="20"/>
          <w:szCs w:val="20"/>
        </w:rPr>
        <w:t xml:space="preserve">Weinstein Stage: Stage 3/4 (Distribution/Declining). Price below declining 30-week MA. Not in an uptrend.</w:t>
      </w:r>
    </w:p>
    <w:p>
      <w:pPr>
        <w:spacing w:after="120" w:before="0"/>
      </w:pPr>
      <w:r>
        <w:rPr>
          <w:rFonts w:ascii="Arial" w:cs="Arial" w:eastAsia="Arial" w:hAnsi="Arial"/>
          <w:sz w:val="20"/>
          <w:szCs w:val="20"/>
        </w:rPr>
        <w:t xml:space="preserve">TradingView Rating: Strong Sell on moving averages, Neutral on oscillators.</w:t>
      </w:r>
    </w:p>
    <w:p>
      <w:pPr>
        <w:spacing w:after="120" w:before="0"/>
      </w:pPr>
      <w:r>
        <w:rPr>
          <w:rFonts w:ascii="Arial" w:cs="Arial" w:eastAsia="Arial" w:hAnsi="Arial"/>
          <w:sz w:val="20"/>
          <w:szCs w:val="20"/>
        </w:rPr>
        <w:t xml:space="preserve">Support: 670-680 (recent base) | Resistance: 780-800 (30W MA zone)</w:t>
      </w:r>
    </w:p>
    <w:p>
      <w:pPr>
        <w:spacing w:after="120" w:before="0"/>
      </w:pPr>
      <w:r>
        <w:rPr>
          <w:rFonts w:ascii="Arial" w:cs="Arial" w:eastAsia="Arial" w:hAnsi="Arial"/>
          <w:sz w:val="20"/>
          <w:szCs w:val="20"/>
        </w:rPr>
        <w:t xml:space="preserve">The technical picture is unambiguously negative. Price has declined approximately 27% from 52W highs. No buy signal on any intermediate or long-term timeframe. This alone would warrant a failing technical score (Phase 6 &lt; 8/15) which triggers automatic verdict downgrade under the framework.</w:t>
      </w:r>
    </w:p>
    <w:p>
      <w:pPr>
        <w:pStyle w:val="Heading1"/>
      </w:pPr>
      <w:r>
        <w:rPr>
          <w:rFonts w:ascii="Arial" w:cs="Arial" w:eastAsia="Arial" w:hAnsi="Arial"/>
        </w:rPr>
        <w:t xml:space="preserve">9. Portfolio Tracker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Stock</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Aarti Pharmalabs (AARTIPHARM) | BSE: 543748</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Verdict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CC0000"/>
                <w:sz w:val="18"/>
                <w:szCs w:val="18"/>
              </w:rPr>
              <w:t xml:space="preserve">ARCHIVE (Pre-Screen Gate Failure: 3/5)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Score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Not scored (Gate not passed)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Entry Zone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Stop Loss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Next Action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Re-screen when: (a) CMP reclaims 30W MA (~780+), AND (b) Q4 FY26 or Q1 FY27 shows YoY revenue growth</w:t>
            </w:r>
          </w:p>
        </w:tc>
      </w:tr>
    </w:tbl>
    <w:p>
      <w:pPr>
        <w:spacing w:after="200" w:before="0"/>
      </w:pPr>
      <w:r>
        <w:rPr>
          <w:rFonts w:ascii="Arial" w:cs="Arial" w:eastAsia="Arial" w:hAnsi="Arial"/>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2E5A88" w:sz="1"/>
              <w:left w:val="single" w:color="2E5A88" w:sz="1"/>
              <w:bottom w:val="single" w:color="2E5A88" w:sz="1"/>
              <w:right w:val="single" w:color="2E5A88" w:sz="1"/>
            </w:tcBorders>
            <w:shd w:fill="F0F5FA" w:val="clear"/>
            <w:tcMar>
              <w:top w:type="dxa" w:w="100"/>
              <w:left w:type="dxa" w:w="160"/>
              <w:bottom w:type="dxa" w:w="100"/>
              <w:right w:type="dxa" w:w="160"/>
            </w:tcMar>
          </w:tcPr>
          <w:p>
            <w:pPr>
              <w:spacing w:after="60"/>
            </w:pPr>
            <w:r>
              <w:rPr>
                <w:rFonts w:ascii="Arial" w:cs="Arial" w:eastAsia="Arial" w:hAnsi="Arial"/>
                <w:b/>
                <w:bCs/>
                <w:color w:val="1B3A5C"/>
                <w:sz w:val="20"/>
                <w:szCs w:val="20"/>
              </w:rPr>
              <w:t xml:space="preserve">Framework Compliance Note</w:t>
            </w:r>
          </w:p>
          <w:p>
            <w:r>
              <w:rPr>
                <w:rFonts w:ascii="Arial" w:cs="Arial" w:eastAsia="Arial" w:hAnsi="Arial"/>
                <w:color w:val="444444"/>
                <w:sz w:val="18"/>
                <w:szCs w:val="18"/>
              </w:rPr>
              <w:t xml:space="preserve">Per the 135-Point Framework v3.0, a Pre-Screen Gate result of 3/5 or fewer mandates ARCHIVE without proceeding to full six-phase scoring. This decision protects deep-dive capacity and prevents sunk-cost attachment before conviction is warranted. The full analysis (Phases 1-6, Thesis Contract) will be executed only when both failed gate conditions (G4 and G5) are cleared. Estimated re-check: Q1 FY27 results (August 2026).</w:t>
            </w:r>
          </w:p>
        </w:tc>
      </w:tr>
    </w:tbl>
    <w:p>
      <w:pPr>
        <w:spacing w:after="60" w:before="0"/>
      </w:pPr>
      <w:r>
        <w:rPr>
          <w:rFonts w:ascii="Arial" w:cs="Arial" w:eastAsia="Arial" w:hAnsi="Arial"/>
          <w:sz w:val="20"/>
          <w:szCs w:val="20"/>
        </w:rPr>
        <w:t xml:space="preserve"/>
      </w:r>
    </w:p>
    <w:p>
      <w:pPr>
        <w:pBdr>
          <w:top w:val="single" w:color="CCCCCC" w:sz="1" w:space="8"/>
        </w:pBdr>
        <w:spacing w:before="200"/>
        <w:jc w:val="center"/>
      </w:pPr>
      <w:r>
        <w:rPr>
          <w:rFonts w:ascii="Arial" w:cs="Arial" w:eastAsia="Arial" w:hAnsi="Arial"/>
          <w:i/>
          <w:iCs/>
          <w:color w:val="999999"/>
          <w:sz w:val="16"/>
          <w:szCs w:val="16"/>
        </w:rPr>
        <w:t xml:space="preserve">END OF REPORT | Sources: Screener.in, BSE India, CRISIL, TradingView, Company Concall Transcripts (Q2-Q3 FY26)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4"/>
        <w:szCs w:val="14"/>
      </w:rPr>
      <w:t xml:space="preserve">Aarti Pharmalabs Ltd (AARTIPHARM) | Analysis Date: 07 March 2026 | Personal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INSTITUTIONAL EQUITY RESEARCH | 135-Point Framework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A8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2026-03-07T07:37:21.717Z</dcterms:created>
  <dcterms:modified xsi:type="dcterms:W3CDTF">2026-03-07T07:37:21.717Z</dcterms:modified>
</cp:coreProperties>
</file>

<file path=docProps/custom.xml><?xml version="1.0" encoding="utf-8"?>
<Properties xmlns="http://schemas.openxmlformats.org/officeDocument/2006/custom-properties" xmlns:vt="http://schemas.openxmlformats.org/officeDocument/2006/docPropsVTypes"/>
</file>