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1B3A5C" w:val="clear"/>
            <w:tcMar>
              <w:top w:type="dxa" w:w="200"/>
              <w:left w:type="dxa" w:w="200"/>
              <w:bottom w:type="dxa" w:w="200"/>
              <w:right w:type="dxa" w:w="200"/>
            </w:tcMar>
          </w:tcPr>
          <w:p>
            <w:pPr>
              <w:jc w:val="center"/>
            </w:pPr>
            <w:r>
              <w:rPr>
                <w:rFonts w:ascii="Arial" w:cs="Arial" w:eastAsia="Arial" w:hAnsi="Arial"/>
                <w:b/>
                <w:bCs/>
                <w:color w:val="8CB4D8"/>
                <w:sz w:val="16"/>
                <w:szCs w:val="16"/>
              </w:rPr>
              <w:t xml:space="preserve">INSTITUTIONAL EQUITY RESEARCH</w:t>
            </w:r>
          </w:p>
          <w:p>
            <w:pPr>
              <w:spacing w:before="80"/>
              <w:jc w:val="center"/>
            </w:pPr>
            <w:r>
              <w:rPr>
                <w:rFonts w:ascii="Arial" w:cs="Arial" w:eastAsia="Arial" w:hAnsi="Arial"/>
                <w:b/>
                <w:bCs/>
                <w:color w:val="FFFFFF"/>
                <w:sz w:val="36"/>
                <w:szCs w:val="36"/>
              </w:rPr>
              <w:t xml:space="preserve">E2E Networks Limited (NSE: E2E)</w:t>
            </w:r>
          </w:p>
          <w:p>
            <w:pPr>
              <w:spacing w:before="80"/>
              <w:jc w:val="center"/>
            </w:pPr>
            <w:r>
              <w:rPr>
                <w:rFonts w:ascii="Arial" w:cs="Arial" w:eastAsia="Arial" w:hAnsi="Arial"/>
                <w:color w:val="B0C4DE"/>
                <w:sz w:val="18"/>
                <w:szCs w:val="18"/>
              </w:rPr>
              <w:t xml:space="preserve">135-Point Scoring Framework | Fresh Analysis</w:t>
            </w:r>
          </w:p>
        </w:tc>
      </w:tr>
    </w:tbl>
    <w:p>
      <w:pPr>
        <w:spacing w:before="40"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0000" w:sz="3"/>
              <w:left w:val="single" w:color="CC0000" w:sz="3"/>
              <w:bottom w:val="single" w:color="CC0000" w:sz="3"/>
              <w:right w:val="single" w:color="CC0000" w:sz="3"/>
            </w:tcBorders>
            <w:shd w:fill="CC0000" w:val="clear"/>
            <w:tcMar>
              <w:top w:type="dxa" w:w="200"/>
              <w:left w:type="dxa" w:w="200"/>
              <w:bottom w:type="dxa" w:w="200"/>
              <w:right w:type="dxa" w:w="200"/>
            </w:tcMar>
          </w:tcPr>
          <w:p>
            <w:pPr>
              <w:jc w:val="center"/>
            </w:pPr>
            <w:r>
              <w:rPr>
                <w:rFonts w:ascii="Arial" w:cs="Arial" w:eastAsia="Arial" w:hAnsi="Arial"/>
                <w:b/>
                <w:bCs/>
                <w:color w:val="FFFFFF"/>
                <w:sz w:val="36"/>
                <w:szCs w:val="36"/>
              </w:rPr>
              <w:t xml:space="preserve">VERDICT: STRONG AVOID</w:t>
            </w:r>
          </w:p>
          <w:p>
            <w:pPr>
              <w:spacing w:before="60"/>
              <w:jc w:val="center"/>
            </w:pPr>
            <w:r>
              <w:rPr>
                <w:rFonts w:ascii="Arial" w:cs="Arial" w:eastAsia="Arial" w:hAnsi="Arial"/>
                <w:b/>
                <w:bCs/>
                <w:color w:val="FFD0D0"/>
                <w:sz w:val="22"/>
                <w:szCs w:val="22"/>
              </w:rPr>
              <w:t xml:space="preserve">HARD DISQUALIFICATION TRIGGERED</w:t>
            </w:r>
          </w:p>
          <w:p>
            <w:pPr>
              <w:spacing w:before="60"/>
              <w:jc w:val="center"/>
            </w:pPr>
            <w:r>
              <w:rPr>
                <w:rFonts w:ascii="Arial" w:cs="Arial" w:eastAsia="Arial" w:hAnsi="Arial"/>
                <w:color w:val="FFFFFF"/>
                <w:sz w:val="18"/>
                <w:szCs w:val="18"/>
              </w:rPr>
              <w:t xml:space="preserve">Promoter pledging at 60.4% of promoter holding (threshold: 50%)</w:t>
            </w:r>
          </w:p>
        </w:tc>
      </w:tr>
    </w:tbl>
    <w:p>
      <w:pPr>
        <w:spacing w:before="40" w:after="40"/>
      </w:pPr>
    </w:p>
    <w:p>
      <w:pPr>
        <w:spacing w:before="300" w:after="100"/>
      </w:pPr>
      <w:r>
        <w:rPr>
          <w:rFonts w:ascii="Arial" w:cs="Arial" w:eastAsia="Arial" w:hAnsi="Arial"/>
          <w:b/>
          <w:bCs/>
          <w:color w:val="1B3A5C"/>
          <w:sz w:val="24"/>
          <w:szCs w:val="24"/>
        </w:rPr>
        <w:t xml:space="preserve">ANALYSIS INTAKE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Company Name</w:t>
            </w:r>
          </w:p>
        </w:tc>
        <w:tc>
          <w:tcPr>
            <w:tcW w:type="dxa" w:w="7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E2E Networks Limited</w:t>
            </w:r>
          </w:p>
        </w:tc>
      </w:tr>
      <w:tr>
        <w:tc>
          <w:tcPr>
            <w:tcW w:type="dxa" w:w="3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NSE Code</w:t>
            </w:r>
          </w:p>
        </w:tc>
        <w:tc>
          <w:tcPr>
            <w:tcW w:type="dxa" w:w="7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E2E</w:t>
            </w:r>
          </w:p>
        </w:tc>
      </w:tr>
      <w:tr>
        <w:tc>
          <w:tcPr>
            <w:tcW w:type="dxa" w:w="3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CMP</w:t>
            </w:r>
          </w:p>
        </w:tc>
        <w:tc>
          <w:tcPr>
            <w:tcW w:type="dxa" w:w="7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₹2,327 (as of March 5, 2026)</w:t>
            </w:r>
          </w:p>
        </w:tc>
      </w:tr>
      <w:tr>
        <w:tc>
          <w:tcPr>
            <w:tcW w:type="dxa" w:w="3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Market Cap</w:t>
            </w:r>
          </w:p>
        </w:tc>
        <w:tc>
          <w:tcPr>
            <w:tcW w:type="dxa" w:w="7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₹4,800 Cr (approx.)</w:t>
            </w:r>
          </w:p>
        </w:tc>
      </w:tr>
      <w:tr>
        <w:tc>
          <w:tcPr>
            <w:tcW w:type="dxa" w:w="3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Sector</w:t>
            </w:r>
          </w:p>
        </w:tc>
        <w:tc>
          <w:tcPr>
            <w:tcW w:type="dxa" w:w="7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Cloud Computing / IT Infrastructure (GPU-as-a-Service)</w:t>
            </w:r>
          </w:p>
        </w:tc>
      </w:tr>
      <w:tr>
        <w:tc>
          <w:tcPr>
            <w:tcW w:type="dxa" w:w="3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Analysis Date</w:t>
            </w:r>
          </w:p>
        </w:tc>
        <w:tc>
          <w:tcPr>
            <w:tcW w:type="dxa" w:w="7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March 6, 2026</w:t>
            </w:r>
          </w:p>
        </w:tc>
      </w:tr>
      <w:tr>
        <w:tc>
          <w:tcPr>
            <w:tcW w:type="dxa" w:w="3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Analysis Mode</w:t>
            </w:r>
          </w:p>
        </w:tc>
        <w:tc>
          <w:tcPr>
            <w:tcW w:type="dxa" w:w="7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FRESH ANALYSIS</w:t>
            </w:r>
          </w:p>
        </w:tc>
      </w:tr>
      <w:tr>
        <w:tc>
          <w:tcPr>
            <w:tcW w:type="dxa" w:w="3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52-Week Range</w:t>
            </w:r>
          </w:p>
        </w:tc>
        <w:tc>
          <w:tcPr>
            <w:tcW w:type="dxa" w:w="7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₹1,710 – ₹3,895</w:t>
            </w:r>
          </w:p>
        </w:tc>
      </w:tr>
      <w:tr>
        <w:tc>
          <w:tcPr>
            <w:tcW w:type="dxa" w:w="3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Promoter Holding</w:t>
            </w:r>
          </w:p>
        </w:tc>
        <w:tc>
          <w:tcPr>
            <w:tcW w:type="dxa" w:w="7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40.30% (down from 59.71% in Mar 2023)</w:t>
            </w:r>
          </w:p>
        </w:tc>
      </w:tr>
    </w:tbl>
    <w:p>
      <w:pPr>
        <w:spacing w:before="40" w:after="40"/>
      </w:pPr>
    </w:p>
    <w:p>
      <w:pPr>
        <w:spacing w:before="300" w:after="100"/>
      </w:pPr>
      <w:r>
        <w:rPr>
          <w:rFonts w:ascii="Arial" w:cs="Arial" w:eastAsia="Arial" w:hAnsi="Arial"/>
          <w:b/>
          <w:bCs/>
          <w:color w:val="1B3A5C"/>
          <w:sz w:val="24"/>
          <w:szCs w:val="24"/>
        </w:rPr>
        <w:t xml:space="preserve">EXECUTIVE SUMMARY</w:t>
      </w:r>
    </w:p>
    <w:p>
      <w:pPr>
        <w:spacing w:before="80" w:after="80"/>
      </w:pPr>
      <w:r>
        <w:rPr>
          <w:rFonts w:ascii="Arial" w:cs="Arial" w:eastAsia="Arial" w:hAnsi="Arial"/>
          <w:sz w:val="20"/>
          <w:szCs w:val="20"/>
        </w:rPr>
        <w:t xml:space="preserve">E2E Networks is India’s leading AI-focused hyperscale cloud platform, providing GPU cloud infrastructure (NVIDIA H100, H200, B200) and sovereign cloud solutions. The company is riding India’s sovereign AI wave, having secured contracts under the IndiaAI Mission (~₹265 Cr) and signed an MOU with L&amp;T-Vyoma for GPU cloud commercialization.</w:t>
      </w:r>
    </w:p>
    <w:p>
      <w:pPr>
        <w:spacing w:before="80" w:after="80"/>
      </w:pPr>
      <w:r>
        <w:rPr>
          <w:rFonts w:ascii="Arial" w:cs="Arial" w:eastAsia="Arial" w:hAnsi="Arial"/>
          <w:sz w:val="20"/>
          <w:szCs w:val="20"/>
        </w:rPr>
        <w:t xml:space="preserve">However, the stock is HARD DISQUALIFIED under our framework due to promoter pledging at 60.4% of promoter holding, which exceeds the 50% absolute threshold. This single trigger ends the analysis with an automatic STRONG AVOID verdict. Additionally, the company shows several other red flags: three consecutive quarters of net losses (Q1-Q3 FY26), promoter holding declining ~19 percentage points in under 3 years, depreciation running at 75% of TTM revenue, and a QIP being launched for further equity dilution.</w:t>
      </w:r>
    </w:p>
    <w:p>
      <w:pPr>
        <w:spacing w:before="80" w:after="80"/>
      </w:pPr>
      <w:r>
        <w:rPr>
          <w:rFonts w:ascii="Arial" w:cs="Arial" w:eastAsia="Arial" w:hAnsi="Arial"/>
          <w:sz w:val="20"/>
          <w:szCs w:val="20"/>
        </w:rPr>
        <w:t xml:space="preserve">Despite a compelling sector tailwind (India sovereign AI, NVIDIA partnerships, data centre tax holidays), the governance and financial structure risks make this uninvestable under our institutional framework at this time.</w:t>
      </w:r>
    </w:p>
    <w:p>
      <w:pPr>
        <w:spacing w:before="40" w:after="40"/>
      </w:pPr>
    </w:p>
    <w:p>
      <w:pPr>
        <w:spacing w:before="300" w:after="100"/>
      </w:pPr>
      <w:r>
        <w:rPr>
          <w:rFonts w:ascii="Arial" w:cs="Arial" w:eastAsia="Arial" w:hAnsi="Arial"/>
          <w:b/>
          <w:bCs/>
          <w:color w:val="1B3A5C"/>
          <w:sz w:val="24"/>
          <w:szCs w:val="24"/>
        </w:rPr>
        <w:t xml:space="preserve">STAGE 0: PRE-SCREEN 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480"/>
        <w:gridCol w:w="1500"/>
        <w:gridCol w:w="250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5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Question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Answer</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Source</w:t>
            </w:r>
          </w:p>
        </w:tc>
      </w:tr>
      <w:tr>
        <w:tc>
          <w:tcPr>
            <w:tcW w:type="dxa" w:w="6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G1</w:t>
            </w:r>
          </w:p>
        </w:tc>
        <w:tc>
          <w:tcPr>
            <w:tcW w:type="dxa" w:w="548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Is CFO positive in at least 3 of the last 5 years?</w:t>
            </w:r>
          </w:p>
        </w:tc>
        <w:tc>
          <w:tcPr>
            <w:tcW w:type="dxa" w:w="15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YES</w:t>
            </w:r>
          </w:p>
        </w:tc>
        <w:tc>
          <w:tcPr>
            <w:tcW w:type="dxa" w:w="25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Screener: CFO positive all 5 years FY21–FY25</w:t>
            </w:r>
          </w:p>
        </w:tc>
      </w:tr>
      <w:tr>
        <w:tc>
          <w:tcPr>
            <w:tcW w:type="dxa" w:w="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G2</w:t>
            </w:r>
          </w:p>
        </w:tc>
        <w:tc>
          <w:tcPr>
            <w:tcW w:type="dxa" w:w="548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Is promoter pledging below 25%?</w:t>
            </w:r>
          </w:p>
        </w:tc>
        <w:tc>
          <w:tcPr>
            <w:tcW w:type="dxa" w:w="15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25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Screener: 60.4% pledged</w:t>
            </w:r>
          </w:p>
        </w:tc>
      </w:tr>
      <w:tr>
        <w:tc>
          <w:tcPr>
            <w:tcW w:type="dxa" w:w="6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G3</w:t>
            </w:r>
          </w:p>
        </w:tc>
        <w:tc>
          <w:tcPr>
            <w:tcW w:type="dxa" w:w="548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Is there an identifiable earnings trigger with timeline &lt; 30 months?</w:t>
            </w:r>
          </w:p>
        </w:tc>
        <w:tc>
          <w:tcPr>
            <w:tcW w:type="dxa" w:w="15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YES</w:t>
            </w:r>
          </w:p>
        </w:tc>
        <w:tc>
          <w:tcPr>
            <w:tcW w:type="dxa" w:w="25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IndiaAI Mission + NVIDIA Blackwell deployment</w:t>
            </w:r>
          </w:p>
        </w:tc>
      </w:tr>
      <w:tr>
        <w:tc>
          <w:tcPr>
            <w:tcW w:type="dxa" w:w="60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G4</w:t>
            </w:r>
          </w:p>
        </w:tc>
        <w:tc>
          <w:tcPr>
            <w:tcW w:type="dxa" w:w="548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Is stock in Stage 1 or Stage 2 (Weinstein)?</w:t>
            </w:r>
          </w:p>
        </w:tc>
        <w:tc>
          <w:tcPr>
            <w:tcW w:type="dxa" w:w="150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pPr>
              <w:jc w:val="left"/>
            </w:pPr>
            <w:r>
              <w:rPr>
                <w:rFonts w:ascii="Arial" w:cs="Arial" w:eastAsia="Arial" w:hAnsi="Arial"/>
                <w:b/>
                <w:bCs/>
                <w:color w:val="996600"/>
                <w:sz w:val="18"/>
                <w:szCs w:val="18"/>
              </w:rPr>
              <w:t xml:space="preserve">BORDERLINE</w:t>
            </w:r>
          </w:p>
        </w:tc>
        <w:tc>
          <w:tcPr>
            <w:tcW w:type="dxa" w:w="250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Price ~₹2,327 near 30W MA, recovering from ₹1,710 low</w:t>
            </w:r>
          </w:p>
        </w:tc>
      </w:tr>
      <w:tr>
        <w:tc>
          <w:tcPr>
            <w:tcW w:type="dxa" w:w="6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G5</w:t>
            </w:r>
          </w:p>
        </w:tc>
        <w:tc>
          <w:tcPr>
            <w:tcW w:type="dxa" w:w="548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Is revenue flat or growing over last 6 quarters?</w:t>
            </w:r>
          </w:p>
        </w:tc>
        <w:tc>
          <w:tcPr>
            <w:tcW w:type="dxa" w:w="15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YES</w:t>
            </w:r>
          </w:p>
        </w:tc>
        <w:tc>
          <w:tcPr>
            <w:tcW w:type="dxa" w:w="25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CAGR 47% 3Y; TTM ₹183 Cr</w:t>
            </w:r>
          </w:p>
        </w:tc>
      </w:tr>
    </w:tbl>
    <w:p>
      <w:pPr>
        <w:spacing w:before="40" w:after="40"/>
      </w:pPr>
    </w:p>
    <w:p>
      <w:pPr>
        <w:spacing w:before="80" w:after="80"/>
      </w:pPr>
      <w:r>
        <w:rPr>
          <w:rFonts w:ascii="Arial" w:cs="Arial" w:eastAsia="Arial" w:hAnsi="Arial"/>
          <w:b/>
          <w:bCs/>
          <w:sz w:val="20"/>
          <w:szCs w:val="20"/>
        </w:rPr>
        <w:t xml:space="preserve">Gate Result: 3.5/5 (G2 fails outright; G4 borderline). Under normal circumstances, this would result in ARCHIVE. However, the Pre-Screen Gate is superseded by the Hard Disqualification Layer which fires independently.</w:t>
      </w:r>
    </w:p>
    <w:p>
      <w:pPr>
        <w:spacing w:before="40" w:after="40"/>
      </w:pPr>
    </w:p>
    <w:p>
      <w:pPr>
        <w:spacing w:before="300" w:after="100"/>
      </w:pPr>
      <w:r>
        <w:rPr>
          <w:rFonts w:ascii="Arial" w:cs="Arial" w:eastAsia="Arial" w:hAnsi="Arial"/>
          <w:b/>
          <w:bCs/>
          <w:color w:val="1B3A5C"/>
          <w:sz w:val="24"/>
          <w:szCs w:val="24"/>
        </w:rPr>
        <w:t xml:space="preserve">HARD DISQUALIFICATION LAYER</w:t>
      </w:r>
    </w:p>
    <w:p>
      <w:pPr>
        <w:spacing w:before="80" w:after="80"/>
      </w:pPr>
      <w:r>
        <w:rPr>
          <w:rFonts w:ascii="Arial" w:cs="Arial" w:eastAsia="Arial" w:hAnsi="Arial"/>
          <w:b/>
          <w:bCs/>
          <w:color w:val="CC0000"/>
          <w:sz w:val="20"/>
          <w:szCs w:val="20"/>
        </w:rPr>
        <w:t xml:space="preserve">Check before scoring. Any trigger fires = AUTOMATIC STRONG AVOID. Stop. State trigger.</w:t>
      </w:r>
    </w:p>
    <w:p>
      <w:pPr>
        <w:spacing w:before="40"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00"/>
        <w:gridCol w:w="2000"/>
        <w:gridCol w:w="2580"/>
      </w:tblGrid>
      <w:tr>
        <w:tc>
          <w:tcPr>
            <w:tcW w:type="dxa" w:w="5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Trigger</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Status</w:t>
            </w:r>
          </w:p>
        </w:tc>
        <w:tc>
          <w:tcPr>
            <w:tcW w:type="dxa" w:w="25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Evidence</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CFO/EBITDA &lt; 30% for 3+ consecutive years</w:t>
            </w:r>
          </w:p>
        </w:tc>
        <w:tc>
          <w:tcPr>
            <w:tcW w:type="dxa" w:w="20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CLEAR</w:t>
            </w:r>
          </w:p>
        </w:tc>
        <w:tc>
          <w:tcPr>
            <w:tcW w:type="dxa" w:w="258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CFO/EBITDA FY25: 88/97 = 91%</w:t>
            </w:r>
          </w:p>
        </w:tc>
      </w:tr>
      <w:tr>
        <w:tc>
          <w:tcPr>
            <w:tcW w:type="dxa" w:w="55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Promoter pledging &gt; 50% of promoter holding</w:t>
            </w:r>
          </w:p>
        </w:tc>
        <w:tc>
          <w:tcPr>
            <w:tcW w:type="dxa" w:w="20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bCs/>
                <w:color w:val="CC0000"/>
                <w:sz w:val="18"/>
                <w:szCs w:val="18"/>
              </w:rPr>
              <w:t xml:space="preserve">TRIGGERED</w:t>
            </w:r>
          </w:p>
        </w:tc>
        <w:tc>
          <w:tcPr>
            <w:tcW w:type="dxa" w:w="258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60.4% pledged (Screener, Dec 2025 SHP)</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Auditor qualified opinion / disclaimer in last 2 years</w:t>
            </w:r>
          </w:p>
        </w:tc>
        <w:tc>
          <w:tcPr>
            <w:tcW w:type="dxa" w:w="20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CLEAR</w:t>
            </w:r>
          </w:p>
        </w:tc>
        <w:tc>
          <w:tcPr>
            <w:tcW w:type="dxa" w:w="258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qualification found</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Credit rating downgrade in last 12 months</w:t>
            </w:r>
          </w:p>
        </w:tc>
        <w:tc>
          <w:tcPr>
            <w:tcW w:type="dxa" w:w="20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CLEAR</w:t>
            </w:r>
          </w:p>
        </w:tc>
        <w:tc>
          <w:tcPr>
            <w:tcW w:type="dxa" w:w="258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ICRA rating update Nov 2025 (no downgrade)</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Same earnings trigger guided 4+ consecutive Qs, undelivered</w:t>
            </w:r>
          </w:p>
        </w:tc>
        <w:tc>
          <w:tcPr>
            <w:tcW w:type="dxa" w:w="20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CLEAR</w:t>
            </w:r>
          </w:p>
        </w:tc>
        <w:tc>
          <w:tcPr>
            <w:tcW w:type="dxa" w:w="258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GPU deployment trigger is relatively new</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Equity dilution &gt; 20% in last 3 years without proportionate EBITDA growth</w:t>
            </w:r>
          </w:p>
        </w:tc>
        <w:tc>
          <w:tcPr>
            <w:tcW w:type="dxa" w:w="20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CLEAR</w:t>
            </w:r>
          </w:p>
        </w:tc>
        <w:tc>
          <w:tcPr>
            <w:tcW w:type="dxa" w:w="258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Shares +43% (14 to 20 Cr), EBITDA +194% (33 to 97 Cr)</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Active SEBI enforcement action or regulatory investigation</w:t>
            </w:r>
          </w:p>
        </w:tc>
        <w:tc>
          <w:tcPr>
            <w:tcW w:type="dxa" w:w="20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CLEAR</w:t>
            </w:r>
          </w:p>
        </w:tc>
        <w:tc>
          <w:tcPr>
            <w:tcW w:type="dxa" w:w="258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None found in filings</w:t>
            </w:r>
          </w:p>
        </w:tc>
      </w:tr>
    </w:tbl>
    <w:p>
      <w:pPr>
        <w:spacing w:before="40"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0F0" w:val="clear"/>
            <w:tcMar>
              <w:top w:type="dxa" w:w="150"/>
              <w:left w:type="dxa" w:w="200"/>
              <w:bottom w:type="dxa" w:w="150"/>
              <w:right w:type="dxa" w:w="200"/>
            </w:tcMar>
          </w:tcPr>
          <w:p>
            <w:r>
              <w:rPr>
                <w:rFonts w:ascii="Arial" w:cs="Arial" w:eastAsia="Arial" w:hAnsi="Arial"/>
                <w:b/>
                <w:bCs/>
                <w:color w:val="CC0000"/>
                <w:sz w:val="22"/>
                <w:szCs w:val="22"/>
              </w:rPr>
              <w:t xml:space="preserve">DISQUALIFICATION FIRED: </w:t>
            </w:r>
            <w:r>
              <w:rPr>
                <w:rFonts w:ascii="Arial" w:cs="Arial" w:eastAsia="Arial" w:hAnsi="Arial"/>
                <w:color w:val="660000"/>
                <w:sz w:val="20"/>
                <w:szCs w:val="20"/>
              </w:rPr>
              <w:t xml:space="preserve">Promoter pledging at 60.4% exceeds the 50% hard ceiling. Per framework rules, this is an automatic STRONG AVOID. Full 6-phase scoring is not conducted.</w:t>
            </w:r>
          </w:p>
        </w:tc>
      </w:tr>
    </w:tbl>
    <w:p>
      <w:pPr>
        <w:spacing w:before="40" w:after="40"/>
      </w:pPr>
    </w:p>
    <w:p>
      <w:r>
        <w:br w:type="page"/>
      </w:r>
    </w:p>
    <w:p>
      <w:pPr>
        <w:spacing w:before="300" w:after="100"/>
      </w:pPr>
      <w:r>
        <w:rPr>
          <w:rFonts w:ascii="Arial" w:cs="Arial" w:eastAsia="Arial" w:hAnsi="Arial"/>
          <w:b/>
          <w:bCs/>
          <w:color w:val="1B3A5C"/>
          <w:sz w:val="24"/>
          <w:szCs w:val="24"/>
        </w:rPr>
        <w:t xml:space="preserve">FINANCIAL SNAPSHOT (For Reference)</w:t>
      </w:r>
    </w:p>
    <w:p>
      <w:pPr>
        <w:spacing w:before="80" w:after="80"/>
      </w:pPr>
      <w:r>
        <w:rPr>
          <w:rFonts w:ascii="Arial" w:cs="Arial" w:eastAsia="Arial" w:hAnsi="Arial"/>
          <w:sz w:val="20"/>
          <w:szCs w:val="20"/>
        </w:rPr>
        <w:t xml:space="preserve">While full scoring is not performed for a disqualified stock, the following financial data is documented for the re-entry gate assessment.</w:t>
      </w:r>
    </w:p>
    <w:p>
      <w:pPr>
        <w:spacing w:before="40" w:after="40"/>
      </w:pPr>
    </w:p>
    <w:p>
      <w:pPr>
        <w:spacing w:before="300" w:after="100"/>
      </w:pPr>
      <w:r>
        <w:rPr>
          <w:rFonts w:ascii="Arial" w:cs="Arial" w:eastAsia="Arial" w:hAnsi="Arial"/>
          <w:b/>
          <w:bCs/>
          <w:color w:val="1B3A5C"/>
          <w:sz w:val="24"/>
          <w:szCs w:val="24"/>
        </w:rPr>
        <w:t xml:space="preserve">Revenue &amp; Profitability Trend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400"/>
        <w:gridCol w:w="1400"/>
        <w:gridCol w:w="1380"/>
      </w:tblGrid>
      <w:tr>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Metric</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FY20</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FY21</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FY22</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FY23</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FY24</w:t>
            </w:r>
          </w:p>
        </w:tc>
        <w:tc>
          <w:tcPr>
            <w:tcW w:type="dxa" w:w="13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FY25</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Revenue (₹ Cr)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94</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164</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EBITDA (₹ Cr)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48</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97</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OPM %</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51%</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59%</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PAT (₹ Cr)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47</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CFO (₹ Cr)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43</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88</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CFO/EBITDA %</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90%</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91%</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Depreciation (₹ Cr)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60</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ROCE %</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w:t>
            </w:r>
          </w:p>
        </w:tc>
        <w:tc>
          <w:tcPr>
            <w:tcW w:type="dxa" w:w="1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r>
    </w:tbl>
    <w:p>
      <w:pPr>
        <w:spacing w:before="40" w:after="40"/>
      </w:pPr>
    </w:p>
    <w:p>
      <w:pPr>
        <w:spacing w:before="300" w:after="100"/>
      </w:pPr>
      <w:r>
        <w:rPr>
          <w:rFonts w:ascii="Arial" w:cs="Arial" w:eastAsia="Arial" w:hAnsi="Arial"/>
          <w:b/>
          <w:bCs/>
          <w:color w:val="1B3A5C"/>
          <w:sz w:val="24"/>
          <w:szCs w:val="24"/>
        </w:rPr>
        <w:t xml:space="preserve">Recent Quarterly Trend (FY26)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20"/>
        <w:gridCol w:w="2520"/>
        <w:gridCol w:w="254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Metric</w:t>
            </w:r>
          </w:p>
        </w:tc>
        <w:tc>
          <w:tcPr>
            <w:tcW w:type="dxa" w:w="25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Q1 FY26 (Jun 25)</w:t>
            </w:r>
          </w:p>
        </w:tc>
        <w:tc>
          <w:tcPr>
            <w:tcW w:type="dxa" w:w="25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Q2 FY26 (Sep 25)</w:t>
            </w:r>
          </w:p>
        </w:tc>
        <w:tc>
          <w:tcPr>
            <w:tcW w:type="dxa" w:w="25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Q3 FY26 (Dec 25)</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Revenue (₹ Cr)</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36.11</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43.80</w:t>
            </w:r>
          </w:p>
        </w:tc>
        <w:tc>
          <w:tcPr>
            <w:tcW w:type="dxa" w:w="25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70.02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EBITDA (₹ Cr)</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10.51</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18.01</w:t>
            </w:r>
          </w:p>
        </w:tc>
        <w:tc>
          <w:tcPr>
            <w:tcW w:type="dxa" w:w="25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39.65</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OPM %</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29.1%</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41.1%</w:t>
            </w:r>
          </w:p>
        </w:tc>
        <w:tc>
          <w:tcPr>
            <w:tcW w:type="dxa" w:w="25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56.6%</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Depreciation (₹ Cr)</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27.43</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42.80</w:t>
            </w:r>
          </w:p>
        </w:tc>
        <w:tc>
          <w:tcPr>
            <w:tcW w:type="dxa" w:w="25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47.65</w:t>
            </w:r>
          </w:p>
        </w:tc>
      </w:tr>
      <w:tr>
        <w:tc>
          <w:tcPr>
            <w:tcW w:type="dxa" w:w="25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PAT (₹ Cr)</w:t>
            </w:r>
          </w:p>
        </w:tc>
        <w:tc>
          <w:tcPr>
            <w:tcW w:type="dxa" w:w="252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CC0000"/>
                <w:sz w:val="18"/>
                <w:szCs w:val="18"/>
              </w:rPr>
              <w:t xml:space="preserve">-2.84</w:t>
            </w:r>
          </w:p>
        </w:tc>
        <w:tc>
          <w:tcPr>
            <w:tcW w:type="dxa" w:w="252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CC0000"/>
                <w:sz w:val="18"/>
                <w:szCs w:val="18"/>
              </w:rPr>
              <w:t xml:space="preserve">-13.46</w:t>
            </w:r>
          </w:p>
        </w:tc>
        <w:tc>
          <w:tcPr>
            <w:tcW w:type="dxa" w:w="254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CC0000"/>
                <w:sz w:val="18"/>
                <w:szCs w:val="18"/>
              </w:rPr>
              <w:t xml:space="preserve">-5.70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Other Income (₹ Cr)</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15.00</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8.30</w:t>
            </w:r>
          </w:p>
        </w:tc>
        <w:tc>
          <w:tcPr>
            <w:tcW w:type="dxa" w:w="25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5.22</w:t>
            </w:r>
          </w:p>
        </w:tc>
      </w:tr>
    </w:tbl>
    <w:p>
      <w:pPr>
        <w:spacing w:before="40" w:after="40"/>
      </w:pPr>
    </w:p>
    <w:p>
      <w:pPr>
        <w:spacing w:before="80" w:after="80"/>
      </w:pPr>
      <w:r>
        <w:rPr>
          <w:rFonts w:ascii="Arial" w:cs="Arial" w:eastAsia="Arial" w:hAnsi="Arial"/>
          <w:sz w:val="20"/>
          <w:szCs w:val="20"/>
        </w:rPr>
        <w:t xml:space="preserve">Key observation: Revenue is growing sharply (Q3 FY26 up 68% YoY and 60% QoQ), and EBITDA margins are recovering to 57%. However, depreciation of ₹117.88 Cr in 9M FY26 (vs revenue of ₹149.93 Cr) is pushing the company into net losses. TTM depreciation of ₹137 Cr represents 75% of TTM revenue — a structural feature of the GPU-as-a-service model where massive upfront capex on GPU hardware gets depreciated rapidly.</w:t>
      </w:r>
    </w:p>
    <w:p>
      <w:pPr>
        <w:spacing w:before="40" w:after="40"/>
      </w:pPr>
    </w:p>
    <w:p>
      <w:pPr>
        <w:spacing w:before="300" w:after="100"/>
      </w:pPr>
      <w:r>
        <w:rPr>
          <w:rFonts w:ascii="Arial" w:cs="Arial" w:eastAsia="Arial" w:hAnsi="Arial"/>
          <w:b/>
          <w:bCs/>
          <w:color w:val="1B3A5C"/>
          <w:sz w:val="24"/>
          <w:szCs w:val="24"/>
        </w:rPr>
        <w:t xml:space="preserve">Shareholding Pattern Trend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600"/>
        <w:gridCol w:w="16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Category</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Mar 23</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Mar 24</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Sep 24</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Mar 25</w:t>
            </w:r>
          </w:p>
        </w:tc>
        <w:tc>
          <w:tcPr>
            <w:tcW w:type="dxa" w:w="1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Dec 25</w:t>
            </w:r>
          </w:p>
        </w:tc>
      </w:tr>
      <w:tr>
        <w:tc>
          <w:tcPr>
            <w:tcW w:type="dxa" w:w="20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Promoters</w:t>
            </w:r>
          </w:p>
        </w:tc>
        <w:tc>
          <w:tcPr>
            <w:tcW w:type="dxa" w:w="1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59.71%</w:t>
            </w:r>
          </w:p>
        </w:tc>
        <w:tc>
          <w:tcPr>
            <w:tcW w:type="dxa" w:w="1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59.71%</w:t>
            </w:r>
          </w:p>
        </w:tc>
        <w:tc>
          <w:tcPr>
            <w:tcW w:type="dxa" w:w="1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51.56%</w:t>
            </w:r>
          </w:p>
        </w:tc>
        <w:tc>
          <w:tcPr>
            <w:tcW w:type="dxa" w:w="1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43.60%</w:t>
            </w:r>
          </w:p>
        </w:tc>
        <w:tc>
          <w:tcPr>
            <w:tcW w:type="dxa" w:w="168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40.30%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FIIs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3.82%</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0.97%</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DIIs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5.75%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4.11%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3.80%</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5.57%</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Public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23.15%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32.65%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40.83%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48.65%</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53.07%</w:t>
            </w:r>
          </w:p>
        </w:tc>
      </w:tr>
      <w:tr>
        <w:tc>
          <w:tcPr>
            <w:tcW w:type="dxa" w:w="20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Pledge % of Promoter</w:t>
            </w:r>
          </w:p>
        </w:tc>
        <w:tc>
          <w:tcPr>
            <w:tcW w:type="dxa" w:w="1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1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1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~56%</w:t>
            </w:r>
          </w:p>
        </w:tc>
        <w:tc>
          <w:tcPr>
            <w:tcW w:type="dxa" w:w="1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56.3%</w:t>
            </w:r>
          </w:p>
        </w:tc>
        <w:tc>
          <w:tcPr>
            <w:tcW w:type="dxa" w:w="168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60.4%</w:t>
            </w:r>
          </w:p>
        </w:tc>
      </w:tr>
    </w:tbl>
    <w:p>
      <w:pPr>
        <w:spacing w:before="40" w:after="40"/>
      </w:pPr>
    </w:p>
    <w:p>
      <w:pPr>
        <w:spacing w:before="80" w:after="80"/>
      </w:pPr>
      <w:r>
        <w:rPr>
          <w:rFonts w:ascii="Arial" w:cs="Arial" w:eastAsia="Arial" w:hAnsi="Arial"/>
          <w:sz w:val="20"/>
          <w:szCs w:val="20"/>
        </w:rPr>
        <w:t xml:space="preserve">Promoter holding has eroded from 59.71% to 40.30% in under 3 years. L&amp;T acquired a 21% stake in Nov 2024 for ₹1,407 Cr (at ~₹3,350/share, well above current CMP). The pledging has increased from ~56% to 60.4%, suggesting the pledging is tied to financing GPU procurement capex rather than declining with L&amp;T’s capital infusion.</w:t>
      </w:r>
    </w:p>
    <w:p>
      <w:pPr>
        <w:spacing w:before="40" w:after="40"/>
      </w:pPr>
    </w:p>
    <w:p>
      <w:r>
        <w:br w:type="page"/>
      </w:r>
    </w:p>
    <w:p>
      <w:pPr>
        <w:spacing w:before="300" w:after="100"/>
      </w:pPr>
      <w:r>
        <w:rPr>
          <w:rFonts w:ascii="Arial" w:cs="Arial" w:eastAsia="Arial" w:hAnsi="Arial"/>
          <w:b/>
          <w:bCs/>
          <w:color w:val="1B3A5C"/>
          <w:sz w:val="24"/>
          <w:szCs w:val="24"/>
        </w:rPr>
        <w:t xml:space="preserve">ADDITIONAL RED FLAGS (Beyond Disqualification)</w:t>
      </w:r>
    </w:p>
    <w:p>
      <w:pPr>
        <w:spacing w:before="40"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98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Flag</w:t>
            </w:r>
          </w:p>
        </w:tc>
        <w:tc>
          <w:tcPr>
            <w:tcW w:type="dxa" w:w="59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Detail</w:t>
            </w:r>
          </w:p>
        </w:tc>
      </w:tr>
      <w:tr>
        <w:tc>
          <w:tcPr>
            <w:tcW w:type="dxa" w:w="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35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 consecutive quarters of net loss</w:t>
            </w:r>
          </w:p>
        </w:tc>
        <w:tc>
          <w:tcPr>
            <w:tcW w:type="dxa" w:w="598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Q1 FY26: -₹2.84 Cr | Q2: -₹13.46 Cr | Q3: -₹5.70 Cr. Losses driven by depreciation explosion from GPU capex.</w:t>
            </w:r>
          </w:p>
        </w:tc>
      </w:tr>
      <w:tr>
        <w:tc>
          <w:tcPr>
            <w:tcW w:type="dxa" w:w="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35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Depreciation &gt; 75% of TTM revenue</w:t>
            </w:r>
          </w:p>
        </w:tc>
        <w:tc>
          <w:tcPr>
            <w:tcW w:type="dxa" w:w="598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TTM Depreciation ₹137 Cr vs TTM Revenue ₹183 Cr. GPU hardware depreciates in 3–5 years, creating structural P&amp;L drag during scale-up.</w:t>
            </w:r>
          </w:p>
        </w:tc>
      </w:tr>
      <w:tr>
        <w:tc>
          <w:tcPr>
            <w:tcW w:type="dxa" w:w="60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350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QIP dilution imminent</w:t>
            </w:r>
          </w:p>
        </w:tc>
        <w:tc>
          <w:tcPr>
            <w:tcW w:type="dxa" w:w="598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QIP opened Feb 25, 2026 at floor price ₹2,630.60/share for 150 Cr shares. Purpose: GPU procurement capex. This will further dilute existing shareholders.</w:t>
            </w:r>
          </w:p>
        </w:tc>
      </w:tr>
      <w:tr>
        <w:tc>
          <w:tcPr>
            <w:tcW w:type="dxa" w:w="60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350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ROCE collapsed from 25% to 8%</w:t>
            </w:r>
          </w:p>
        </w:tc>
        <w:tc>
          <w:tcPr>
            <w:tcW w:type="dxa" w:w="598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ROCE fell from 25% (FY24) to 8% (FY25) as massive capex deployed. ROE at 5.71%. Return metrics are poor relative to capital employed.</w:t>
            </w:r>
          </w:p>
        </w:tc>
      </w:tr>
      <w:tr>
        <w:tc>
          <w:tcPr>
            <w:tcW w:type="dxa" w:w="60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350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Interest coverage ratio is low</w:t>
            </w:r>
          </w:p>
        </w:tc>
        <w:tc>
          <w:tcPr>
            <w:tcW w:type="dxa" w:w="598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Borrowings rose to ₹160 Cr (Sep 2025). Interest expense ₹11 Cr TTM vs operating loss in 9M FY26.</w:t>
            </w:r>
          </w:p>
        </w:tc>
      </w:tr>
      <w:tr>
        <w:tc>
          <w:tcPr>
            <w:tcW w:type="dxa" w:w="60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350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FII holding collapsing</w:t>
            </w:r>
          </w:p>
        </w:tc>
        <w:tc>
          <w:tcPr>
            <w:tcW w:type="dxa" w:w="598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FII holding dropped from 3.82% (Mar 25) to 0.97% (Dec 25). Institutional money is exiting.</w:t>
            </w:r>
          </w:p>
        </w:tc>
      </w:tr>
      <w:tr>
        <w:tc>
          <w:tcPr>
            <w:tcW w:type="dxa" w:w="60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350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Other income inflating reported profits</w:t>
            </w:r>
          </w:p>
        </w:tc>
        <w:tc>
          <w:tcPr>
            <w:tcW w:type="dxa" w:w="5980"/>
            <w:tcBorders>
              <w:top w:val="single" w:color="CCCCCC" w:sz="1"/>
              <w:left w:val="single" w:color="CCCCCC" w:sz="1"/>
              <w:bottom w:val="single" w:color="CCCCCC" w:sz="1"/>
              <w:right w:val="single" w:color="CCCCCC" w:sz="1"/>
            </w:tcBorders>
            <w:shd w:fill="FFF8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TTM other income ₹54 Cr (mostly in FY25: ₹39 Cr). Core operating earnings are negative.</w:t>
            </w:r>
          </w:p>
        </w:tc>
      </w:tr>
    </w:tbl>
    <w:p>
      <w:pPr>
        <w:spacing w:before="40" w:after="40"/>
      </w:pPr>
    </w:p>
    <w:p>
      <w:pPr>
        <w:spacing w:before="300" w:after="100"/>
      </w:pPr>
      <w:r>
        <w:rPr>
          <w:rFonts w:ascii="Arial" w:cs="Arial" w:eastAsia="Arial" w:hAnsi="Arial"/>
          <w:b/>
          <w:bCs/>
          <w:color w:val="1B3A5C"/>
          <w:sz w:val="24"/>
          <w:szCs w:val="24"/>
        </w:rPr>
        <w:t xml:space="preserve">BULL CASE ACKNOWLEDGED (For Re-Entry Gate Context)</w:t>
      </w:r>
    </w:p>
    <w:p>
      <w:pPr>
        <w:spacing w:before="80" w:after="80"/>
      </w:pPr>
      <w:r>
        <w:rPr>
          <w:rFonts w:ascii="Arial" w:cs="Arial" w:eastAsia="Arial" w:hAnsi="Arial"/>
          <w:sz w:val="20"/>
          <w:szCs w:val="20"/>
        </w:rPr>
        <w:t xml:space="preserve">Despite disqualification, the business has genuine structural tailwinds that warrant documentation for future re-entry assessment:</w:t>
      </w:r>
    </w:p>
    <w:p>
      <w:pPr>
        <w:spacing w:before="40" w:after="40"/>
      </w:pPr>
    </w:p>
    <w:p>
      <w:pPr>
        <w:spacing w:before="80" w:after="80"/>
      </w:pPr>
      <w:r>
        <w:rPr>
          <w:rFonts w:ascii="Arial" w:cs="Arial" w:eastAsia="Arial" w:hAnsi="Arial"/>
          <w:sz w:val="20"/>
          <w:szCs w:val="20"/>
        </w:rPr>
        <w:t xml:space="preserve">1. Sovereign AI demand: India’s ₹10,300 Cr IndiaAI Mission is creating a structural demand floor for domestic GPU cloud. E2E has secured ~₹265 Cr in orders under this program.</w:t>
      </w:r>
    </w:p>
    <w:p>
      <w:pPr>
        <w:spacing w:before="80" w:after="80"/>
      </w:pPr>
      <w:r>
        <w:rPr>
          <w:rFonts w:ascii="Arial" w:cs="Arial" w:eastAsia="Arial" w:hAnsi="Arial"/>
          <w:sz w:val="20"/>
          <w:szCs w:val="20"/>
        </w:rPr>
        <w:t xml:space="preserve">2. NVIDIA partnership: E2E is deploying NVIDIA Blackwell (B200) GPU clusters at the L&amp;T-Vyoma data centre in Chennai. This positions it as India’s leading GPU cloud provider.</w:t>
      </w:r>
    </w:p>
    <w:p>
      <w:pPr>
        <w:spacing w:before="80" w:after="80"/>
      </w:pPr>
      <w:r>
        <w:rPr>
          <w:rFonts w:ascii="Arial" w:cs="Arial" w:eastAsia="Arial" w:hAnsi="Arial"/>
          <w:sz w:val="20"/>
          <w:szCs w:val="20"/>
        </w:rPr>
        <w:t xml:space="preserve">3. L&amp;T strategic backing: L&amp;T holds ~15% stake and signed an MOU (Feb 2026) for GPU cloud commercialization. This provides credibility and potential enterprise channel access.</w:t>
      </w:r>
    </w:p>
    <w:p>
      <w:pPr>
        <w:spacing w:before="80" w:after="80"/>
      </w:pPr>
      <w:r>
        <w:rPr>
          <w:rFonts w:ascii="Arial" w:cs="Arial" w:eastAsia="Arial" w:hAnsi="Arial"/>
          <w:sz w:val="20"/>
          <w:szCs w:val="20"/>
        </w:rPr>
        <w:t xml:space="preserve">4. Revenue inflection: Q3 FY26 revenue of ₹70 Cr represents 68% YoY and 60% QoQ growth. EBITDA margins rebounded to 57%. Operating leverage is visible.</w:t>
      </w:r>
    </w:p>
    <w:p>
      <w:pPr>
        <w:spacing w:before="80" w:after="80"/>
      </w:pPr>
      <w:r>
        <w:rPr>
          <w:rFonts w:ascii="Arial" w:cs="Arial" w:eastAsia="Arial" w:hAnsi="Arial"/>
          <w:sz w:val="20"/>
          <w:szCs w:val="20"/>
        </w:rPr>
        <w:t xml:space="preserve">5. Policy tailwind: Union Budget 2026 announced tax holidays till 2047 for foreign cloud companies using Indian data centres, plus 15% safe harbour margin.</w:t>
      </w:r>
    </w:p>
    <w:p>
      <w:pPr>
        <w:spacing w:before="80" w:after="80"/>
      </w:pPr>
      <w:r>
        <w:rPr>
          <w:rFonts w:ascii="Arial" w:cs="Arial" w:eastAsia="Arial" w:hAnsi="Arial"/>
          <w:sz w:val="20"/>
          <w:szCs w:val="20"/>
        </w:rPr>
        <w:t xml:space="preserve">6. Cash flow quality: CFO/EBITDA has been consistently &gt;90% in profitable years. The company converts operating profit to cash well.</w:t>
      </w:r>
    </w:p>
    <w:p>
      <w:pPr>
        <w:spacing w:before="40" w:after="40"/>
      </w:pPr>
    </w:p>
    <w:p>
      <w:pPr>
        <w:spacing w:before="300" w:after="100"/>
      </w:pPr>
      <w:r>
        <w:rPr>
          <w:rFonts w:ascii="Arial" w:cs="Arial" w:eastAsia="Arial" w:hAnsi="Arial"/>
          <w:b/>
          <w:bCs/>
          <w:color w:val="1B3A5C"/>
          <w:sz w:val="24"/>
          <w:szCs w:val="24"/>
        </w:rPr>
        <w:t xml:space="preserve">RE-ENTRY GATES</w:t>
      </w:r>
    </w:p>
    <w:p>
      <w:pPr>
        <w:spacing w:before="80" w:after="80"/>
      </w:pPr>
      <w:r>
        <w:rPr>
          <w:rFonts w:ascii="Arial" w:cs="Arial" w:eastAsia="Arial" w:hAnsi="Arial"/>
          <w:sz w:val="20"/>
          <w:szCs w:val="20"/>
        </w:rPr>
        <w:t xml:space="preserve">E2E Networks is archived with STRONG AVOID. The following specific, observable conditions must ALL be met before re-entering the analysis pipeline:</w:t>
      </w:r>
    </w:p>
    <w:p>
      <w:pPr>
        <w:spacing w:before="40"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498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Condition</w:t>
            </w:r>
          </w:p>
        </w:tc>
        <w:tc>
          <w:tcPr>
            <w:tcW w:type="dxa" w:w="49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How to Verify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Promoter pledging drops below 40% of promoter holding</w:t>
            </w:r>
          </w:p>
        </w:tc>
        <w:tc>
          <w:tcPr>
            <w:tcW w:type="dxa" w:w="49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BSE shareholding pattern filing. Must sustain for 2 consecutive quarters.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Net profit positive for 2 consecutive quarters</w:t>
            </w:r>
          </w:p>
        </w:tc>
        <w:tc>
          <w:tcPr>
            <w:tcW w:type="dxa" w:w="49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BSE quarterly results filing. Must be after QIP dilution is reflected.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Promoter holding stabilizes (no further decline for 2 Qs)</w:t>
            </w:r>
          </w:p>
        </w:tc>
        <w:tc>
          <w:tcPr>
            <w:tcW w:type="dxa" w:w="49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BSE shareholding pattern. Currently 40.3% and declining every quarter.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R4</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QIP completion and deployment clarity</w:t>
            </w:r>
          </w:p>
        </w:tc>
        <w:tc>
          <w:tcPr>
            <w:tcW w:type="dxa" w:w="49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BSE filing confirming QIP allotment, total dilution quantum, and capex deployment timeline.</w:t>
            </w:r>
          </w:p>
        </w:tc>
      </w:tr>
    </w:tbl>
    <w:p>
      <w:pPr>
        <w:spacing w:before="40" w:after="40"/>
      </w:pPr>
    </w:p>
    <w:p>
      <w:pPr>
        <w:spacing w:before="80" w:after="80"/>
      </w:pPr>
      <w:r>
        <w:rPr>
          <w:rFonts w:ascii="Arial" w:cs="Arial" w:eastAsia="Arial" w:hAnsi="Arial"/>
          <w:sz w:val="20"/>
          <w:szCs w:val="20"/>
        </w:rPr>
        <w:t xml:space="preserve">Earliest realistic re-check: Q1 FY27 results (July–August 2026), provided the QIP is completed and Q4 FY26 results show PAT turning positive with pledging declining post-QIP proceeds.</w:t>
      </w:r>
    </w:p>
    <w:p>
      <w:pPr>
        <w:spacing w:before="40" w:after="40"/>
      </w:pPr>
    </w:p>
    <w:p>
      <w:r>
        <w:br w:type="page"/>
      </w:r>
    </w:p>
    <w:p>
      <w:pPr>
        <w:spacing w:before="300" w:after="100"/>
      </w:pPr>
      <w:r>
        <w:rPr>
          <w:rFonts w:ascii="Arial" w:cs="Arial" w:eastAsia="Arial" w:hAnsi="Arial"/>
          <w:b/>
          <w:bCs/>
          <w:color w:val="1B3A5C"/>
          <w:sz w:val="24"/>
          <w:szCs w:val="24"/>
        </w:rPr>
        <w:t xml:space="preserve">PORTFOLIO TRACKER UPDATE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1500"/>
        <w:gridCol w:w="1400"/>
        <w:gridCol w:w="298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Stock</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Verdict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Score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Entry Zone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Stop Loss</w:t>
            </w:r>
          </w:p>
        </w:tc>
        <w:tc>
          <w:tcPr>
            <w:tcW w:type="dxa" w:w="29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Next Action</w:t>
            </w:r>
          </w:p>
        </w:tc>
      </w:tr>
      <w:tr>
        <w:tc>
          <w:tcPr>
            <w:tcW w:type="dxa" w:w="1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bCs/>
                <w:color w:val="333333"/>
                <w:sz w:val="18"/>
                <w:szCs w:val="18"/>
              </w:rPr>
              <w:t xml:space="preserve">E2E Networks (E2E)</w:t>
            </w:r>
          </w:p>
        </w:tc>
        <w:tc>
          <w:tcPr>
            <w:tcW w:type="dxa" w:w="14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bCs/>
                <w:color w:val="CC0000"/>
                <w:sz w:val="18"/>
                <w:szCs w:val="18"/>
              </w:rPr>
              <w:t xml:space="preserve">STRONG AVOID</w:t>
            </w:r>
          </w:p>
        </w:tc>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Disqualified</w:t>
            </w:r>
          </w:p>
        </w:tc>
        <w:tc>
          <w:tcPr>
            <w:tcW w:type="dxa" w:w="15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4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298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Re-check: Pledging &lt;40%, PAT +ve 2Qs, promoter holding stable, QIP completed</w:t>
            </w:r>
          </w:p>
        </w:tc>
      </w:tr>
    </w:tbl>
    <w:p>
      <w:pPr>
        <w:spacing w:before="40" w:after="40"/>
      </w:pPr>
    </w:p>
    <w:p>
      <w:pPr>
        <w:spacing w:before="40" w:after="40"/>
      </w:pPr>
    </w:p>
    <w:p>
      <w:pPr>
        <w:spacing w:before="300" w:after="100"/>
      </w:pPr>
      <w:r>
        <w:rPr>
          <w:rFonts w:ascii="Arial" w:cs="Arial" w:eastAsia="Arial" w:hAnsi="Arial"/>
          <w:b/>
          <w:bCs/>
          <w:color w:val="1B3A5C"/>
          <w:sz w:val="24"/>
          <w:szCs w:val="24"/>
        </w:rPr>
        <w:t xml:space="preserve">FRAMEWORK COMPLIANCE NOTE</w:t>
      </w:r>
    </w:p>
    <w:p>
      <w:pPr>
        <w:spacing w:before="80" w:after="80"/>
      </w:pPr>
      <w:r>
        <w:rPr>
          <w:rFonts w:ascii="Arial" w:cs="Arial" w:eastAsia="Arial" w:hAnsi="Arial"/>
          <w:sz w:val="20"/>
          <w:szCs w:val="20"/>
        </w:rPr>
        <w:t xml:space="preserve">This analysis was conducted under the 135-Point Institutional Equity Research Framework v3.0. The Hard Disqualification Layer fired on the promoter pledging trigger (60.4% &gt; 50% threshold), resulting in an automatic STRONG AVOID verdict without proceeding to the 6-phase scoring. This is by design — the disqualification layer exists to prevent sunk-cost attachment to stocks with binary governance risks, regardless of how compelling the business story may appear.</w:t>
      </w:r>
    </w:p>
    <w:p>
      <w:pPr>
        <w:spacing w:before="40" w:after="40"/>
      </w:pPr>
    </w:p>
    <w:p>
      <w:pPr>
        <w:spacing w:before="80" w:after="80"/>
      </w:pPr>
      <w:r>
        <w:rPr>
          <w:rFonts w:ascii="Arial" w:cs="Arial" w:eastAsia="Arial" w:hAnsi="Arial"/>
          <w:sz w:val="20"/>
          <w:szCs w:val="20"/>
        </w:rPr>
        <w:t xml:space="preserve">Data sources used: Screener.in, NSE India, BSE India, Trendlyne, Tickertape, company investor presentations (Q3 FY26), ICRA credit rating report (Nov 2025), Business Today, MarketsMojo.</w:t>
      </w:r>
    </w:p>
    <w:p>
      <w:pPr>
        <w:spacing w:before="40" w:after="40"/>
      </w:pPr>
    </w:p>
    <w:p>
      <w:pPr>
        <w:spacing w:before="80" w:after="80"/>
      </w:pPr>
      <w:r>
        <w:rPr>
          <w:rFonts w:ascii="Arial" w:cs="Arial" w:eastAsia="Arial" w:hAnsi="Arial"/>
          <w:sz w:val="20"/>
          <w:szCs w:val="20"/>
        </w:rPr>
        <w:t xml:space="preserve">Confidence Qualifier: MEDIUM — Full concall transcripts and annual reports were identified but not fully consumed due to early disqualification. Financial data from Screener.in and NSE filings was comprehensive.</w:t>
      </w:r>
    </w:p>
    <w:p>
      <w:pPr>
        <w:spacing w:before="40" w:after="40"/>
      </w:pPr>
    </w:p>
    <w:p>
      <w:pPr>
        <w:spacing w:before="400"/>
        <w:jc w:val="center"/>
      </w:pPr>
      <w:r>
        <w:rPr>
          <w:rFonts w:ascii="Arial" w:cs="Arial" w:eastAsia="Arial" w:hAnsi="Arial"/>
          <w:i/>
          <w:iCs/>
          <w:color w:val="999999"/>
          <w:sz w:val="18"/>
          <w:szCs w:val="18"/>
        </w:rPr>
        <w:t xml:space="preserve">— End of Analysis —</w:t>
      </w:r>
    </w:p>
    <w:p>
      <w:pPr>
        <w:spacing w:before="80"/>
        <w:jc w:val="center"/>
      </w:pPr>
      <w:r>
        <w:rPr>
          <w:rFonts w:ascii="Arial" w:cs="Arial" w:eastAsia="Arial" w:hAnsi="Arial"/>
          <w:color w:val="BBBBBB"/>
          <w:sz w:val="16"/>
          <w:szCs w:val="16"/>
        </w:rPr>
        <w:t xml:space="preserve">Framework v3.0 | India Equities (BSE/NSE)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2026-03-06T17:07:27.569Z</dcterms:created>
  <dcterms:modified xsi:type="dcterms:W3CDTF">2026-03-06T17:07:27.570Z</dcterms:modified>
</cp:coreProperties>
</file>

<file path=docProps/custom.xml><?xml version="1.0" encoding="utf-8"?>
<Properties xmlns="http://schemas.openxmlformats.org/officeDocument/2006/custom-properties" xmlns:vt="http://schemas.openxmlformats.org/officeDocument/2006/docPropsVTypes"/>
</file>