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c5f979d05324924239c3f3c6b4580a6fa0d9a21"/>
    <w:p>
      <w:pPr>
        <w:pStyle w:val="Heading1"/>
      </w:pPr>
      <w:r>
        <w:t xml:space="preserve">GLOSSAIRE IOA — Définitions, Scores et Performances Diagnostiques</w:t>
      </w:r>
    </w:p>
    <w:p>
      <w:pPr>
        <w:pStyle w:val="FirstParagraph"/>
      </w:pPr>
      <w:r>
        <w:rPr>
          <w:b/>
          <w:bCs/>
        </w:rPr>
        <w:t xml:space="preserve">Formation IOA — Plateforme VERTEX©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8 mars 2026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573d881763d42564c4df6fd78f767cef3f34500">
        <w:r>
          <w:rPr>
            <w:rStyle w:val="Hyperlink"/>
          </w:rPr>
          <w:t xml:space="preserve">PCT — Procalcitonine</w:t>
        </w:r>
      </w:hyperlink>
    </w:p>
    <w:p>
      <w:pPr>
        <w:pStyle w:val="Compact"/>
        <w:numPr>
          <w:ilvl w:val="0"/>
          <w:numId w:val="1001"/>
        </w:numPr>
      </w:pPr>
      <w:hyperlink w:anchor="X485df07599a35adb378249d3d5c2bdb3046640b">
        <w:r>
          <w:rPr>
            <w:rStyle w:val="Hyperlink"/>
          </w:rPr>
          <w:t xml:space="preserve">MALDI-TOF</w:t>
        </w:r>
      </w:hyperlink>
    </w:p>
    <w:p>
      <w:pPr>
        <w:pStyle w:val="Compact"/>
        <w:numPr>
          <w:ilvl w:val="0"/>
          <w:numId w:val="1001"/>
        </w:numPr>
      </w:pPr>
      <w:hyperlink w:anchor="Xd35aa062d457fcfd10ce3eff3343d480244f61f">
        <w:r>
          <w:rPr>
            <w:rStyle w:val="Hyperlink"/>
          </w:rPr>
          <w:t xml:space="preserve">NGS — Next-Generation Sequencing</w:t>
        </w:r>
      </w:hyperlink>
    </w:p>
    <w:p>
      <w:pPr>
        <w:pStyle w:val="Compact"/>
        <w:numPr>
          <w:ilvl w:val="0"/>
          <w:numId w:val="1001"/>
        </w:numPr>
      </w:pPr>
      <w:hyperlink w:anchor="Xab6e30c362b07b45546004f6d7606993e334229">
        <w:r>
          <w:rPr>
            <w:rStyle w:val="Hyperlink"/>
          </w:rPr>
          <w:t xml:space="preserve">DAIR — Debridement, Antibiotics, Irrigation, Retention</w:t>
        </w:r>
      </w:hyperlink>
    </w:p>
    <w:p>
      <w:pPr>
        <w:pStyle w:val="Compact"/>
        <w:numPr>
          <w:ilvl w:val="0"/>
          <w:numId w:val="1001"/>
        </w:numPr>
      </w:pPr>
      <w:hyperlink w:anchor="X36d50fe9518497be817af3bf2b3228e800267c8">
        <w:r>
          <w:rPr>
            <w:rStyle w:val="Hyperlink"/>
          </w:rPr>
          <w:t xml:space="preserve">Membrane Induite — Technique de Masquelet</w:t>
        </w:r>
      </w:hyperlink>
    </w:p>
    <w:p>
      <w:pPr>
        <w:pStyle w:val="Compact"/>
        <w:numPr>
          <w:ilvl w:val="0"/>
          <w:numId w:val="1001"/>
        </w:numPr>
      </w:pPr>
      <w:hyperlink w:anchor="X04f4da7c51d7aa2d109a028eda937955a78d0b2">
        <w:r>
          <w:rPr>
            <w:rStyle w:val="Hyperlink"/>
          </w:rPr>
          <w:t xml:space="preserve">IA et Algorithmes Diagnostiques pour les IOA</w:t>
        </w:r>
      </w:hyperlink>
    </w:p>
    <w:p>
      <w:pPr>
        <w:pStyle w:val="Compact"/>
        <w:numPr>
          <w:ilvl w:val="0"/>
          <w:numId w:val="1001"/>
        </w:numPr>
      </w:pPr>
      <w:hyperlink w:anchor="Xe8e527f65fb569b90c31a5fe3eb020b873896f8">
        <w:r>
          <w:rPr>
            <w:rStyle w:val="Hyperlink"/>
          </w:rPr>
          <w:t xml:space="preserve">VPP et VPN — Valeurs Prédictives</w:t>
        </w:r>
      </w:hyperlink>
    </w:p>
    <w:p>
      <w:pPr>
        <w:pStyle w:val="Compact"/>
        <w:numPr>
          <w:ilvl w:val="0"/>
          <w:numId w:val="1001"/>
        </w:numPr>
      </w:pPr>
      <w:hyperlink w:anchor="Xfe7eced314a1cad0a4acdc34cfc7e378664a2b8">
        <w:r>
          <w:rPr>
            <w:rStyle w:val="Hyperlink"/>
          </w:rPr>
          <w:t xml:space="preserve">Se et Sp — Sensibilité et Spécificité</w:t>
        </w:r>
      </w:hyperlink>
    </w:p>
    <w:p>
      <w:pPr>
        <w:pStyle w:val="Compact"/>
        <w:numPr>
          <w:ilvl w:val="0"/>
          <w:numId w:val="1001"/>
        </w:numPr>
      </w:pPr>
      <w:hyperlink w:anchor="X75a8cd56898e9fdbb0c860918fa2a6c4aafd828">
        <w:r>
          <w:rPr>
            <w:rStyle w:val="Hyperlink"/>
          </w:rPr>
          <w:t xml:space="preserve">Performances diagnostiques par examen isolé</w:t>
        </w:r>
      </w:hyperlink>
    </w:p>
    <w:p>
      <w:pPr>
        <w:pStyle w:val="Compact"/>
        <w:numPr>
          <w:ilvl w:val="0"/>
          <w:numId w:val="1001"/>
        </w:numPr>
      </w:pPr>
      <w:hyperlink w:anchor="X6104f2f8d4fa6952779c2d174156e2cd15bfebc">
        <w:r>
          <w:rPr>
            <w:rStyle w:val="Hyperlink"/>
          </w:rPr>
          <w:t xml:space="preserve">Performances des combinaisons diagnostiques</w:t>
        </w:r>
      </w:hyperlink>
    </w:p>
    <w:p>
      <w:pPr>
        <w:pStyle w:val="Compact"/>
        <w:numPr>
          <w:ilvl w:val="0"/>
          <w:numId w:val="1001"/>
        </w:numPr>
      </w:pPr>
      <w:hyperlink w:anchor="X09d8f2102fefd76d47ae6ff09769348735c491b">
        <w:r>
          <w:rPr>
            <w:rStyle w:val="Hyperlink"/>
          </w:rPr>
          <w:t xml:space="preserve">VPP et VPN selon le contexte clinique</w:t>
        </w:r>
      </w:hyperlink>
    </w:p>
    <w:p>
      <w:pPr>
        <w:pStyle w:val="Compact"/>
        <w:numPr>
          <w:ilvl w:val="0"/>
          <w:numId w:val="1001"/>
        </w:numPr>
      </w:pPr>
      <w:hyperlink w:anchor="X2dbe7e732e2fbb384b5e150626c28d92f35c480">
        <w:r>
          <w:rPr>
            <w:rStyle w:val="Hyperlink"/>
          </w:rPr>
          <w:t xml:space="preserve">Alpha-défensine</w:t>
        </w:r>
      </w:hyperlink>
    </w:p>
    <w:p>
      <w:pPr>
        <w:pStyle w:val="Compact"/>
        <w:numPr>
          <w:ilvl w:val="0"/>
          <w:numId w:val="1001"/>
        </w:numPr>
      </w:pPr>
      <w:hyperlink w:anchor="X09d256da4c286db46b95c463e0c1cb1508e9f6e">
        <w:r>
          <w:rPr>
            <w:rStyle w:val="Hyperlink"/>
          </w:rPr>
          <w:t xml:space="preserve">Critères ICM 2018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pct-procalcitonine"/>
    <w:p>
      <w:pPr>
        <w:pStyle w:val="Heading2"/>
      </w:pPr>
      <w:r>
        <w:t xml:space="preserve">1. PCT — Procalcitonine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procalcitonine (PCT)</w:t>
      </w:r>
      <w:r>
        <w:t xml:space="preserve"> </w:t>
      </w:r>
      <w:r>
        <w:t xml:space="preserve">est un biomarqueur sanguin d’infection bactérienne systémique.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Nature</w:t>
      </w:r>
      <w:r>
        <w:t xml:space="preserve"> </w:t>
      </w:r>
      <w:r>
        <w:t xml:space="preserve">: pro-hormone de la calcitonine (13 kDa), produite par les cellules C de la thyroïde et par les tissus extra-thyroïdiens en cas d’infection bactérienne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Valeur normale</w:t>
      </w:r>
      <w:r>
        <w:t xml:space="preserve"> </w:t>
      </w:r>
      <w:r>
        <w:t xml:space="preserve">: &lt; 0.05 ng/mL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Seuils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&lt; 0.25 ng/mL → infection bactérienne peu probable</w:t>
      </w:r>
    </w:p>
    <w:p>
      <w:pPr>
        <w:pStyle w:val="Compact"/>
        <w:numPr>
          <w:ilvl w:val="1"/>
          <w:numId w:val="1003"/>
        </w:numPr>
      </w:pPr>
      <w:r>
        <w:t xml:space="preserve">0.25 – 0.5 ng/mL → zone grise</w:t>
      </w:r>
    </w:p>
    <w:p>
      <w:pPr>
        <w:pStyle w:val="Compact"/>
        <w:numPr>
          <w:ilvl w:val="1"/>
          <w:numId w:val="1003"/>
        </w:numPr>
      </w:pPr>
      <w:r>
        <w:t xml:space="preserve">0.5 – 2 ng/mL → infection bactérienne probable</w:t>
      </w:r>
    </w:p>
    <w:p>
      <w:pPr>
        <w:pStyle w:val="BlockText"/>
        <w:numPr>
          <w:ilvl w:val="1"/>
          <w:numId w:val="1003"/>
        </w:numPr>
      </w:pPr>
      <w:r>
        <w:t xml:space="preserve">2 ng/mL → infection bactérienne sévère / sepsis</w:t>
      </w:r>
    </w:p>
    <w:p>
      <w:pPr>
        <w:pStyle w:val="BlockText"/>
        <w:numPr>
          <w:ilvl w:val="1"/>
          <w:numId w:val="1003"/>
        </w:numPr>
      </w:pPr>
      <w:r>
        <w:t xml:space="preserve">10 ng/mL → choc septique</w:t>
      </w:r>
    </w:p>
    <w:p>
      <w:pPr>
        <w:pStyle w:val="FirstParagraph"/>
      </w:pPr>
      <w:r>
        <w:rPr>
          <w:b/>
          <w:bCs/>
        </w:rPr>
        <w:t xml:space="preserve">Intérêt en IOA</w:t>
      </w:r>
      <w:r>
        <w:t xml:space="preserve"> </w:t>
      </w:r>
      <w:r>
        <w:t xml:space="preserve">:</w:t>
      </w:r>
      <w:r>
        <w:t xml:space="preserve"> </w:t>
      </w:r>
      <w:r>
        <w:t xml:space="preserve">- Plus spécifique que la CRP pour les infections bactériennes (non élevée dans les inflammations non infectieuses)</w:t>
      </w:r>
      <w:r>
        <w:t xml:space="preserve"> </w:t>
      </w:r>
      <w:r>
        <w:t xml:space="preserve">- Utile pour différencier une infection post-opératoire d’une inflammation chirurgicale normale</w:t>
      </w:r>
      <w:r>
        <w:t xml:space="preserve"> </w:t>
      </w:r>
      <w:r>
        <w:t xml:space="preserve">- Cinétique rapide : pic à 6-12h, demi-vie 24h → suivi de l’efficacité du traitement</w:t>
      </w:r>
      <w:r>
        <w:t xml:space="preserve"> </w:t>
      </w:r>
      <w:r>
        <w:t xml:space="preserve">- Limite en IOA : sensibilité plutôt faible (53-76%) car les IOA sont souvent des infections localisées sans bactériémie importante</w:t>
      </w:r>
    </w:p>
    <w:bookmarkStart w:id="10" w:name="exemples-pratiques-pct"/>
    <w:p>
      <w:pPr>
        <w:pStyle w:val="Heading3"/>
      </w:pPr>
      <w:r>
        <w:t xml:space="preserve">Exemples pratiques — PCT</w:t>
      </w:r>
    </w:p>
    <w:p>
      <w:pPr>
        <w:pStyle w:val="FirstParagraph"/>
      </w:pPr>
      <w:r>
        <w:rPr>
          <w:b/>
          <w:bCs/>
        </w:rPr>
        <w:t xml:space="preserve">Exemple 1 — PCT utile : Différencier infection vs inflammation post-opératoire</w:t>
      </w:r>
      <w:r>
        <w:t xml:space="preserve"> </w:t>
      </w:r>
      <w:r>
        <w:t xml:space="preserve">&gt; Mme Dupont, 72 ans, J5 après PTH. Fièvre 38.5°C, genou rouge, douloureux.</w:t>
      </w:r>
      <w:r>
        <w:t xml:space="preserve"> </w:t>
      </w:r>
      <w:r>
        <w:t xml:space="preserve">&gt; - CRP = 120 mg/L →</w:t>
      </w:r>
      <w:r>
        <w:t xml:space="preserve"> </w:t>
      </w:r>
      <w:r>
        <w:rPr>
          <w:b/>
          <w:bCs/>
        </w:rPr>
        <w:t xml:space="preserve">Attendu</w:t>
      </w:r>
      <w:r>
        <w:t xml:space="preserve"> </w:t>
      </w:r>
      <w:r>
        <w:t xml:space="preserve">: la CRP est normalement élevée après chirurgie (pic J2-J3, normalisation en 2-3 semaines). CRP seule = non informative à J5.</w:t>
      </w:r>
      <w:r>
        <w:t xml:space="preserve"> </w:t>
      </w:r>
      <w:r>
        <w:t xml:space="preserve">&gt; - PCT = 0.08 ng/mL →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→ inflammation post-opératoire banale, PAS d’argument pour une infection bactérienne systémique.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surveillance simple, pas d’antibiothérapie.</w:t>
      </w:r>
      <w:r>
        <w:t xml:space="preserve"> </w:t>
      </w:r>
      <w:r>
        <w:t xml:space="preserve">&gt;</w:t>
      </w:r>
      <w:r>
        <w:t xml:space="preserve"> </w:t>
      </w:r>
      <w:r>
        <w:t xml:space="preserve">&gt; Si la PCT avait été à 2.5 ng/mL → forte suspicion d’infection bactérienne → ponction articulaire urgente + hémocultures.</w:t>
      </w:r>
    </w:p>
    <w:p>
      <w:pPr>
        <w:pStyle w:val="BodyText"/>
      </w:pPr>
      <w:r>
        <w:rPr>
          <w:b/>
          <w:bCs/>
        </w:rPr>
        <w:t xml:space="preserve">Exemple 2 — PCT faussement rassurante : infection localisée</w:t>
      </w:r>
      <w:r>
        <w:t xml:space="preserve"> </w:t>
      </w:r>
      <w:r>
        <w:t xml:space="preserve">&gt; M. Martin, 55 ans, PTG douloureuse à 6 mois. Pas de fièvre. Genou modérément gonflé.</w:t>
      </w:r>
      <w:r>
        <w:t xml:space="preserve"> </w:t>
      </w:r>
      <w:r>
        <w:t xml:space="preserve">&gt; - CRP = 45 mg/L (élevée)</w:t>
      </w:r>
      <w:r>
        <w:t xml:space="preserve"> </w:t>
      </w:r>
      <w:r>
        <w:t xml:space="preserve">&gt; - PCT = 0.12 ng/mL (</w:t>
      </w:r>
      <w:r>
        <w:rPr>
          <w:b/>
          <w:bCs/>
        </w:rPr>
        <w:t xml:space="preserve">normale !</w:t>
      </w:r>
      <w:r>
        <w:t xml:space="preserve">)</w:t>
      </w:r>
      <w:r>
        <w:t xml:space="preserve"> </w:t>
      </w:r>
      <w:r>
        <w:t xml:space="preserve">&gt; - Ponction articulaire : 15 000 leucocytes/μL, alpha-défensine positive</w:t>
      </w:r>
      <w:r>
        <w:t xml:space="preserve"> </w:t>
      </w:r>
      <w:r>
        <w:t xml:space="preserve">&gt; - Cultures :</w:t>
      </w:r>
      <w:r>
        <w:t xml:space="preserve"> </w:t>
      </w:r>
      <w:r>
        <w:rPr>
          <w:i/>
          <w:iCs/>
        </w:rPr>
        <w:t xml:space="preserve">S. epidermidis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Diagnostic</w:t>
      </w:r>
      <w:r>
        <w:t xml:space="preserve"> </w:t>
      </w:r>
      <w:r>
        <w:t xml:space="preserve">: infection chronique bas-grade. La PCT est NORMALE car l’infection est localisée, sans bactériémie. Ne pas se fier à la PCT seule !</w:t>
      </w:r>
    </w:p>
    <w:p>
      <w:pPr>
        <w:pStyle w:val="BodyText"/>
      </w:pPr>
      <w:r>
        <w:rPr>
          <w:b/>
          <w:bCs/>
        </w:rPr>
        <w:t xml:space="preserve">Exemple 3 — PCT pour le suivi de traitement</w:t>
      </w:r>
      <w:r>
        <w:t xml:space="preserve"> </w:t>
      </w:r>
      <w:r>
        <w:t xml:space="preserve">&gt; M. Ahmed, 60 ans, arthrite septique du genou à</w:t>
      </w:r>
      <w:r>
        <w:t xml:space="preserve"> </w:t>
      </w:r>
      <w:r>
        <w:rPr>
          <w:i/>
          <w:iCs/>
        </w:rPr>
        <w:t xml:space="preserve">S. aureus</w:t>
      </w:r>
      <w:r>
        <w:t xml:space="preserve">. Sepsis.</w:t>
      </w:r>
      <w:r>
        <w:t xml:space="preserve"> </w:t>
      </w:r>
      <w:r>
        <w:t xml:space="preserve">&gt; - J0 : PCT = 15 ng/mL → choc septique</w:t>
      </w:r>
      <w:r>
        <w:t xml:space="preserve"> </w:t>
      </w:r>
      <w:r>
        <w:t xml:space="preserve">&gt; - J2 (sous ATB IV) : PCT = 8 ng/mL → en baisse = bonne réponse au traitement</w:t>
      </w:r>
      <w:r>
        <w:t xml:space="preserve"> </w:t>
      </w:r>
      <w:r>
        <w:t xml:space="preserve">&gt; - J5 : PCT = 1.2 ng/mL → franche diminution</w:t>
      </w:r>
      <w:r>
        <w:t xml:space="preserve"> </w:t>
      </w:r>
      <w:r>
        <w:t xml:space="preserve">&gt; - J10 : PCT = 0.15 ng/mL → quasi-normale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: la cinétique de la PCT (demi-vie 24h) permet de confirmer l’efficacité de l’antibiothérapie jour par jour, bien avant la CRP (demi-vie 48h).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maldi-tof"/>
    <w:p>
      <w:pPr>
        <w:pStyle w:val="Heading2"/>
      </w:pPr>
      <w:r>
        <w:t xml:space="preserve">2. MALDI-TOF</w:t>
      </w:r>
    </w:p>
    <w:p>
      <w:pPr>
        <w:pStyle w:val="FirstParagraph"/>
      </w:pPr>
      <w:r>
        <w:rPr>
          <w:b/>
          <w:bCs/>
        </w:rPr>
        <w:t xml:space="preserve">MALDI-TOF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</w:t>
      </w:r>
      <w:r>
        <w:t xml:space="preserve">atrix-</w:t>
      </w:r>
      <w:r>
        <w:rPr>
          <w:b/>
          <w:bCs/>
        </w:rPr>
        <w:t xml:space="preserve">A</w:t>
      </w:r>
      <w:r>
        <w:t xml:space="preserve">ssisted</w:t>
      </w:r>
      <w:r>
        <w:t xml:space="preserve"> </w:t>
      </w:r>
      <w:r>
        <w:rPr>
          <w:b/>
          <w:bCs/>
        </w:rPr>
        <w:t xml:space="preserve">L</w:t>
      </w:r>
      <w:r>
        <w:t xml:space="preserve">aser</w:t>
      </w:r>
      <w:r>
        <w:t xml:space="preserve"> </w:t>
      </w:r>
      <w:r>
        <w:rPr>
          <w:b/>
          <w:bCs/>
        </w:rPr>
        <w:t xml:space="preserve">D</w:t>
      </w:r>
      <w:r>
        <w:t xml:space="preserve">esorption</w:t>
      </w:r>
      <w:r>
        <w:t xml:space="preserve"> </w:t>
      </w:r>
      <w:r>
        <w:rPr>
          <w:b/>
          <w:bCs/>
        </w:rPr>
        <w:t xml:space="preserve">I</w:t>
      </w:r>
      <w:r>
        <w:t xml:space="preserve">onization —</w:t>
      </w:r>
      <w:r>
        <w:t xml:space="preserve"> </w:t>
      </w:r>
      <w:r>
        <w:rPr>
          <w:b/>
          <w:bCs/>
        </w:rPr>
        <w:t xml:space="preserve">T</w:t>
      </w:r>
      <w:r>
        <w:t xml:space="preserve">ime</w:t>
      </w:r>
      <w:r>
        <w:t xml:space="preserve"> </w:t>
      </w:r>
      <w:r>
        <w:rPr>
          <w:b/>
          <w:bCs/>
        </w:rPr>
        <w:t xml:space="preserve">O</w:t>
      </w:r>
      <w:r>
        <w:t xml:space="preserve">f</w:t>
      </w:r>
      <w:r>
        <w:t xml:space="preserve"> </w:t>
      </w:r>
      <w:r>
        <w:rPr>
          <w:b/>
          <w:bCs/>
        </w:rPr>
        <w:t xml:space="preserve">F</w:t>
      </w:r>
      <w:r>
        <w:t xml:space="preserve">light</w:t>
      </w:r>
    </w:p>
    <w:p>
      <w:pPr>
        <w:pStyle w:val="BodyText"/>
      </w:pPr>
      <w:r>
        <w:t xml:space="preserve">Technique d’identification microbiologique rapide par spectrométrie de masse.</w:t>
      </w:r>
    </w:p>
    <w:bookmarkStart w:id="12" w:name="principe"/>
    <w:p>
      <w:pPr>
        <w:pStyle w:val="Heading3"/>
      </w:pPr>
      <w:r>
        <w:t xml:space="preserve">Principe</w:t>
      </w:r>
    </w:p>
    <w:p>
      <w:pPr>
        <w:pStyle w:val="Compact"/>
        <w:numPr>
          <w:ilvl w:val="0"/>
          <w:numId w:val="1004"/>
        </w:numPr>
      </w:pPr>
      <w:r>
        <w:t xml:space="preserve">La colonie bactérienne est déposée sur une plaque avec une matrice cristalline</w:t>
      </w:r>
    </w:p>
    <w:p>
      <w:pPr>
        <w:pStyle w:val="Compact"/>
        <w:numPr>
          <w:ilvl w:val="0"/>
          <w:numId w:val="1004"/>
        </w:numPr>
      </w:pPr>
      <w:r>
        <w:t xml:space="preserve">Un laser UV vaporise et ionise les protéines bactériennes</w:t>
      </w:r>
    </w:p>
    <w:p>
      <w:pPr>
        <w:pStyle w:val="Compact"/>
        <w:numPr>
          <w:ilvl w:val="0"/>
          <w:numId w:val="1004"/>
        </w:numPr>
      </w:pPr>
      <w:r>
        <w:t xml:space="preserve">Les ions sont accélérés dans un tube de vol</w:t>
      </w:r>
    </w:p>
    <w:p>
      <w:pPr>
        <w:pStyle w:val="Compact"/>
        <w:numPr>
          <w:ilvl w:val="0"/>
          <w:numId w:val="1004"/>
        </w:numPr>
      </w:pPr>
      <w:r>
        <w:t xml:space="preserve">Le temps de vol (TOF) dépend du rapport masse/charge → spectre de masse unique =</w:t>
      </w:r>
      <w:r>
        <w:t xml:space="preserve"> </w:t>
      </w:r>
      <w:r>
        <w:t xml:space="preserve">“empreinte digitale”</w:t>
      </w:r>
    </w:p>
    <w:p>
      <w:pPr>
        <w:pStyle w:val="Compact"/>
        <w:numPr>
          <w:ilvl w:val="0"/>
          <w:numId w:val="1004"/>
        </w:numPr>
      </w:pPr>
      <w:r>
        <w:t xml:space="preserve">Le spectre est comparé à une base de données (~3000 espèces) → identification en quelques secondes</w:t>
      </w:r>
    </w:p>
    <w:bookmarkEnd w:id="12"/>
    <w:bookmarkStart w:id="13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Identification correcte</w:t>
      </w:r>
      <w:r>
        <w:t xml:space="preserve"> </w:t>
      </w:r>
      <w:r>
        <w:t xml:space="preserve">: 95-99% au niveau de l’espèce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Délai</w:t>
      </w:r>
      <w:r>
        <w:t xml:space="preserve"> </w:t>
      </w:r>
      <w:r>
        <w:t xml:space="preserve">: 1-2 minutes (vs 24-48h pour les méthodes conventionnelles)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Coût</w:t>
      </w:r>
      <w:r>
        <w:t xml:space="preserve"> </w:t>
      </w:r>
      <w:r>
        <w:t xml:space="preserve">: ~1-2€ par identification (après investissement initial ~150-200k€ pour l’appareil)</w:t>
      </w:r>
    </w:p>
    <w:bookmarkEnd w:id="13"/>
    <w:bookmarkStart w:id="14" w:name="en-ioa"/>
    <w:p>
      <w:pPr>
        <w:pStyle w:val="Heading3"/>
      </w:pPr>
      <w:r>
        <w:t xml:space="preserve">En IOA</w:t>
      </w:r>
    </w:p>
    <w:p>
      <w:pPr>
        <w:pStyle w:val="Compact"/>
        <w:numPr>
          <w:ilvl w:val="0"/>
          <w:numId w:val="1006"/>
        </w:numPr>
      </w:pPr>
      <w:r>
        <w:t xml:space="preserve">Identification rapide du pathogène à partir des cultures (hémocultures, liquide articulaire, prélèvements peropératoires)</w:t>
      </w:r>
    </w:p>
    <w:p>
      <w:pPr>
        <w:pStyle w:val="Compact"/>
        <w:numPr>
          <w:ilvl w:val="0"/>
          <w:numId w:val="1006"/>
        </w:numPr>
      </w:pPr>
      <w:r>
        <w:t xml:space="preserve">Émergence de la prédiction de résistance aux ATB par MALDI-TOF (recherche)</w:t>
      </w:r>
    </w:p>
    <w:p>
      <w:pPr>
        <w:pStyle w:val="Compact"/>
        <w:numPr>
          <w:ilvl w:val="0"/>
          <w:numId w:val="1006"/>
        </w:numPr>
      </w:pPr>
      <w:r>
        <w:t xml:space="preserve">Systèmes : bioMérieux VITEK® MS, Bruker MALDI Biotyper®</w:t>
      </w:r>
    </w:p>
    <w:bookmarkEnd w:id="14"/>
    <w:bookmarkStart w:id="15" w:name="exemples-pratiques-maldi-tof"/>
    <w:p>
      <w:pPr>
        <w:pStyle w:val="Heading3"/>
      </w:pPr>
      <w:r>
        <w:t xml:space="preserve">Exemples pratiques — MALDI-TOF</w:t>
      </w:r>
    </w:p>
    <w:p>
      <w:pPr>
        <w:pStyle w:val="FirstParagraph"/>
      </w:pPr>
      <w:r>
        <w:rPr>
          <w:b/>
          <w:bCs/>
        </w:rPr>
        <w:t xml:space="preserve">Exemple 1 — Identification rapide en urgence</w:t>
      </w:r>
      <w:r>
        <w:t xml:space="preserve"> </w:t>
      </w:r>
      <w:r>
        <w:t xml:space="preserve">&gt; M. Karim, 45 ans, arthrite septique du genou, fièvre 39°C. Hémocultures prélevées à l’admission.</w:t>
      </w:r>
      <w:r>
        <w:t xml:space="preserve"> </w:t>
      </w:r>
      <w:r>
        <w:t xml:space="preserve">&gt; - J0, 18h : hémoculture signalée positive (flacon détecté par l’automate)</w:t>
      </w:r>
      <w:r>
        <w:t xml:space="preserve"> </w:t>
      </w:r>
      <w:r>
        <w:t xml:space="preserve">&gt; - J0, 18h15 : prélèvement direct →</w:t>
      </w:r>
      <w:r>
        <w:t xml:space="preserve"> </w:t>
      </w:r>
      <w:r>
        <w:rPr>
          <w:b/>
          <w:bCs/>
        </w:rPr>
        <w:t xml:space="preserve">MALDI-TOF 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Staphylococcus aureus</w:t>
      </w:r>
      <w:r>
        <w:rPr>
          <w:b/>
          <w:bCs/>
        </w:rPr>
        <w:t xml:space="preserve"> </w:t>
      </w:r>
      <w:r>
        <w:rPr>
          <w:b/>
          <w:bCs/>
        </w:rPr>
        <w:t xml:space="preserve">en 2 minutes</w:t>
      </w:r>
      <w:r>
        <w:t xml:space="preserve"> </w:t>
      </w:r>
      <w:r>
        <w:t xml:space="preserve">&gt; - J0, 18h30 : antibiothérapie ciblée débutée (oxacilline + gentamicine)</w:t>
      </w:r>
      <w:r>
        <w:t xml:space="preserve"> </w:t>
      </w:r>
      <w:r>
        <w:t xml:space="preserve">&gt; - J1 (lendemain) : l’antibiogramme classique confirme →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méticilline-sensible (SASM)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: 24h d’avance sur l’identification → antibiothérapie ciblée dès le 1er jour au lieu d’un traitement empirique probabiliste.</w:t>
      </w:r>
    </w:p>
    <w:p>
      <w:pPr>
        <w:pStyle w:val="BodyText"/>
      </w:pPr>
      <w:r>
        <w:rPr>
          <w:b/>
          <w:bCs/>
        </w:rPr>
        <w:t xml:space="preserve">Exemple 2 — MALDI-TOF en peropératoire</w:t>
      </w:r>
      <w:r>
        <w:t xml:space="preserve"> </w:t>
      </w:r>
      <w:r>
        <w:t xml:space="preserve">&gt; Mme Bernard, 68 ans, reprise de PTG pour suspicion d’infection chronique. 5 prélèvements peropératoires.</w:t>
      </w:r>
      <w:r>
        <w:t xml:space="preserve"> </w:t>
      </w:r>
      <w:r>
        <w:t xml:space="preserve">&gt; - Culture classique :</w:t>
      </w:r>
      <w:r>
        <w:t xml:space="preserve"> </w:t>
      </w:r>
      <w:r>
        <w:rPr>
          <w:b/>
          <w:bCs/>
        </w:rPr>
        <w:t xml:space="preserve">3/5 positifs à J3</w:t>
      </w:r>
      <w:r>
        <w:t xml:space="preserve"> </w:t>
      </w:r>
      <w:r>
        <w:t xml:space="preserve">→ colonies blanchâtres, petites</w:t>
      </w:r>
      <w:r>
        <w:t xml:space="preserve"> </w:t>
      </w:r>
      <w:r>
        <w:t xml:space="preserve">&gt; - MALDI-TOF sur colonie :</w:t>
      </w:r>
      <w:r>
        <w:t xml:space="preserve"> </w:t>
      </w:r>
      <w:r>
        <w:rPr>
          <w:b/>
          <w:bCs/>
          <w:i/>
          <w:iCs/>
        </w:rPr>
        <w:t xml:space="preserve">Cutibacterium acnes</w:t>
      </w:r>
      <w:r>
        <w:t xml:space="preserve"> </w:t>
      </w:r>
      <w:r>
        <w:t xml:space="preserve">(identifié en 90 secondes)</w:t>
      </w:r>
      <w:r>
        <w:t xml:space="preserve"> </w:t>
      </w:r>
      <w:r>
        <w:t xml:space="preserve">&gt; - Sans MALDI-TOF : il aurait fallu attendre J5-J7 pour des tests biochimiques conventionnels (catalase, API)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: confirmation rapide que le germe est un</w:t>
      </w:r>
      <w:r>
        <w:t xml:space="preserve"> </w:t>
      </w:r>
      <w:r>
        <w:rPr>
          <w:i/>
          <w:iCs/>
        </w:rPr>
        <w:t xml:space="preserve">C. acnes</w:t>
      </w:r>
      <w:r>
        <w:t xml:space="preserve"> </w:t>
      </w:r>
      <w:r>
        <w:t xml:space="preserve">(et non un contaminant) → adaptation du schéma ATB (amoxicilline + rifampicine)</w:t>
      </w:r>
    </w:p>
    <w:p>
      <w:pPr>
        <w:pStyle w:val="BodyText"/>
      </w:pPr>
      <w:r>
        <w:rPr>
          <w:b/>
          <w:bCs/>
        </w:rPr>
        <w:t xml:space="preserve">Exemple 3 — Limitation du MALDI-TOF</w:t>
      </w:r>
      <w:r>
        <w:t xml:space="preserve"> </w:t>
      </w:r>
      <w:r>
        <w:t xml:space="preserve">&gt; M. Leclerc, 58 ans. Liquide articulaire trouble. Examen direct : cocci Gram+.</w:t>
      </w:r>
      <w:r>
        <w:t xml:space="preserve"> </w:t>
      </w:r>
      <w:r>
        <w:t xml:space="preserve">&gt; - Culture : positive seulement en bouillon d’enrichissement, pas de colonies isolées sur gélose.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MALDI-TOF impossible</w:t>
      </w:r>
      <w:r>
        <w:t xml:space="preserve"> </w:t>
      </w:r>
      <w:r>
        <w:t xml:space="preserve">: le MALDI-TOF nécessite une colonie isolée (ou une détection directe en flacon d’hémoculture). Pas de colonie = pas de spectre.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Solution alternative</w:t>
      </w:r>
      <w:r>
        <w:t xml:space="preserve"> </w:t>
      </w:r>
      <w:r>
        <w:t xml:space="preserve">: PCR 16S ou FilmArray® (biologie moléculaire directe)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ngs-next-generation-sequencing"/>
    <w:p>
      <w:pPr>
        <w:pStyle w:val="Heading2"/>
      </w:pPr>
      <w:r>
        <w:t xml:space="preserve">3. NGS — Next-Generation Sequencing</w:t>
      </w:r>
    </w:p>
    <w:p>
      <w:pPr>
        <w:pStyle w:val="FirstParagraph"/>
      </w:pPr>
      <w:r>
        <w:rPr>
          <w:b/>
          <w:bCs/>
        </w:rPr>
        <w:t xml:space="preserve">NGS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</w:t>
      </w:r>
      <w:r>
        <w:t xml:space="preserve">ext-</w:t>
      </w:r>
      <w:r>
        <w:rPr>
          <w:b/>
          <w:bCs/>
        </w:rPr>
        <w:t xml:space="preserve">G</w:t>
      </w:r>
      <w:r>
        <w:t xml:space="preserve">eneration</w:t>
      </w:r>
      <w:r>
        <w:t xml:space="preserve"> </w:t>
      </w:r>
      <w:r>
        <w:rPr>
          <w:b/>
          <w:bCs/>
        </w:rPr>
        <w:t xml:space="preserve">S</w:t>
      </w:r>
      <w:r>
        <w:t xml:space="preserve">equencing (Séquençage de nouvelle génération)</w:t>
      </w:r>
    </w:p>
    <w:p>
      <w:pPr>
        <w:pStyle w:val="BodyText"/>
      </w:pPr>
      <w:r>
        <w:t xml:space="preserve">Technique de séquençage ADN haut débit capable d’identifier tous les micro-organismes présents dans un prélèvement, y compris les non-cultivables.</w:t>
      </w:r>
    </w:p>
    <w:bookmarkStart w:id="17" w:name="types-utilisés-en-ioa"/>
    <w:p>
      <w:pPr>
        <w:pStyle w:val="Heading3"/>
      </w:pPr>
      <w:r>
        <w:t xml:space="preserve">Types utilisés en IOA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Métagénomique ciblée (16S/18S/ITS)</w:t>
            </w:r>
          </w:p>
        </w:tc>
        <w:tc>
          <w:tcPr/>
          <w:p>
            <w:pPr>
              <w:pStyle w:val="Compact"/>
            </w:pPr>
            <w:r>
              <w:t xml:space="preserve">Séquençage du gène ARN 16S ribosomal (bactéries)</w:t>
            </w:r>
          </w:p>
        </w:tc>
        <w:tc>
          <w:tcPr/>
          <w:p>
            <w:pPr>
              <w:pStyle w:val="Compact"/>
            </w:pPr>
            <w:r>
              <w:t xml:space="preserve">Identification pan-bactérienne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Métagénomique shotgun</w:t>
            </w:r>
          </w:p>
        </w:tc>
        <w:tc>
          <w:tcPr/>
          <w:p>
            <w:pPr>
              <w:pStyle w:val="Compact"/>
            </w:pPr>
            <w:r>
              <w:t xml:space="preserve">Séquençage de tout l’ADN</w:t>
            </w:r>
          </w:p>
        </w:tc>
        <w:tc>
          <w:tcPr/>
          <w:p>
            <w:pPr>
              <w:pStyle w:val="Compact"/>
            </w:pPr>
            <w:r>
              <w:t xml:space="preserve">Identification de tous les pathogènes + gènes de résistance</w:t>
            </w:r>
          </w:p>
        </w:tc>
      </w:tr>
    </w:tbl>
    <w:bookmarkEnd w:id="17"/>
    <w:bookmarkStart w:id="18" w:name="intérêt-en-ioa"/>
    <w:p>
      <w:pPr>
        <w:pStyle w:val="Heading3"/>
      </w:pPr>
      <w:r>
        <w:t xml:space="preserve">Intérêt en IOA</w:t>
      </w:r>
    </w:p>
    <w:p>
      <w:pPr>
        <w:pStyle w:val="Compact"/>
        <w:numPr>
          <w:ilvl w:val="0"/>
          <w:numId w:val="1007"/>
        </w:numPr>
      </w:pPr>
      <w:r>
        <w:t xml:space="preserve">Détection de pathogènes non cultivables ou à croissance lente (</w:t>
      </w:r>
      <w:r>
        <w:rPr>
          <w:i/>
          <w:iCs/>
        </w:rPr>
        <w:t xml:space="preserve">Cutibacterium acnes</w:t>
      </w:r>
      <w:r>
        <w:t xml:space="preserve">, mycobactéries atypiques)</w:t>
      </w:r>
    </w:p>
    <w:p>
      <w:pPr>
        <w:pStyle w:val="Compact"/>
        <w:numPr>
          <w:ilvl w:val="0"/>
          <w:numId w:val="1007"/>
        </w:numPr>
      </w:pPr>
      <w:r>
        <w:t xml:space="preserve">Fonctionne même sous antibiothérapie (détecte l’ADN résiduel)</w:t>
      </w:r>
    </w:p>
    <w:p>
      <w:pPr>
        <w:pStyle w:val="Compact"/>
        <w:numPr>
          <w:ilvl w:val="0"/>
          <w:numId w:val="1007"/>
        </w:numPr>
      </w:pPr>
      <w:r>
        <w:t xml:space="preserve">Identification des gènes de résistance directement depuis le prélèvement</w:t>
      </w:r>
    </w:p>
    <w:p>
      <w:pPr>
        <w:pStyle w:val="Compact"/>
        <w:numPr>
          <w:ilvl w:val="0"/>
          <w:numId w:val="1007"/>
        </w:numPr>
      </w:pPr>
      <w:r>
        <w:t xml:space="preserve">Délai : 24-72h (vs 5-14 jours pour certaines cultures)</w:t>
      </w:r>
    </w:p>
    <w:bookmarkEnd w:id="18"/>
    <w:bookmarkStart w:id="19" w:name="limites"/>
    <w:p>
      <w:pPr>
        <w:pStyle w:val="Heading3"/>
      </w:pPr>
      <w:r>
        <w:t xml:space="preserve">Limites</w:t>
      </w:r>
    </w:p>
    <w:p>
      <w:pPr>
        <w:pStyle w:val="Compact"/>
        <w:numPr>
          <w:ilvl w:val="0"/>
          <w:numId w:val="1008"/>
        </w:numPr>
      </w:pPr>
      <w:r>
        <w:t xml:space="preserve">Coût élevé (~300-800€ par analyse)</w:t>
      </w:r>
    </w:p>
    <w:p>
      <w:pPr>
        <w:pStyle w:val="Compact"/>
        <w:numPr>
          <w:ilvl w:val="0"/>
          <w:numId w:val="1008"/>
        </w:numPr>
      </w:pPr>
      <w:r>
        <w:t xml:space="preserve">Contamination environnementale (ADN bactérien ambiant)</w:t>
      </w:r>
    </w:p>
    <w:p>
      <w:pPr>
        <w:pStyle w:val="Compact"/>
        <w:numPr>
          <w:ilvl w:val="0"/>
          <w:numId w:val="1008"/>
        </w:numPr>
      </w:pPr>
      <w:r>
        <w:t xml:space="preserve">Difficulté à distinguer une infection active d’une colonisation ou contamination</w:t>
      </w:r>
    </w:p>
    <w:p>
      <w:pPr>
        <w:pStyle w:val="Compact"/>
        <w:numPr>
          <w:ilvl w:val="0"/>
          <w:numId w:val="1008"/>
        </w:numPr>
      </w:pPr>
      <w:r>
        <w:t xml:space="preserve">Nécessite une expertise bioinformatique pour l’interprétation</w:t>
      </w:r>
    </w:p>
    <w:bookmarkEnd w:id="19"/>
    <w:bookmarkStart w:id="20" w:name="exemples-pratiques-ngs"/>
    <w:p>
      <w:pPr>
        <w:pStyle w:val="Heading3"/>
      </w:pPr>
      <w:r>
        <w:t xml:space="preserve">Exemples pratiques — NGS</w:t>
      </w:r>
    </w:p>
    <w:p>
      <w:pPr>
        <w:pStyle w:val="FirstParagraph"/>
      </w:pPr>
      <w:r>
        <w:rPr>
          <w:b/>
          <w:bCs/>
        </w:rPr>
        <w:t xml:space="preserve">Exemple 1 — NGS sauve le diagnostic après antibiothérapie intempestive</w:t>
      </w:r>
      <w:r>
        <w:t xml:space="preserve"> </w:t>
      </w:r>
      <w:r>
        <w:t xml:space="preserve">&gt; Mme Rousseau, 75 ans, PTH douloureuse à 2 ans. Son médecin traitant a prescrit 2 semaines d’amoxicilline-acide clavulanique avant de l’adresser au CRIOA.</w:t>
      </w:r>
      <w:r>
        <w:t xml:space="preserve"> </w:t>
      </w:r>
      <w:r>
        <w:t xml:space="preserve">&gt; - Ponction articulaire au CRIOA : leucocytes = 12 000/μL (infecté !), alpha-défensine positive</w:t>
      </w:r>
      <w:r>
        <w:t xml:space="preserve"> </w:t>
      </w:r>
      <w:r>
        <w:t xml:space="preserve">&gt; - Cultures :</w:t>
      </w:r>
      <w:r>
        <w:t xml:space="preserve"> </w:t>
      </w:r>
      <w:r>
        <w:rPr>
          <w:b/>
          <w:bCs/>
        </w:rPr>
        <w:t xml:space="preserve">TOUTES NÉGATIVES</w:t>
      </w:r>
      <w:r>
        <w:t xml:space="preserve"> </w:t>
      </w:r>
      <w:r>
        <w:t xml:space="preserve">(5 prélèvements peropératoires, 14 jours d’incubation) → les antibiotiques préalables ont stérilisé les cultures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NGS (16S métagénomique)</w:t>
      </w:r>
      <w:r>
        <w:t xml:space="preserve"> </w:t>
      </w:r>
      <w:r>
        <w:t xml:space="preserve">sur le liquide articulaire :</w:t>
      </w:r>
      <w:r>
        <w:t xml:space="preserve"> </w:t>
      </w:r>
      <w:r>
        <w:rPr>
          <w:b/>
          <w:bCs/>
          <w:i/>
          <w:iCs/>
        </w:rPr>
        <w:t xml:space="preserve">Staphylococcus lugdunensis</w:t>
      </w:r>
      <w:r>
        <w:t xml:space="preserve"> </w:t>
      </w:r>
      <w:r>
        <w:t xml:space="preserve">détecté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: sans le NGS, le germe n’aurait jamais été identifié → antibiothérapie « à l’aveugle ». Avec le NGS → traitement ciblé adapté.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NE JAMAIS donner d’antibiotiques avant les prélèvements !</w:t>
      </w:r>
    </w:p>
    <w:p>
      <w:pPr>
        <w:pStyle w:val="BodyText"/>
      </w:pPr>
      <w:r>
        <w:rPr>
          <w:b/>
          <w:bCs/>
        </w:rPr>
        <w:t xml:space="preserve">Exemple 2 — NGS révèle une infection à germe non cultivable</w:t>
      </w:r>
      <w:r>
        <w:t xml:space="preserve"> </w:t>
      </w:r>
      <w:r>
        <w:t xml:space="preserve">&gt; M. Petit, 42 ans, ostéomyélite chronique tibiale post-traumatique. 3 chirurgies antérieures pour séquestrectomie + ATB, rechutes à chaque fois. Cultures toujours négatives.</w:t>
      </w:r>
      <w:r>
        <w:t xml:space="preserve"> </w:t>
      </w:r>
      <w:r>
        <w:t xml:space="preserve">&gt; - NGS shotgun sur biopsie osseuse :</w:t>
      </w:r>
      <w:r>
        <w:t xml:space="preserve"> </w:t>
      </w:r>
      <w:r>
        <w:rPr>
          <w:b/>
          <w:bCs/>
          <w:i/>
          <w:iCs/>
        </w:rPr>
        <w:t xml:space="preserve">Mycobacterium abscessus</w:t>
      </w:r>
      <w:r>
        <w:t xml:space="preserve"> </w:t>
      </w:r>
      <w:r>
        <w:t xml:space="preserve">détecté</w:t>
      </w:r>
      <w:r>
        <w:t xml:space="preserve"> </w:t>
      </w:r>
      <w:r>
        <w:t xml:space="preserve">&gt; - Diagnostic :</w:t>
      </w:r>
      <w:r>
        <w:t xml:space="preserve"> </w:t>
      </w:r>
      <w:r>
        <w:rPr>
          <w:b/>
          <w:bCs/>
        </w:rPr>
        <w:t xml:space="preserve">mycobactérie atypique</w:t>
      </w:r>
      <w:r>
        <w:t xml:space="preserve"> </w:t>
      </w:r>
      <w:r>
        <w:t xml:space="preserve">— bactérie à croissance extrêmement lente, rarement identifiée par culture standard</w:t>
      </w:r>
      <w:r>
        <w:t xml:space="preserve"> </w:t>
      </w:r>
      <w:r>
        <w:t xml:space="preserve">&gt; - Les gènes de résistance erm(41) et rrl sont identifiés → résistance à la clarithromycine intrinsèque inductible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: traitement adapté (amikacine + imipénème + tigécycline pendant 12 mois). Guérison après 4e chirurgie + ATB ciblé.</w:t>
      </w:r>
    </w:p>
    <w:p>
      <w:pPr>
        <w:pStyle w:val="BodyText"/>
      </w:pPr>
      <w:r>
        <w:rPr>
          <w:b/>
          <w:bCs/>
        </w:rPr>
        <w:t xml:space="preserve">Exemple 3 — Faux positif du NGS</w:t>
      </w:r>
      <w:r>
        <w:t xml:space="preserve"> </w:t>
      </w:r>
      <w:r>
        <w:t xml:space="preserve">&gt; Mme Girard, 60 ans, PTG non douloureuse, reprise pour usure du polyéthylène (pas de suspicion infectieuse). Prélèvements per-opératoires « de routine ».</w:t>
      </w:r>
      <w:r>
        <w:t xml:space="preserve"> </w:t>
      </w:r>
      <w:r>
        <w:t xml:space="preserve">&gt; - Cultures : négatives (5/5)</w:t>
      </w:r>
      <w:r>
        <w:t xml:space="preserve"> </w:t>
      </w:r>
      <w:r>
        <w:t xml:space="preserve">&gt; - Alpha-défensine : négative</w:t>
      </w:r>
      <w:r>
        <w:t xml:space="preserve"> </w:t>
      </w:r>
      <w:r>
        <w:t xml:space="preserve">&gt; - NGS systématique (protocole de recherche) :</w:t>
      </w:r>
      <w:r>
        <w:t xml:space="preserve"> </w:t>
      </w:r>
      <w:r>
        <w:rPr>
          <w:b/>
          <w:bCs/>
        </w:rPr>
        <w:t xml:space="preserve">détection d’ADN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Staphylococcus epidermidis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: CONTAMINATION. L’ADN de</w:t>
      </w:r>
      <w:r>
        <w:t xml:space="preserve"> </w:t>
      </w:r>
      <w:r>
        <w:rPr>
          <w:i/>
          <w:iCs/>
        </w:rPr>
        <w:t xml:space="preserve">S. epidermidis</w:t>
      </w:r>
      <w:r>
        <w:t xml:space="preserve"> </w:t>
      </w:r>
      <w:r>
        <w:t xml:space="preserve">est ubiquitaire (peau du patient, environnement). En l’absence de tout argument clinique/biologique d’infection → faux positif du NGS.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le NGS détecte de l’ADN, pas nécessairement une infection active. Toujours interpréter dans le contexte clinique.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b14abfd6db724e7b00f85199d48f8b967bd4db3"/>
    <w:p>
      <w:pPr>
        <w:pStyle w:val="Heading2"/>
      </w:pPr>
      <w:r>
        <w:t xml:space="preserve">4. DAIR — Debridement, Antibiotics, Irrigation, Retention</w:t>
      </w:r>
    </w:p>
    <w:p>
      <w:pPr>
        <w:pStyle w:val="FirstParagraph"/>
      </w:pPr>
      <w:r>
        <w:rPr>
          <w:b/>
          <w:bCs/>
        </w:rPr>
        <w:t xml:space="preserve">DAIR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</w:t>
      </w:r>
      <w:r>
        <w:t xml:space="preserve">ebridement,</w:t>
      </w:r>
      <w:r>
        <w:t xml:space="preserve"> </w:t>
      </w:r>
      <w:r>
        <w:rPr>
          <w:b/>
          <w:bCs/>
        </w:rPr>
        <w:t xml:space="preserve">A</w:t>
      </w:r>
      <w:r>
        <w:t xml:space="preserve">ntibiotics,</w:t>
      </w:r>
      <w:r>
        <w:t xml:space="preserve"> </w:t>
      </w:r>
      <w:r>
        <w:rPr>
          <w:b/>
          <w:bCs/>
        </w:rPr>
        <w:t xml:space="preserve">I</w:t>
      </w:r>
      <w:r>
        <w:t xml:space="preserve">rrigation,</w:t>
      </w:r>
      <w:r>
        <w:t xml:space="preserve"> </w:t>
      </w:r>
      <w:r>
        <w:rPr>
          <w:b/>
          <w:bCs/>
        </w:rPr>
        <w:t xml:space="preserve">R</w:t>
      </w:r>
      <w:r>
        <w:t xml:space="preserve">etention</w:t>
      </w:r>
    </w:p>
    <w:p>
      <w:pPr>
        <w:pStyle w:val="BodyText"/>
      </w:pPr>
      <w:r>
        <w:t xml:space="preserve">Stratégie chirurgicale conservatrice de prise en charge d’une infection périprothétique</w:t>
      </w:r>
      <w:r>
        <w:t xml:space="preserve"> </w:t>
      </w:r>
      <w:r>
        <w:rPr>
          <w:b/>
          <w:bCs/>
        </w:rPr>
        <w:t xml:space="preserve">précoce</w:t>
      </w:r>
      <w:r>
        <w:t xml:space="preserve">, qui consiste à conserver l’implant en place.</w:t>
      </w:r>
    </w:p>
    <w:bookmarkStart w:id="22" w:name="principe-1"/>
    <w:p>
      <w:pPr>
        <w:pStyle w:val="Heading3"/>
      </w:pPr>
      <w:r>
        <w:t xml:space="preserve">Principe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Debridement</w:t>
      </w:r>
      <w:r>
        <w:t xml:space="preserve"> </w:t>
      </w:r>
      <w:r>
        <w:t xml:space="preserve">: nettoyage chirurgical agressif (excision des tissus infectés, synovectomie)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Antibiotics</w:t>
      </w:r>
      <w:r>
        <w:t xml:space="preserve"> </w:t>
      </w:r>
      <w:r>
        <w:t xml:space="preserve">: antibiothérapie ciblée prolongée (IV puis relais oral, 6-12 semaines)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Irrigation</w:t>
      </w:r>
      <w:r>
        <w:t xml:space="preserve"> </w:t>
      </w:r>
      <w:r>
        <w:t xml:space="preserve">: lavage abondant per-opératoire (6-9 litres de sérum physiologique)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: conservation de la prothèse en place (changement des pièces mobiles : polyéthylène, tête fémorale)</w:t>
      </w:r>
    </w:p>
    <w:bookmarkEnd w:id="22"/>
    <w:bookmarkStart w:id="23" w:name="indications"/>
    <w:p>
      <w:pPr>
        <w:pStyle w:val="Heading3"/>
      </w:pPr>
      <w:r>
        <w:t xml:space="preserve">Indications</w:t>
      </w:r>
    </w:p>
    <w:p>
      <w:pPr>
        <w:pStyle w:val="Compact"/>
        <w:numPr>
          <w:ilvl w:val="0"/>
          <w:numId w:val="1010"/>
        </w:numPr>
      </w:pPr>
      <w:r>
        <w:t xml:space="preserve">Infection</w:t>
      </w:r>
      <w:r>
        <w:t xml:space="preserve"> </w:t>
      </w:r>
      <w:r>
        <w:rPr>
          <w:b/>
          <w:bCs/>
        </w:rPr>
        <w:t xml:space="preserve">aiguë</w:t>
      </w:r>
      <w:r>
        <w:t xml:space="preserve"> </w:t>
      </w:r>
      <w:r>
        <w:t xml:space="preserve">post-opératoire (&lt; 4 semaines après l’implantation)</w:t>
      </w:r>
    </w:p>
    <w:p>
      <w:pPr>
        <w:pStyle w:val="Compact"/>
        <w:numPr>
          <w:ilvl w:val="0"/>
          <w:numId w:val="1010"/>
        </w:numPr>
      </w:pPr>
      <w:r>
        <w:t xml:space="preserve">Infection</w:t>
      </w:r>
      <w:r>
        <w:t xml:space="preserve"> </w:t>
      </w:r>
      <w:r>
        <w:rPr>
          <w:b/>
          <w:bCs/>
        </w:rPr>
        <w:t xml:space="preserve">hématogène aiguë</w:t>
      </w:r>
      <w:r>
        <w:t xml:space="preserve"> </w:t>
      </w:r>
      <w:r>
        <w:t xml:space="preserve">(&lt; 3 semaines de symptômes)</w:t>
      </w:r>
    </w:p>
    <w:p>
      <w:pPr>
        <w:pStyle w:val="Compact"/>
        <w:numPr>
          <w:ilvl w:val="0"/>
          <w:numId w:val="1010"/>
        </w:numPr>
      </w:pPr>
      <w:r>
        <w:t xml:space="preserve">Implant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(non descellé)</w:t>
      </w:r>
    </w:p>
    <w:p>
      <w:pPr>
        <w:pStyle w:val="Compact"/>
        <w:numPr>
          <w:ilvl w:val="0"/>
          <w:numId w:val="1010"/>
        </w:numPr>
      </w:pPr>
      <w:r>
        <w:t xml:space="preserve">Germe</w:t>
      </w:r>
      <w:r>
        <w:t xml:space="preserve"> </w:t>
      </w:r>
      <w:r>
        <w:rPr>
          <w:b/>
          <w:bCs/>
        </w:rPr>
        <w:t xml:space="preserve">identifié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sensible</w:t>
      </w:r>
      <w:r>
        <w:t xml:space="preserve"> </w:t>
      </w:r>
      <w:r>
        <w:t xml:space="preserve">aux antibiotiques à bonne biodisponibilité orale (notamment la rifampicine pour les staphylocoques)</w:t>
      </w:r>
    </w:p>
    <w:bookmarkEnd w:id="23"/>
    <w:bookmarkStart w:id="24" w:name="taux-de-succès"/>
    <w:p>
      <w:pPr>
        <w:pStyle w:val="Heading3"/>
      </w:pPr>
      <w:r>
        <w:t xml:space="preserve">Taux de succès</w:t>
      </w:r>
    </w:p>
    <w:p>
      <w:pPr>
        <w:pStyle w:val="Compact"/>
        <w:numPr>
          <w:ilvl w:val="0"/>
          <w:numId w:val="1011"/>
        </w:numPr>
      </w:pPr>
      <w:r>
        <w:t xml:space="preserve">55-80% selon les séries (dépend de la sélection des patients)</w:t>
      </w:r>
    </w:p>
    <w:p>
      <w:pPr>
        <w:pStyle w:val="Compact"/>
        <w:numPr>
          <w:ilvl w:val="0"/>
          <w:numId w:val="1011"/>
        </w:numPr>
      </w:pPr>
      <w:r>
        <w:t xml:space="preserve">Facteurs de bon pronostic : durée des symptômes &lt; 3 semaines, staphylocoque sensible à la rifampicine, CRP initiale basse, pas de fistule</w:t>
      </w:r>
    </w:p>
    <w:bookmarkEnd w:id="24"/>
    <w:bookmarkStart w:id="25" w:name="alternative-si-échec"/>
    <w:p>
      <w:pPr>
        <w:pStyle w:val="Heading3"/>
      </w:pPr>
      <w:r>
        <w:t xml:space="preserve">Alternative si échec</w:t>
      </w:r>
    </w:p>
    <w:p>
      <w:pPr>
        <w:pStyle w:val="Compact"/>
        <w:numPr>
          <w:ilvl w:val="0"/>
          <w:numId w:val="1012"/>
        </w:numPr>
      </w:pPr>
      <w:r>
        <w:t xml:space="preserve">Changement prothétique en</w:t>
      </w:r>
      <w:r>
        <w:t xml:space="preserve"> </w:t>
      </w:r>
      <w:r>
        <w:rPr>
          <w:b/>
          <w:bCs/>
        </w:rPr>
        <w:t xml:space="preserve">1 temps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2 temps</w:t>
      </w:r>
      <w:r>
        <w:t xml:space="preserve"> </w:t>
      </w:r>
      <w:r>
        <w:t xml:space="preserve">(gold standard en cas d’échec du DAIR)</w:t>
      </w:r>
    </w:p>
    <w:bookmarkEnd w:id="25"/>
    <w:bookmarkStart w:id="26" w:name="exemples-pratiques-dair"/>
    <w:p>
      <w:pPr>
        <w:pStyle w:val="Heading3"/>
      </w:pPr>
      <w:r>
        <w:t xml:space="preserve">Exemples pratiques — DAIR</w:t>
      </w:r>
    </w:p>
    <w:p>
      <w:pPr>
        <w:pStyle w:val="FirstParagraph"/>
      </w:pPr>
      <w:r>
        <w:rPr>
          <w:b/>
          <w:bCs/>
        </w:rPr>
        <w:t xml:space="preserve">Exemple 1 — DAIR réussi : infection aiguë post-opératoire</w:t>
      </w:r>
      <w:r>
        <w:t xml:space="preserve"> </w:t>
      </w:r>
      <w:r>
        <w:t xml:space="preserve">&gt; M. Legrand, 65 ans, PTG gauche il y a 12 jours. Depuis J8, douleur croissante, rougeur, fièvre 38.8°C, écoulement trouble sur la cicatrice.</w:t>
      </w:r>
      <w:r>
        <w:t xml:space="preserve"> </w:t>
      </w:r>
      <w:r>
        <w:t xml:space="preserve">&gt; - CRP = 180 mg/L, PCT = 1.2 ng/mL</w:t>
      </w:r>
      <w:r>
        <w:t xml:space="preserve"> </w:t>
      </w:r>
      <w:r>
        <w:t xml:space="preserve">&gt; - Ponction articulaire : 45 000 leucocytes/μL, 95% PNN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Décision</w:t>
      </w:r>
      <w:r>
        <w:t xml:space="preserve"> </w:t>
      </w:r>
      <w:r>
        <w:t xml:space="preserve">: DAIR en urgence (&lt; 4 semaines post-op, implant stable)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Au bloc</w:t>
      </w:r>
      <w:r>
        <w:t xml:space="preserve"> </w:t>
      </w:r>
      <w:r>
        <w:t xml:space="preserve">: synovectomie complète, lavage 9L, échange polyéthylène, 5 prélèvements</w:t>
      </w:r>
      <w:r>
        <w:t xml:space="preserve"> </w:t>
      </w:r>
      <w:r>
        <w:t xml:space="preserve">&gt; - Cultures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méticilline-sensible, sensible à la rifampicine</w:t>
      </w:r>
      <w:r>
        <w:t xml:space="preserve"> </w:t>
      </w:r>
      <w:r>
        <w:t xml:space="preserve">&gt; - ATB : oxacilline IV 2 semaines → relais oral lévofloxacine + rifampicine 10 semaines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: guérison à 2 ans, prothèse en place, pas de récidive.</w:t>
      </w:r>
    </w:p>
    <w:p>
      <w:pPr>
        <w:pStyle w:val="BodyText"/>
      </w:pPr>
      <w:r>
        <w:rPr>
          <w:b/>
          <w:bCs/>
        </w:rPr>
        <w:t xml:space="preserve">Exemple 2 — DAIR échoué : mauvaise sélection</w:t>
      </w:r>
      <w:r>
        <w:t xml:space="preserve"> </w:t>
      </w:r>
      <w:r>
        <w:t xml:space="preserve">&gt; Mme Moreau, 70 ans, PTH douloureuse depuis 4 mois (symptômes chroniques). Fistule intermittente en regard du grand trochanter.</w:t>
      </w:r>
      <w:r>
        <w:t xml:space="preserve"> </w:t>
      </w:r>
      <w:r>
        <w:t xml:space="preserve">&gt; - CRP = 35 mg/L, VS = 65 mm/h</w:t>
      </w:r>
      <w:r>
        <w:t xml:space="preserve"> </w:t>
      </w:r>
      <w:r>
        <w:t xml:space="preserve">&gt; - DAIR tenté malgré : durée des symptômes &gt; 3 semaines + fistule</w:t>
      </w:r>
      <w:r>
        <w:t xml:space="preserve"> </w:t>
      </w:r>
      <w:r>
        <w:t xml:space="preserve">&gt; - Cultures peropératoires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SARM, résistant à la rifampicine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3 mois plus tard</w:t>
      </w:r>
      <w:r>
        <w:t xml:space="preserve"> </w:t>
      </w:r>
      <w:r>
        <w:t xml:space="preserve">: récidive infectieuse, fistule réapparaît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Erreur</w:t>
      </w:r>
      <w:r>
        <w:t xml:space="preserve"> </w:t>
      </w:r>
      <w:r>
        <w:t xml:space="preserve">: DAIR contre-indiqué ici (symptômes chroniques + fistule + germe résistant à la rifampicine = triple facteur d’échec)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: changement prothétique en 2 temps (explantation → spacer 8 semaines → réimplantation)</w:t>
      </w:r>
    </w:p>
    <w:p>
      <w:pPr>
        <w:pStyle w:val="BodyText"/>
      </w:pPr>
      <w:r>
        <w:rPr>
          <w:b/>
          <w:bCs/>
        </w:rPr>
        <w:t xml:space="preserve">Exemple 3 — DAIR en infection hématogène aiguë</w:t>
      </w:r>
      <w:r>
        <w:t xml:space="preserve"> </w:t>
      </w:r>
      <w:r>
        <w:t xml:space="preserve">&gt; M. Blanc, 58 ans, PTG droite à 3 ans, fonctionnelle et indolore. Bactériémie à</w:t>
      </w:r>
      <w:r>
        <w:t xml:space="preserve"> </w:t>
      </w:r>
      <w:r>
        <w:rPr>
          <w:i/>
          <w:iCs/>
        </w:rPr>
        <w:t xml:space="preserve">Streptococcus</w:t>
      </w:r>
      <w:r>
        <w:t xml:space="preserve"> </w:t>
      </w:r>
      <w:r>
        <w:t xml:space="preserve">groupe B après infection urinaire. Apparition brutale d’un genou chaud, rouge, douloureux (en 48h).</w:t>
      </w:r>
      <w:r>
        <w:t xml:space="preserve"> </w:t>
      </w:r>
      <w:r>
        <w:t xml:space="preserve">&gt; - CRP = 250 mg/L, hémocultures positives à</w:t>
      </w:r>
      <w:r>
        <w:t xml:space="preserve"> </w:t>
      </w:r>
      <w:r>
        <w:rPr>
          <w:i/>
          <w:iCs/>
        </w:rPr>
        <w:t xml:space="preserve">S. agalactiae</w:t>
      </w:r>
      <w:r>
        <w:t xml:space="preserve"> </w:t>
      </w:r>
      <w:r>
        <w:t xml:space="preserve">&gt; - Ponction articulaire : purulent, 80 000 leucocytes/μL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Décision</w:t>
      </w:r>
      <w:r>
        <w:t xml:space="preserve"> </w:t>
      </w:r>
      <w:r>
        <w:t xml:space="preserve">: DAIR en urgence (infection hématogène aiguë, &lt; 3 semaines de symptômes, implant bien fixé)</w:t>
      </w:r>
      <w:r>
        <w:t xml:space="preserve"> </w:t>
      </w:r>
      <w:r>
        <w:t xml:space="preserve">&gt; - Au bloc : pus franc, synovectomie, lavage abondant, échange du polyéthylène</w:t>
      </w:r>
      <w:r>
        <w:t xml:space="preserve"> </w:t>
      </w:r>
      <w:r>
        <w:t xml:space="preserve">&gt; - ATB : amoxicilline IV 2 semaines → relais oral amoxicilline 6 semaines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: guérison. Le streptocoque est un germe de bon pronostic en DAIR (taux de succès ~80-90%).</w:t>
      </w:r>
    </w:p>
    <w:p>
      <w:pPr>
        <w:pStyle w:val="BodyText"/>
      </w:pPr>
      <w:r>
        <w:rPr>
          <w:b/>
          <w:bCs/>
        </w:rPr>
        <w:t xml:space="preserve">Exemple 4 — Algorithme décisionnel DAIR vs changement</w:t>
      </w:r>
    </w:p>
    <w:p>
      <w:pPr>
        <w:pStyle w:val="SourceCode"/>
      </w:pPr>
      <w:r>
        <w:rPr>
          <w:rStyle w:val="VerbatimChar"/>
        </w:rPr>
        <w:t xml:space="preserve">Infection périprothétique confirmée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┌─────┴──────┐</w:t>
      </w:r>
      <w:r>
        <w:br/>
      </w:r>
      <w:r>
        <w:rPr>
          <w:rStyle w:val="VerbatimChar"/>
        </w:rPr>
        <w:t xml:space="preserve">     ▼            ▼</w:t>
      </w:r>
      <w:r>
        <w:br/>
      </w:r>
      <w:r>
        <w:rPr>
          <w:rStyle w:val="VerbatimChar"/>
        </w:rPr>
        <w:t xml:space="preserve">  AIGUË         CHRONIQUE</w:t>
      </w:r>
      <w:r>
        <w:br/>
      </w:r>
      <w:r>
        <w:rPr>
          <w:rStyle w:val="VerbatimChar"/>
        </w:rPr>
        <w:t xml:space="preserve">(&lt; 4 sem        (&gt; 4 sem ou</w:t>
      </w:r>
      <w:r>
        <w:br/>
      </w:r>
      <w:r>
        <w:rPr>
          <w:rStyle w:val="VerbatimChar"/>
        </w:rPr>
        <w:t xml:space="preserve">post-op ou      symptômes</w:t>
      </w:r>
      <w:r>
        <w:br/>
      </w:r>
      <w:r>
        <w:rPr>
          <w:rStyle w:val="VerbatimChar"/>
        </w:rPr>
        <w:t xml:space="preserve">&lt; 3 sem         &gt; 3 sem)</w:t>
      </w:r>
      <w:r>
        <w:br/>
      </w:r>
      <w:r>
        <w:rPr>
          <w:rStyle w:val="VerbatimChar"/>
        </w:rPr>
        <w:t xml:space="preserve">symptômes)         │</w:t>
      </w:r>
      <w:r>
        <w:br/>
      </w:r>
      <w:r>
        <w:rPr>
          <w:rStyle w:val="VerbatimChar"/>
        </w:rPr>
        <w:t xml:space="preserve">     │             ▼</w:t>
      </w:r>
      <w:r>
        <w:br/>
      </w:r>
      <w:r>
        <w:rPr>
          <w:rStyle w:val="VerbatimChar"/>
        </w:rPr>
        <w:t xml:space="preserve">     ▼        Changement</w:t>
      </w:r>
      <w:r>
        <w:br/>
      </w:r>
      <w:r>
        <w:rPr>
          <w:rStyle w:val="VerbatimChar"/>
        </w:rPr>
        <w:t xml:space="preserve">  DAIR ?      prothétique</w:t>
      </w:r>
      <w:r>
        <w:br/>
      </w:r>
      <w:r>
        <w:rPr>
          <w:rStyle w:val="VerbatimChar"/>
        </w:rPr>
        <w:t xml:space="preserve">     │        (1 ou 2 temps)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 Implant stable ? ─── Non ──→ Changement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Germe identifié ? ── Non ──→ Prudence (changement préféré)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Rifampicine-S      </w:t>
      </w:r>
      <w:r>
        <w:br/>
      </w:r>
      <w:r>
        <w:rPr>
          <w:rStyle w:val="VerbatimChar"/>
        </w:rPr>
        <w:t xml:space="preserve">│  (si staph) ? ─────── Non ──→ Changement (si staph)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Fistule ? ─────────── Oui ─→ Changement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Tous les critères OK → DAIR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embrane-induite-technique-de-masquelet"/>
    <w:p>
      <w:pPr>
        <w:pStyle w:val="Heading2"/>
      </w:pPr>
      <w:r>
        <w:t xml:space="preserve">5. Membrane Induite — Technique de Masquelet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technique de la membrane induite</w:t>
      </w:r>
      <w:r>
        <w:t xml:space="preserve"> </w:t>
      </w:r>
      <w:r>
        <w:t xml:space="preserve">(technique de</w:t>
      </w:r>
      <w:r>
        <w:t xml:space="preserve"> </w:t>
      </w:r>
      <w:r>
        <w:rPr>
          <w:b/>
          <w:bCs/>
        </w:rPr>
        <w:t xml:space="preserve">Masquelet</w:t>
      </w:r>
      <w:r>
        <w:t xml:space="preserve">), du nom du Pr Alain-Charles Masquelet, est une technique chirurgicale en</w:t>
      </w:r>
      <w:r>
        <w:t xml:space="preserve"> </w:t>
      </w:r>
      <w:r>
        <w:rPr>
          <w:b/>
          <w:bCs/>
        </w:rPr>
        <w:t xml:space="preserve">deux temps</w:t>
      </w:r>
      <w:r>
        <w:t xml:space="preserve"> </w:t>
      </w:r>
      <w:r>
        <w:t xml:space="preserve">pour la reconstruction de</w:t>
      </w:r>
      <w:r>
        <w:t xml:space="preserve"> </w:t>
      </w:r>
      <w:r>
        <w:rPr>
          <w:b/>
          <w:bCs/>
        </w:rPr>
        <w:t xml:space="preserve">pertes de substance osseuse</w:t>
      </w:r>
      <w:r>
        <w:t xml:space="preserve"> </w:t>
      </w:r>
      <w:r>
        <w:t xml:space="preserve">massives (&gt; 4-5 cm).</w:t>
      </w:r>
    </w:p>
    <w:bookmarkStart w:id="28" w:name="principe-2"/>
    <w:p>
      <w:pPr>
        <w:pStyle w:val="Heading3"/>
      </w:pPr>
      <w:r>
        <w:t xml:space="preserve">Principe</w:t>
      </w:r>
    </w:p>
    <w:p>
      <w:pPr>
        <w:pStyle w:val="FirstParagraph"/>
      </w:pPr>
      <w:r>
        <w:rPr>
          <w:b/>
          <w:bCs/>
        </w:rPr>
        <w:t xml:space="preserve">1er temps — Induction de la membrane</w:t>
      </w:r>
      <w:r>
        <w:t xml:space="preserve"> </w:t>
      </w:r>
      <w:r>
        <w:t xml:space="preserve">:</w:t>
      </w:r>
      <w:r>
        <w:t xml:space="preserve"> </w:t>
      </w:r>
      <w:r>
        <w:t xml:space="preserve">- Débridement radical du foyer (résection osseuse, nettoyage infectieux)</w:t>
      </w:r>
      <w:r>
        <w:t xml:space="preserve"> </w:t>
      </w:r>
      <w:r>
        <w:t xml:space="preserve">- Mise en place d’un</w:t>
      </w:r>
      <w:r>
        <w:t xml:space="preserve"> </w:t>
      </w:r>
      <w:r>
        <w:rPr>
          <w:b/>
          <w:bCs/>
        </w:rPr>
        <w:t xml:space="preserve">espaceur en ciment</w:t>
      </w:r>
      <w:r>
        <w:t xml:space="preserve"> </w:t>
      </w:r>
      <w:r>
        <w:t xml:space="preserve">(PMMA, souvent chargé en antibiotiques) dans le défect osseux</w:t>
      </w:r>
      <w:r>
        <w:t xml:space="preserve"> </w:t>
      </w:r>
      <w:r>
        <w:t xml:space="preserve">- En 4 à 8 semaines, l’organisme forme une</w:t>
      </w:r>
      <w:r>
        <w:t xml:space="preserve"> </w:t>
      </w:r>
      <w:r>
        <w:rPr>
          <w:b/>
          <w:bCs/>
        </w:rPr>
        <w:t xml:space="preserve">membrane biologique vascularisée</w:t>
      </w:r>
      <w:r>
        <w:t xml:space="preserve"> </w:t>
      </w:r>
      <w:r>
        <w:t xml:space="preserve">autour du ciment (la « membrane induite »)</w:t>
      </w:r>
      <w:r>
        <w:t xml:space="preserve"> </w:t>
      </w:r>
      <w:r>
        <w:t xml:space="preserve">- Cette membrane sécrète des</w:t>
      </w:r>
      <w:r>
        <w:t xml:space="preserve"> </w:t>
      </w:r>
      <w:r>
        <w:rPr>
          <w:b/>
          <w:bCs/>
        </w:rPr>
        <w:t xml:space="preserve">facteurs de croissance</w:t>
      </w:r>
      <w:r>
        <w:t xml:space="preserve"> </w:t>
      </w:r>
      <w:r>
        <w:t xml:space="preserve">(BMP-2, VEGF, TGF-β) et constitue un environnement biologiquement actif</w:t>
      </w:r>
    </w:p>
    <w:p>
      <w:pPr>
        <w:pStyle w:val="BodyText"/>
      </w:pPr>
      <w:r>
        <w:rPr>
          <w:b/>
          <w:bCs/>
        </w:rPr>
        <w:t xml:space="preserve">2e temps — Greffe osseuse</w:t>
      </w:r>
      <w:r>
        <w:t xml:space="preserve"> </w:t>
      </w:r>
      <w:r>
        <w:t xml:space="preserve">(6-8 semaines plus tard) :</w:t>
      </w:r>
      <w:r>
        <w:t xml:space="preserve"> </w:t>
      </w:r>
      <w:r>
        <w:t xml:space="preserve">- Ouverture soigneuse de la membrane</w:t>
      </w:r>
      <w:r>
        <w:t xml:space="preserve"> </w:t>
      </w:r>
      <w:r>
        <w:rPr>
          <w:b/>
          <w:bCs/>
        </w:rPr>
        <w:t xml:space="preserve">sans la détruire</w:t>
      </w:r>
      <w:r>
        <w:t xml:space="preserve"> </w:t>
      </w:r>
      <w:r>
        <w:t xml:space="preserve">- Retrait du ciment</w:t>
      </w:r>
      <w:r>
        <w:t xml:space="preserve"> </w:t>
      </w:r>
      <w:r>
        <w:t xml:space="preserve">- Comblement de la cavité par</w:t>
      </w:r>
      <w:r>
        <w:t xml:space="preserve"> </w:t>
      </w:r>
      <w:r>
        <w:rPr>
          <w:b/>
          <w:bCs/>
        </w:rPr>
        <w:t xml:space="preserve">greffe osseuse autologue</w:t>
      </w:r>
      <w:r>
        <w:t xml:space="preserve"> </w:t>
      </w:r>
      <w:r>
        <w:t xml:space="preserve">(crête iliaque, RIA) ± allogreffe</w:t>
      </w:r>
      <w:r>
        <w:t xml:space="preserve"> </w:t>
      </w:r>
      <w:r>
        <w:t xml:space="preserve">- La membrane agit comme une</w:t>
      </w:r>
      <w:r>
        <w:t xml:space="preserve"> </w:t>
      </w:r>
      <w:r>
        <w:rPr>
          <w:b/>
          <w:bCs/>
        </w:rPr>
        <w:t xml:space="preserve">chambre biologique</w:t>
      </w:r>
      <w:r>
        <w:t xml:space="preserve"> </w:t>
      </w:r>
      <w:r>
        <w:t xml:space="preserve">qui empêche la résorption du greffon, le vascularise et favorise la consolidation</w:t>
      </w:r>
    </w:p>
    <w:bookmarkEnd w:id="28"/>
    <w:bookmarkStart w:id="29" w:name="avantages"/>
    <w:p>
      <w:pPr>
        <w:pStyle w:val="Heading3"/>
      </w:pPr>
      <w:r>
        <w:t xml:space="preserve">Avantages</w:t>
      </w:r>
    </w:p>
    <w:p>
      <w:pPr>
        <w:pStyle w:val="Compact"/>
        <w:numPr>
          <w:ilvl w:val="0"/>
          <w:numId w:val="1013"/>
        </w:numPr>
      </w:pPr>
      <w:r>
        <w:t xml:space="preserve">Permet de reconstruire des</w:t>
      </w:r>
      <w:r>
        <w:t xml:space="preserve"> </w:t>
      </w:r>
      <w:r>
        <w:rPr>
          <w:b/>
          <w:bCs/>
        </w:rPr>
        <w:t xml:space="preserve">défects osseux massifs</w:t>
      </w:r>
      <w:r>
        <w:t xml:space="preserve"> </w:t>
      </w:r>
      <w:r>
        <w:t xml:space="preserve">(jusqu’à 25 cm décrits dans la littérature)</w:t>
      </w:r>
    </w:p>
    <w:p>
      <w:pPr>
        <w:pStyle w:val="Compact"/>
        <w:numPr>
          <w:ilvl w:val="0"/>
          <w:numId w:val="1013"/>
        </w:numPr>
      </w:pPr>
      <w:r>
        <w:t xml:space="preserve">Particulièrement adaptée en contexte</w:t>
      </w:r>
      <w:r>
        <w:t xml:space="preserve"> </w:t>
      </w:r>
      <w:r>
        <w:rPr>
          <w:b/>
          <w:bCs/>
        </w:rPr>
        <w:t xml:space="preserve">septique</w:t>
      </w:r>
      <w:r>
        <w:t xml:space="preserve"> </w:t>
      </w:r>
      <w:r>
        <w:t xml:space="preserve">(le ciment aux antibiotiques traite l’infection au 1er temps)</w:t>
      </w:r>
    </w:p>
    <w:p>
      <w:pPr>
        <w:pStyle w:val="Compact"/>
        <w:numPr>
          <w:ilvl w:val="0"/>
          <w:numId w:val="1013"/>
        </w:numPr>
      </w:pPr>
      <w:r>
        <w:t xml:space="preserve">Alternative aux techniques de transport osseux (Ilizarov) avec moins de contraintes pour le patient</w:t>
      </w:r>
    </w:p>
    <w:bookmarkEnd w:id="29"/>
    <w:bookmarkStart w:id="30" w:name="indications-en-ioa"/>
    <w:p>
      <w:pPr>
        <w:pStyle w:val="Heading3"/>
      </w:pPr>
      <w:r>
        <w:t xml:space="preserve">Indications en IOA</w:t>
      </w:r>
    </w:p>
    <w:p>
      <w:pPr>
        <w:pStyle w:val="Compact"/>
        <w:numPr>
          <w:ilvl w:val="0"/>
          <w:numId w:val="1014"/>
        </w:numPr>
      </w:pPr>
      <w:r>
        <w:t xml:space="preserve">Ostéomyélite chronique avec perte de substance osseuse étendue</w:t>
      </w:r>
    </w:p>
    <w:p>
      <w:pPr>
        <w:pStyle w:val="Compact"/>
        <w:numPr>
          <w:ilvl w:val="0"/>
          <w:numId w:val="1014"/>
        </w:numPr>
      </w:pPr>
      <w:r>
        <w:t xml:space="preserve">Reprises après échec de traitement initial</w:t>
      </w:r>
    </w:p>
    <w:p>
      <w:pPr>
        <w:pStyle w:val="Compact"/>
        <w:numPr>
          <w:ilvl w:val="0"/>
          <w:numId w:val="1014"/>
        </w:numPr>
      </w:pPr>
      <w:r>
        <w:t xml:space="preserve">Pseudarthrose septique</w:t>
      </w:r>
    </w:p>
    <w:p>
      <w:pPr>
        <w:pStyle w:val="Compact"/>
        <w:numPr>
          <w:ilvl w:val="0"/>
          <w:numId w:val="1014"/>
        </w:numPr>
      </w:pPr>
      <w:r>
        <w:t xml:space="preserve">Reconstruction après résection carcinologique</w:t>
      </w:r>
    </w:p>
    <w:bookmarkEnd w:id="30"/>
    <w:bookmarkStart w:id="31" w:name="exemples-pratiques-masquelet"/>
    <w:p>
      <w:pPr>
        <w:pStyle w:val="Heading3"/>
      </w:pPr>
      <w:r>
        <w:t xml:space="preserve">Exemples pratiques — Masquelet</w:t>
      </w:r>
    </w:p>
    <w:p>
      <w:pPr>
        <w:pStyle w:val="FirstParagraph"/>
      </w:pPr>
      <w:r>
        <w:rPr>
          <w:b/>
          <w:bCs/>
        </w:rPr>
        <w:t xml:space="preserve">Exemple 1 — Masquelet classique pour ostéomyélite chronique</w:t>
      </w:r>
      <w:r>
        <w:t xml:space="preserve"> </w:t>
      </w:r>
      <w:r>
        <w:t xml:space="preserve">&gt; M. Diallo, 35 ans, ostéomyélite chronique du tibia après fracture ouverte (accident de moto, 2 ans auparavant). Fistule cutanée productive depuis 18 mois. Radiographie : séquestre osseux de 8 cm, cavité diaphysaire.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1er temps</w:t>
      </w:r>
      <w:r>
        <w:t xml:space="preserve"> </w:t>
      </w:r>
      <w:r>
        <w:t xml:space="preserve">(J0) : résection radicale du séquestre + tissu infecté → perte de substance osseuse de 9 cm. Mise en place d’un espaceur en ciment PMMA chargé en gentamicine + vancomycine. Cultures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SASM.</w:t>
      </w:r>
      <w:r>
        <w:t xml:space="preserve"> </w:t>
      </w:r>
      <w:r>
        <w:t xml:space="preserve">&gt; - ATB : oxacilline IV 2 semaines → lévofloxacine + rifampicine oral 4 semaines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Suivi à 6 semaines</w:t>
      </w:r>
      <w:r>
        <w:t xml:space="preserve"> </w:t>
      </w:r>
      <w:r>
        <w:t xml:space="preserve">: CRP normalisée, fistule fermée, pas de signe d’infection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2e temps</w:t>
      </w:r>
      <w:r>
        <w:t xml:space="preserve"> </w:t>
      </w:r>
      <w:r>
        <w:t xml:space="preserve">(J56) : ouverture de la membrane induite (membrane épaisse, bien vascularisée), retrait du ciment, comblement par greffe osseuse autologue (crête iliaque) + allogreffe lyophilisée.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Résultat à 12 mois</w:t>
      </w:r>
      <w:r>
        <w:t xml:space="preserve"> </w:t>
      </w:r>
      <w:r>
        <w:t xml:space="preserve">: consolidation complète, appui total, pas de récidive infectieuse. Le patient marche sans boiterie.</w:t>
      </w:r>
    </w:p>
    <w:p>
      <w:pPr>
        <w:pStyle w:val="BodyText"/>
      </w:pPr>
      <w:r>
        <w:rPr>
          <w:b/>
          <w:bCs/>
        </w:rPr>
        <w:t xml:space="preserve">Exemple 2 — Masquelet après échec de traitement conventionnel</w:t>
      </w:r>
      <w:r>
        <w:t xml:space="preserve"> </w:t>
      </w:r>
      <w:r>
        <w:t xml:space="preserve">&gt; Mme Fernandez, 52 ans, pseudarthrose septique du fémur après ostéosynthèse par clou centromédullaire pour fracture. 2 interventions antérieures (ablation du matériel + curetage) avec rechute à chaque fois. Perte de substance de 6 cm.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1er temps</w:t>
      </w:r>
      <w:r>
        <w:t xml:space="preserve"> </w:t>
      </w:r>
      <w:r>
        <w:t xml:space="preserve">: ablation du matériel résiduel, résection large incluant les berges sclérotiques, espaceur ciment aux ATB, fixateur externe temporaire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2e temps (7 semaines)</w:t>
      </w:r>
      <w:r>
        <w:t xml:space="preserve"> </w:t>
      </w:r>
      <w:r>
        <w:t xml:space="preserve">: greffe RIA (Reamer-Irrigator-Aspirator) prélevée dans le canal médullaire fémoral controlatéral + ostéosynthèse par plaque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Avantage du RIA</w:t>
      </w:r>
      <w:r>
        <w:t xml:space="preserve"> </w:t>
      </w:r>
      <w:r>
        <w:t xml:space="preserve">: grande quantité de greffe autologue (jusqu’à 40 mL) sans morbidité du site de prélèvement iliaque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Résultat à 18 mois</w:t>
      </w:r>
      <w:r>
        <w:t xml:space="preserve"> </w:t>
      </w:r>
      <w:r>
        <w:t xml:space="preserve">: consolidation acquise, infection éradiquée</w:t>
      </w:r>
    </w:p>
    <w:p>
      <w:pPr>
        <w:pStyle w:val="BodyText"/>
      </w:pPr>
      <w:r>
        <w:rPr>
          <w:b/>
          <w:bCs/>
        </w:rPr>
        <w:t xml:space="preserve">Exemple 3 — Échec du Masquelet : membrane détruite</w:t>
      </w:r>
      <w:r>
        <w:t xml:space="preserve"> </w:t>
      </w:r>
      <w:r>
        <w:t xml:space="preserve">&gt; M. Kovac, 40 ans, Masquelet pour ostéomyélite tibiale. 2e temps réalisé à 8 semaines.</w:t>
      </w:r>
      <w:r>
        <w:t xml:space="preserve"> </w:t>
      </w:r>
      <w:r>
        <w:t xml:space="preserve">&gt; - Lors de l’ouverture chirurgicale, la membrane a été</w:t>
      </w:r>
      <w:r>
        <w:t xml:space="preserve"> </w:t>
      </w:r>
      <w:r>
        <w:rPr>
          <w:b/>
          <w:bCs/>
        </w:rPr>
        <w:t xml:space="preserve">largement déchirée et excisée partiellement</w:t>
      </w:r>
      <w:r>
        <w:t xml:space="preserve"> </w:t>
      </w:r>
      <w:r>
        <w:t xml:space="preserve">par le chirurgien (erreur technique)</w:t>
      </w:r>
      <w:r>
        <w:t xml:space="preserve"> </w:t>
      </w:r>
      <w:r>
        <w:t xml:space="preserve">&gt; - Greffe osseuse mise en place → à 6 mois :</w:t>
      </w:r>
      <w:r>
        <w:t xml:space="preserve"> </w:t>
      </w:r>
      <w:r>
        <w:rPr>
          <w:b/>
          <w:bCs/>
        </w:rPr>
        <w:t xml:space="preserve">résorption de 60% du greffon</w:t>
      </w:r>
      <w:r>
        <w:t xml:space="preserve">, pas de consolidation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Erreur</w:t>
      </w:r>
      <w:r>
        <w:t xml:space="preserve"> </w:t>
      </w:r>
      <w:r>
        <w:t xml:space="preserve">: la membrane induite DOIT être préservée intacte. C’est elle qui sécrète les facteurs de croissance et empêche la résorption.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Reprise</w:t>
      </w:r>
      <w:r>
        <w:t xml:space="preserve"> </w:t>
      </w:r>
      <w:r>
        <w:t xml:space="preserve">: nouveau Masquelet complet (1er + 2e temps). Consolidation à 14 mois.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e2d76e1c27b7e4f90c3657de7c036f0634742c8"/>
    <w:p>
      <w:pPr>
        <w:pStyle w:val="Heading2"/>
      </w:pPr>
      <w:r>
        <w:t xml:space="preserve">6. IA et Algorithmes Diagnostiques pour les IOA</w:t>
      </w:r>
    </w:p>
    <w:bookmarkStart w:id="33" w:name="X3299a7f806f81597426e7d8c2e8cdc0335ddf7d"/>
    <w:p>
      <w:pPr>
        <w:pStyle w:val="Heading3"/>
      </w:pPr>
      <w:r>
        <w:t xml:space="preserve">Ce que l’IA peut faire dans le diagnostic des IOA</w:t>
      </w:r>
    </w:p>
    <w:p>
      <w:pPr>
        <w:pStyle w:val="FirstParagraph"/>
      </w:pPr>
      <w:r>
        <w:t xml:space="preserve">L’intelligence artificielle dans le domaine des IOA exploite</w:t>
      </w:r>
      <w:r>
        <w:t xml:space="preserve"> </w:t>
      </w:r>
      <w:r>
        <w:rPr>
          <w:b/>
          <w:bCs/>
        </w:rPr>
        <w:t xml:space="preserve">3 types de données</w:t>
      </w:r>
      <w:r>
        <w:t xml:space="preserve"> </w:t>
      </w:r>
      <w:r>
        <w:t xml:space="preserve">:</w:t>
      </w:r>
    </w:p>
    <w:bookmarkEnd w:id="33"/>
    <w:bookmarkStart w:id="34" w:name="imagerie-médicale"/>
    <w:p>
      <w:pPr>
        <w:pStyle w:val="Heading3"/>
      </w:pPr>
      <w:r>
        <w:t xml:space="preserve">6.1. Imagerie médicale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Modalité</w:t>
            </w:r>
          </w:p>
        </w:tc>
        <w:tc>
          <w:tcPr/>
          <w:p>
            <w:pPr>
              <w:pStyle w:val="Compact"/>
            </w:pPr>
            <w:r>
              <w:t xml:space="preserve">Application IA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Radiographie standard</w:t>
            </w:r>
          </w:p>
        </w:tc>
        <w:tc>
          <w:tcPr/>
          <w:p>
            <w:pPr>
              <w:pStyle w:val="Compact"/>
            </w:pPr>
            <w:r>
              <w:t xml:space="preserve">Descellement prothétique, ostéolyse, signes d’ostéomyélite</w:t>
            </w:r>
          </w:p>
        </w:tc>
        <w:tc>
          <w:tcPr/>
          <w:p>
            <w:pPr>
              <w:pStyle w:val="Compact"/>
            </w:pPr>
            <w:r>
              <w:t xml:space="preserve">Rx genou : septique vs aseptique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</w:t>
            </w:r>
          </w:p>
        </w:tc>
        <w:tc>
          <w:tcPr/>
          <w:p>
            <w:pPr>
              <w:pStyle w:val="Compact"/>
            </w:pPr>
            <w:r>
              <w:t xml:space="preserve">Détection ostéomyélite, abcès, collections</w:t>
            </w:r>
          </w:p>
        </w:tc>
        <w:tc>
          <w:tcPr/>
          <w:p>
            <w:pPr>
              <w:pStyle w:val="Compact"/>
            </w:pPr>
            <w:r>
              <w:t xml:space="preserve">Signal médullaire anormal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Séquestres osseux, érosions corticales</w:t>
            </w:r>
          </w:p>
        </w:tc>
        <w:tc>
          <w:tcPr/>
          <w:p>
            <w:pPr>
              <w:pStyle w:val="Compact"/>
            </w:pPr>
            <w:r>
              <w:t xml:space="preserve">Ostéomyélite chronique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Scintigraphie/TEP</w:t>
            </w:r>
          </w:p>
        </w:tc>
        <w:tc>
          <w:tcPr/>
          <w:p>
            <w:pPr>
              <w:pStyle w:val="Compact"/>
            </w:pPr>
            <w:r>
              <w:t xml:space="preserve">Foyer infectieux actif</w:t>
            </w:r>
          </w:p>
        </w:tc>
        <w:tc>
          <w:tcPr/>
          <w:p>
            <w:pPr>
              <w:pStyle w:val="Compact"/>
            </w:pPr>
            <w:r>
              <w:t xml:space="preserve">Fixation anormale</w:t>
            </w:r>
          </w:p>
        </w:tc>
      </w:tr>
    </w:tbl>
    <w:p>
      <w:pPr>
        <w:pStyle w:val="BodyText"/>
      </w:pPr>
      <w:r>
        <w:t xml:space="preserve">Nécessite : images DICOM, modèle CNN (ResNet, EfficientNet, Vision Transformer), GPU pour entraînement.</w:t>
      </w:r>
    </w:p>
    <w:bookmarkEnd w:id="34"/>
    <w:bookmarkStart w:id="35" w:name="X4f626d00964cd8fe514db0f3262a9eeb3dd4717"/>
    <w:p>
      <w:pPr>
        <w:pStyle w:val="Heading3"/>
      </w:pPr>
      <w:r>
        <w:t xml:space="preserve">6.2. Données clinico-biologiques (pas d’imagerie)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1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Application IA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Biologie</w:t>
            </w:r>
          </w:p>
        </w:tc>
        <w:tc>
          <w:tcPr/>
          <w:p>
            <w:pPr>
              <w:pStyle w:val="Compact"/>
            </w:pPr>
            <w:r>
              <w:t xml:space="preserve">Score prédictif d’infection</w:t>
            </w:r>
          </w:p>
        </w:tc>
        <w:tc>
          <w:tcPr/>
          <w:p>
            <w:pPr>
              <w:pStyle w:val="Compact"/>
            </w:pPr>
            <w:r>
              <w:t xml:space="preserve">CRP, PCT, leucocytes, fibrinogène, D-dimères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Données patient</w:t>
            </w:r>
          </w:p>
        </w:tc>
        <w:tc>
          <w:tcPr/>
          <w:p>
            <w:pPr>
              <w:pStyle w:val="Compact"/>
            </w:pPr>
            <w:r>
              <w:t xml:space="preserve">Risque d’ISO pré-opératoire</w:t>
            </w:r>
          </w:p>
        </w:tc>
        <w:tc>
          <w:tcPr/>
          <w:p>
            <w:pPr>
              <w:pStyle w:val="Compact"/>
            </w:pPr>
            <w:r>
              <w:t xml:space="preserve">Age, IMC, diabète (HbA1c), tabac, ASA, durée opératoire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Données peropératoires</w:t>
            </w:r>
          </w:p>
        </w:tc>
        <w:tc>
          <w:tcPr/>
          <w:p>
            <w:pPr>
              <w:pStyle w:val="Compact"/>
            </w:pPr>
            <w:r>
              <w:t xml:space="preserve">Prédiction échec DAIR</w:t>
            </w:r>
          </w:p>
        </w:tc>
        <w:tc>
          <w:tcPr/>
          <w:p>
            <w:pPr>
              <w:pStyle w:val="Compact"/>
            </w:pPr>
            <w:r>
              <w:t xml:space="preserve">Durée des symptômes, type de germe, état de l’implant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Critères MSIS/ICM</w:t>
            </w:r>
          </w:p>
        </w:tc>
        <w:tc>
          <w:tcPr/>
          <w:p>
            <w:pPr>
              <w:pStyle w:val="Compact"/>
            </w:pPr>
            <w:r>
              <w:t xml:space="preserve">Aide à la classification</w:t>
            </w:r>
          </w:p>
        </w:tc>
        <w:tc>
          <w:tcPr/>
          <w:p>
            <w:pPr>
              <w:pStyle w:val="Compact"/>
            </w:pPr>
            <w:r>
              <w:t xml:space="preserve">Combinaison de critères majeurs/mineurs</w:t>
            </w:r>
          </w:p>
        </w:tc>
      </w:tr>
    </w:tbl>
    <w:p>
      <w:pPr>
        <w:pStyle w:val="BodyText"/>
      </w:pPr>
      <w:r>
        <w:t xml:space="preserve">Nécessite : un simple formulaire web, pas d’imagerie.</w:t>
      </w:r>
    </w:p>
    <w:bookmarkEnd w:id="35"/>
    <w:bookmarkStart w:id="36" w:name="données-microbiologiques"/>
    <w:p>
      <w:pPr>
        <w:pStyle w:val="Heading3"/>
      </w:pPr>
      <w:r>
        <w:t xml:space="preserve">6.3. Données microbiologiques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1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Application IA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Antibiogramme</w:t>
            </w:r>
          </w:p>
        </w:tc>
        <w:tc>
          <w:tcPr/>
          <w:p>
            <w:pPr>
              <w:pStyle w:val="Compact"/>
            </w:pPr>
            <w:r>
              <w:t xml:space="preserve">Prédiction résistance, choix ATB optimal</w:t>
            </w:r>
          </w:p>
        </w:tc>
        <w:tc>
          <w:tcPr/>
          <w:p>
            <w:pPr>
              <w:pStyle w:val="Compact"/>
            </w:pPr>
            <w:r>
              <w:t xml:space="preserve">Profil de résistance → schéma ATB recommandé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Données génomiques (NGS)</w:t>
            </w:r>
          </w:p>
        </w:tc>
        <w:tc>
          <w:tcPr/>
          <w:p>
            <w:pPr>
              <w:pStyle w:val="Compact"/>
            </w:pPr>
            <w:r>
              <w:t xml:space="preserve">Identification pathogène par séquençage</w:t>
            </w:r>
          </w:p>
        </w:tc>
        <w:tc>
          <w:tcPr/>
          <w:p>
            <w:pPr>
              <w:pStyle w:val="Compact"/>
            </w:pPr>
            <w:r>
              <w:t xml:space="preserve">Métagénomique ciblée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MALDI-TOF</w:t>
            </w:r>
          </w:p>
        </w:tc>
        <w:tc>
          <w:tcPr/>
          <w:p>
            <w:pPr>
              <w:pStyle w:val="Compact"/>
            </w:pPr>
            <w:r>
              <w:t xml:space="preserve">Identification rapide + prédiction résistance</w:t>
            </w:r>
          </w:p>
        </w:tc>
        <w:tc>
          <w:tcPr/>
          <w:p>
            <w:pPr>
              <w:pStyle w:val="Compact"/>
            </w:pPr>
            <w:r>
              <w:t xml:space="preserve">Spectre de masse → espèce + résistance</w:t>
            </w:r>
          </w:p>
        </w:tc>
      </w:tr>
    </w:tbl>
    <w:bookmarkEnd w:id="36"/>
    <w:bookmarkStart w:id="37" w:name="complexité-par-type-doutil"/>
    <w:p>
      <w:pPr>
        <w:pStyle w:val="Heading3"/>
      </w:pPr>
      <w:r>
        <w:t xml:space="preserve">Complexité par type d’outil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6"/>
        <w:gridCol w:w="2600"/>
        <w:gridCol w:w="2364"/>
        <w:gridCol w:w="1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d’outil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Imagerie nécessaire 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Matériel spécial 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prédictif IOA</w:t>
            </w:r>
            <w:r>
              <w:t xml:space="preserve"> </w:t>
            </w:r>
            <w:r>
              <w:t xml:space="preserve">(formulaire)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 au choix ATB</w:t>
            </w:r>
            <w:r>
              <w:t xml:space="preserve"> </w:t>
            </w:r>
            <w:r>
              <w:t xml:space="preserve">(antibiogramme)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 radiographie</w:t>
            </w:r>
            <w:r>
              <w:t xml:space="preserve"> </w:t>
            </w:r>
            <w:r>
              <w:t xml:space="preserve">(descellement)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 (Rx DICOM)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GPU entraînement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 IRM</w:t>
            </w:r>
            <w:r>
              <w:t xml:space="preserve"> </w:t>
            </w:r>
            <w:r>
              <w:t xml:space="preserve">(ostéomyélite)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 (IRM DICOM)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GPU obligatoire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Complexe</w:t>
            </w:r>
          </w:p>
        </w:tc>
      </w:tr>
    </w:tbl>
    <w:bookmarkEnd w:id="37"/>
    <w:bookmarkStart w:id="38" w:name="exemples-pratiques-ia-diagnostique"/>
    <w:p>
      <w:pPr>
        <w:pStyle w:val="Heading3"/>
      </w:pPr>
      <w:r>
        <w:t xml:space="preserve">Exemples pratiques — IA diagnostique</w:t>
      </w:r>
    </w:p>
    <w:p>
      <w:pPr>
        <w:pStyle w:val="FirstParagraph"/>
      </w:pPr>
      <w:r>
        <w:rPr>
          <w:b/>
          <w:bCs/>
        </w:rPr>
        <w:t xml:space="preserve">Exemple 1 — Score prédictif IOA (sans imagerie)</w:t>
      </w:r>
      <w:r>
        <w:t xml:space="preserve"> </w:t>
      </w:r>
      <w:r>
        <w:t xml:space="preserve">&gt; Calculateur IOA-SCORE© sur VERTEX©. Le praticien remplit le formulaire :</w:t>
      </w:r>
      <w:r>
        <w:t xml:space="preserve"> </w:t>
      </w:r>
      <w:r>
        <w:t xml:space="preserve">&gt; - Patient : homme, 68 ans, IMC 32, diabète type 2 (HbA1c 8.2%), tabagisme actif</w:t>
      </w:r>
      <w:r>
        <w:t xml:space="preserve"> </w:t>
      </w:r>
      <w:r>
        <w:t xml:space="preserve">&gt; - PTG à J14 post-op, fièvre 38.5°C</w:t>
      </w:r>
      <w:r>
        <w:t xml:space="preserve"> </w:t>
      </w:r>
      <w:r>
        <w:t xml:space="preserve">&gt; - CRP = 95 mg/L, VS = 55 mm/h, PCT = 0.8 ng/mL, leucocytes = 13 500/mm³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L’algorithme de machine learning analyse les 12 variables et calcule</w:t>
      </w:r>
      <w:r>
        <w:t xml:space="preserve"> </w:t>
      </w:r>
      <w:r>
        <w:t xml:space="preserve">:</w:t>
      </w:r>
      <w:r>
        <w:t xml:space="preserve"> </w:t>
      </w:r>
      <w:r>
        <w:t xml:space="preserve">&gt; - Probabilité d’infection :</w:t>
      </w:r>
      <w:r>
        <w:t xml:space="preserve"> </w:t>
      </w:r>
      <w:r>
        <w:rPr>
          <w:b/>
          <w:bCs/>
        </w:rPr>
        <w:t xml:space="preserve">78%</w:t>
      </w:r>
      <w:r>
        <w:t xml:space="preserve"> </w:t>
      </w:r>
      <w:r>
        <w:t xml:space="preserve">&gt; - Facteurs les plus discriminants (importance SHAP) : PCT &gt; 0.5 (poids 0.28), CRP &gt; 50 à J14 (poids 0.22), diabète mal équilibré (poids 0.15)</w:t>
      </w:r>
      <w:r>
        <w:t xml:space="preserve"> </w:t>
      </w:r>
      <w:r>
        <w:t xml:space="preserve">&gt; - Recommandation : « Ponction articulaire urgente recommandée. Probabilité d’infection élevée. »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Utilité</w:t>
      </w:r>
      <w:r>
        <w:t xml:space="preserve"> </w:t>
      </w:r>
      <w:r>
        <w:t xml:space="preserve">: le praticien qui hésite entre « inflammation post-opératoire normale » et « infection débutante » reçoit une aide quantifiée.</w:t>
      </w:r>
    </w:p>
    <w:p>
      <w:pPr>
        <w:pStyle w:val="BodyText"/>
      </w:pPr>
      <w:r>
        <w:rPr>
          <w:b/>
          <w:bCs/>
        </w:rPr>
        <w:t xml:space="preserve">Exemple 2 — Prédiction du risque d’ISO pré-opératoire</w:t>
      </w:r>
      <w:r>
        <w:t xml:space="preserve"> </w:t>
      </w:r>
      <w:r>
        <w:t xml:space="preserve">&gt; Avant une PTG programmée, le chirurgien entre les données du patient :</w:t>
      </w:r>
      <w:r>
        <w:t xml:space="preserve"> </w:t>
      </w:r>
      <w:r>
        <w:t xml:space="preserve">&gt; - Femme, 75 ans, IMC 38, diabète insulinodépendant, corticothérapie au long cours, ATCD d’ISO sur chirurgie abdominale</w:t>
      </w:r>
      <w:r>
        <w:t xml:space="preserve"> </w:t>
      </w:r>
      <w:r>
        <w:t xml:space="preserve">&gt; - ASA III, durée opératoire prévue 120 min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L’IA calcule un risque d’ISO de 8.5%</w:t>
      </w:r>
      <w:r>
        <w:t xml:space="preserve"> </w:t>
      </w:r>
      <w:r>
        <w:t xml:space="preserve">(vs 1-2% en population standard)</w:t>
      </w:r>
      <w:r>
        <w:t xml:space="preserve"> </w:t>
      </w:r>
      <w:r>
        <w:t xml:space="preserve">&gt; - Recommandations générées : optimisation HbA1c &lt; 7% avant chirurgie, sevrage tabac 6 semaines, dépistage/décontamination portage nasal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(mupirocine), antibioprophylaxie adaptée au poids (céfazoline 3g au lieu de 2g si &gt; 120 kg)</w:t>
      </w:r>
    </w:p>
    <w:p>
      <w:pPr>
        <w:pStyle w:val="BodyText"/>
      </w:pPr>
      <w:r>
        <w:rPr>
          <w:b/>
          <w:bCs/>
        </w:rPr>
        <w:t xml:space="preserve">Exemple 3 — IA et prédiction d’échec du DAIR</w:t>
      </w:r>
      <w:r>
        <w:t xml:space="preserve"> </w:t>
      </w:r>
      <w:r>
        <w:t xml:space="preserve">&gt; Le chirurgien a décidé un DAIR pour une infection aiguë post-opératoire. L’IA évalue les chances de succès :</w:t>
      </w:r>
      <w:r>
        <w:t xml:space="preserve"> </w:t>
      </w:r>
      <w:r>
        <w:t xml:space="preserve">&gt; - Entrées : durée symptômes (18 jours), germe (</w:t>
      </w:r>
      <w:r>
        <w:rPr>
          <w:i/>
          <w:iCs/>
        </w:rPr>
        <w:t xml:space="preserve">S. aureus</w:t>
      </w:r>
      <w:r>
        <w:t xml:space="preserve"> </w:t>
      </w:r>
      <w:r>
        <w:t xml:space="preserve">SASM, rifampicine-sensible), CRP initiale (120 mg/L), pas de fistule, implant stable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Prédiction</w:t>
      </w:r>
      <w:r>
        <w:t xml:space="preserve"> </w:t>
      </w:r>
      <w:r>
        <w:t xml:space="preserve">: probabilité de succès du DAIR =</w:t>
      </w:r>
      <w:r>
        <w:t xml:space="preserve"> </w:t>
      </w:r>
      <w:r>
        <w:rPr>
          <w:b/>
          <w:bCs/>
        </w:rPr>
        <w:t xml:space="preserve">72%</w:t>
      </w:r>
      <w:r>
        <w:t xml:space="preserve"> </w:t>
      </w:r>
      <w:r>
        <w:t xml:space="preserve">&gt; - Si les symptômes avaient duré 35 jours → probabilité tombe à</w:t>
      </w:r>
      <w:r>
        <w:t xml:space="preserve"> </w:t>
      </w:r>
      <w:r>
        <w:rPr>
          <w:b/>
          <w:bCs/>
        </w:rPr>
        <w:t xml:space="preserve">38%</w:t>
      </w:r>
      <w:r>
        <w:t xml:space="preserve"> </w:t>
      </w:r>
      <w:r>
        <w:t xml:space="preserve">→ l’IA recommande un changement prothétique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vpp-et-vpn-valeurs-prédictives"/>
    <w:p>
      <w:pPr>
        <w:pStyle w:val="Heading2"/>
      </w:pPr>
      <w:r>
        <w:t xml:space="preserve">7. VPP et VPN — Valeurs Prédictives</w:t>
      </w:r>
    </w:p>
    <w:bookmarkStart w:id="40" w:name="vpp-valeur-prédictive-positive"/>
    <w:p>
      <w:pPr>
        <w:pStyle w:val="Heading3"/>
      </w:pPr>
      <w:r>
        <w:t xml:space="preserve">VPP — Valeur Prédictive Positive</w:t>
      </w:r>
    </w:p>
    <w:p>
      <w:pPr>
        <w:pStyle w:val="FirstParagraph"/>
      </w:pPr>
      <w:r>
        <w:t xml:space="preserve">Si le test est</w:t>
      </w:r>
      <w:r>
        <w:t xml:space="preserve"> </w:t>
      </w:r>
      <w:r>
        <w:rPr>
          <w:b/>
          <w:bCs/>
        </w:rPr>
        <w:t xml:space="preserve">positif</w:t>
      </w:r>
      <w:r>
        <w:t xml:space="preserve">, quelle est la probabilité que le patient soit</w:t>
      </w:r>
      <w:r>
        <w:t xml:space="preserve"> </w:t>
      </w:r>
      <w:r>
        <w:rPr>
          <w:b/>
          <w:bCs/>
        </w:rPr>
        <w:t xml:space="preserve">réellement infecté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VPP = Vrais Positifs / (Vrais Positifs + Faux Positifs)</w:t>
      </w:r>
    </w:p>
    <w:p>
      <w:pPr>
        <w:pStyle w:val="BodyText"/>
      </w:pPr>
      <w:r>
        <w:t xml:space="preserve">Exemple : VPP de 85% → sur 100 patients avec un test positif,</w:t>
      </w:r>
      <w:r>
        <w:t xml:space="preserve"> </w:t>
      </w:r>
      <w:r>
        <w:rPr>
          <w:b/>
          <w:bCs/>
        </w:rPr>
        <w:t xml:space="preserve">85 sont réellement infectés</w:t>
      </w:r>
      <w:r>
        <w:t xml:space="preserve"> </w:t>
      </w:r>
      <w:r>
        <w:t xml:space="preserve">et 15 sont des faux positifs.</w:t>
      </w:r>
    </w:p>
    <w:bookmarkEnd w:id="40"/>
    <w:bookmarkStart w:id="41" w:name="vpn-valeur-prédictive-négative"/>
    <w:p>
      <w:pPr>
        <w:pStyle w:val="Heading3"/>
      </w:pPr>
      <w:r>
        <w:t xml:space="preserve">VPN — Valeur Prédictive Négative</w:t>
      </w:r>
    </w:p>
    <w:p>
      <w:pPr>
        <w:pStyle w:val="FirstParagraph"/>
      </w:pPr>
      <w:r>
        <w:t xml:space="preserve">Si le test est</w:t>
      </w:r>
      <w:r>
        <w:t xml:space="preserve"> </w:t>
      </w:r>
      <w:r>
        <w:rPr>
          <w:b/>
          <w:bCs/>
        </w:rPr>
        <w:t xml:space="preserve">négatif</w:t>
      </w:r>
      <w:r>
        <w:t xml:space="preserve">, quelle est la probabilité que le patient soit</w:t>
      </w:r>
      <w:r>
        <w:t xml:space="preserve"> </w:t>
      </w:r>
      <w:r>
        <w:rPr>
          <w:b/>
          <w:bCs/>
        </w:rPr>
        <w:t xml:space="preserve">réellement non infecté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VPN = Vrais Négatifs / (Vrais Négatifs + Faux Négatifs)</w:t>
      </w:r>
    </w:p>
    <w:p>
      <w:pPr>
        <w:pStyle w:val="BodyText"/>
      </w:pPr>
      <w:r>
        <w:t xml:space="preserve">Exemple : VPN de 95% → sur 100 patients avec un test négatif,</w:t>
      </w:r>
      <w:r>
        <w:t xml:space="preserve"> </w:t>
      </w:r>
      <w:r>
        <w:rPr>
          <w:b/>
          <w:bCs/>
        </w:rPr>
        <w:t xml:space="preserve">95 sont réellement sains</w:t>
      </w:r>
      <w:r>
        <w:t xml:space="preserve"> </w:t>
      </w:r>
      <w:r>
        <w:t xml:space="preserve">et 5 ont une infection ratée.</w:t>
      </w:r>
    </w:p>
    <w:bookmarkEnd w:id="41"/>
    <w:bookmarkStart w:id="42" w:name="différence-avec-sensibilitéspécificité"/>
    <w:p>
      <w:pPr>
        <w:pStyle w:val="Heading3"/>
      </w:pPr>
      <w:r>
        <w:t xml:space="preserve">Différence avec sensibilité/spécificité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Question posée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Dépend de la prévalence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Sensibilité</w:t>
            </w:r>
          </w:p>
        </w:tc>
        <w:tc>
          <w:tcPr/>
          <w:p>
            <w:pPr>
              <w:pStyle w:val="Compact"/>
            </w:pPr>
            <w:r>
              <w:t xml:space="preserve">Le test détecte-t-il les malades 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Spécificité</w:t>
            </w:r>
          </w:p>
        </w:tc>
        <w:tc>
          <w:tcPr/>
          <w:p>
            <w:pPr>
              <w:pStyle w:val="Compact"/>
            </w:pPr>
            <w:r>
              <w:t xml:space="preserve">Le test identifie-t-il les sains 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VPP</w:t>
            </w:r>
          </w:p>
        </w:tc>
        <w:tc>
          <w:tcPr/>
          <w:p>
            <w:pPr>
              <w:pStyle w:val="Compact"/>
            </w:pPr>
            <w:r>
              <w:t xml:space="preserve">Si test ⊕, est-ce un vrai malade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Si test ⊖, est-ce un vrai sain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Oui</w:t>
            </w:r>
          </w:p>
        </w:tc>
      </w:tr>
    </w:tbl>
    <w:p>
      <w:pPr>
        <w:pStyle w:val="BodyText"/>
      </w:pPr>
      <w:r>
        <w:t xml:space="preserve">Point clé : VPP et VPN varient selon la</w:t>
      </w:r>
      <w:r>
        <w:t xml:space="preserve"> </w:t>
      </w:r>
      <w:r>
        <w:rPr>
          <w:b/>
          <w:bCs/>
        </w:rPr>
        <w:t xml:space="preserve">prévalence</w:t>
      </w:r>
      <w:r>
        <w:t xml:space="preserve"> </w:t>
      </w:r>
      <w:r>
        <w:t xml:space="preserve">de la maladie dans la population testée.</w:t>
      </w:r>
    </w:p>
    <w:bookmarkEnd w:id="42"/>
    <w:bookmarkStart w:id="43" w:name="exemples-pratiques-vpp-et-vpn"/>
    <w:p>
      <w:pPr>
        <w:pStyle w:val="Heading3"/>
      </w:pPr>
      <w:r>
        <w:t xml:space="preserve">Exemples pratiques — VPP et VPN</w:t>
      </w:r>
    </w:p>
    <w:p>
      <w:pPr>
        <w:pStyle w:val="FirstParagraph"/>
      </w:pPr>
      <w:r>
        <w:rPr>
          <w:b/>
          <w:bCs/>
        </w:rPr>
        <w:t xml:space="preserve">Exemple 1 — CRP positive chez le généraliste vs au CRIOA</w:t>
      </w:r>
      <w:r>
        <w:t xml:space="preserve"> </w:t>
      </w:r>
      <w:r>
        <w:t xml:space="preserve">&gt; Le même test (CRP &gt; 10 mg/L, Se=85%, Sp=70%) chez deux patients différents 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Patient A</w:t>
      </w:r>
      <w:r>
        <w:t xml:space="preserve"> </w:t>
      </w:r>
      <w:r>
        <w:t xml:space="preserve">— Chez le généraliste (prévalence IOA = 0.5%) :</w:t>
      </w:r>
      <w:r>
        <w:t xml:space="preserve"> </w:t>
      </w:r>
      <w:r>
        <w:t xml:space="preserve">&gt; - CRP positive à 25 mg/L</w:t>
      </w:r>
      <w:r>
        <w:t xml:space="preserve"> </w:t>
      </w:r>
      <w:r>
        <w:t xml:space="preserve">&gt; - VPP = 1.4% →</w:t>
      </w:r>
      <w:r>
        <w:t xml:space="preserve"> </w:t>
      </w:r>
      <w:r>
        <w:rPr>
          <w:b/>
          <w:bCs/>
        </w:rPr>
        <w:t xml:space="preserve">98.6% de chances que ce soit un faux positif</w:t>
      </w:r>
      <w:r>
        <w:t xml:space="preserve"> </w:t>
      </w:r>
      <w:r>
        <w:t xml:space="preserve">(polyarthrite rhumatoïde, grippe, entorse inflammatoire…)</w:t>
      </w:r>
      <w:r>
        <w:t xml:space="preserve"> </w:t>
      </w:r>
      <w:r>
        <w:t xml:space="preserve">&gt; - Conduite : ne PAS traiter comme une IOA. Adresser au spécialiste si suspicion clinique.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Patient B</w:t>
      </w:r>
      <w:r>
        <w:t xml:space="preserve"> </w:t>
      </w:r>
      <w:r>
        <w:t xml:space="preserve">— Au CRIOA (prévalence IOA = 50%) :</w:t>
      </w:r>
      <w:r>
        <w:t xml:space="preserve"> </w:t>
      </w:r>
      <w:r>
        <w:t xml:space="preserve">&gt; - CRP positive à 25 mg/L</w:t>
      </w:r>
      <w:r>
        <w:t xml:space="preserve"> </w:t>
      </w:r>
      <w:r>
        <w:t xml:space="preserve">&gt; - VPP = 73.9% →</w:t>
      </w:r>
      <w:r>
        <w:t xml:space="preserve"> </w:t>
      </w:r>
      <w:r>
        <w:rPr>
          <w:b/>
          <w:bCs/>
        </w:rPr>
        <w:t xml:space="preserve">3 chances sur 4 d’infection réelle</w:t>
      </w:r>
      <w:r>
        <w:t xml:space="preserve"> </w:t>
      </w:r>
      <w:r>
        <w:t xml:space="preserve">&gt; - Conduite : ponction articulaire urgente + bilan complet ICM 2018.</w:t>
      </w:r>
    </w:p>
    <w:p>
      <w:pPr>
        <w:pStyle w:val="BodyText"/>
      </w:pPr>
      <w:r>
        <w:rPr>
          <w:b/>
          <w:bCs/>
        </w:rPr>
        <w:t xml:space="preserve">Exemple 2 — VPN pour exclure une infection</w:t>
      </w:r>
      <w:r>
        <w:t xml:space="preserve"> </w:t>
      </w:r>
      <w:r>
        <w:t xml:space="preserve">&gt; Mme Leroy, 65 ans. PTH douloureuse à 1 an. Consultation spécialisée (prévalence 25%).</w:t>
      </w:r>
      <w:r>
        <w:t xml:space="preserve"> </w:t>
      </w:r>
      <w:r>
        <w:t xml:space="preserve">&gt; - CRP = 3 mg/L (normale), VS = 8 mm/h (normale), IRM hanche normale</w:t>
      </w:r>
      <w:r>
        <w:t xml:space="preserve"> </w:t>
      </w:r>
      <w:r>
        <w:t xml:space="preserve">&gt; - Tous les tests négatifs → VPN combinée &gt; 98%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: probabilité d’infection &lt; 2%. La douleur est probablement d’autre origine (tendinopathie, bursite trochantérienne, douleur projetée lombaire).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quand tous les tests sont négatifs, la VPN élevée permet d’exclure avec confiance → éviter une ponction invasive inutile.</w:t>
      </w:r>
    </w:p>
    <w:p>
      <w:pPr>
        <w:pStyle w:val="BodyText"/>
      </w:pPr>
      <w:r>
        <w:rPr>
          <w:b/>
          <w:bCs/>
        </w:rPr>
        <w:t xml:space="preserve">Exemple 3 — Le piège du test « excellent » en population à basse prévalence</w:t>
      </w:r>
      <w:r>
        <w:t xml:space="preserve"> </w:t>
      </w:r>
      <w:r>
        <w:t xml:space="preserve">&gt; Médecin des urgences, 500 patients/mois avec douleur articulaire (prévalence IOA = 2%).</w:t>
      </w:r>
      <w:r>
        <w:t xml:space="preserve"> </w:t>
      </w:r>
      <w:r>
        <w:t xml:space="preserve">&gt; - S’il utilisait l’alpha-défensine (Se=97%, Sp=97%) sur TOUS les patients :</w:t>
      </w:r>
      <w:r>
        <w:t xml:space="preserve"> </w:t>
      </w:r>
      <w:r>
        <w:t xml:space="preserve">&gt; - Sur 500 patients : 10 infectés, 490 non infectés</w:t>
      </w:r>
      <w:r>
        <w:t xml:space="preserve"> </w:t>
      </w:r>
      <w:r>
        <w:t xml:space="preserve">&gt; - Vrais positifs : 10 × 0.97 = 9.7 → ~10 détectés</w:t>
      </w:r>
      <w:r>
        <w:t xml:space="preserve"> </w:t>
      </w:r>
      <w:r>
        <w:t xml:space="preserve">&gt; - Faux positifs : 490 × 0.03 = 14.7 → ~15 faux positifs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VPP = 10 / (10+15) = 40%</w:t>
      </w:r>
      <w:r>
        <w:t xml:space="preserve"> </w:t>
      </w:r>
      <w:r>
        <w:t xml:space="preserve">→ plus de faux positifs que de vrais positifs !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même un excellent test (Se=Sp=97%) donne 60% de faux positifs si la prévalence est basse. D’où l’importance de trier cliniquement AVANT de prescrire.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e-et-sp-sensibilité-et-spécificité"/>
    <w:p>
      <w:pPr>
        <w:pStyle w:val="Heading2"/>
      </w:pPr>
      <w:r>
        <w:t xml:space="preserve">8. Se et Sp — Sensibilité et Spécificité</w:t>
      </w:r>
    </w:p>
    <w:p>
      <w:pPr>
        <w:pStyle w:val="FirstParagraph"/>
      </w:pPr>
      <w:r>
        <w:rPr>
          <w:b/>
          <w:bCs/>
        </w:rPr>
        <w:t xml:space="preserve">Se = Sensibilité</w:t>
      </w:r>
      <w:r>
        <w:t xml:space="preserve"> </w:t>
      </w:r>
      <w:r>
        <w:t xml:space="preserve">— Capacité du test à détecter les</w:t>
      </w:r>
      <w:r>
        <w:t xml:space="preserve"> </w:t>
      </w:r>
      <w:r>
        <w:rPr>
          <w:b/>
          <w:bCs/>
        </w:rPr>
        <w:t xml:space="preserve">malades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 = Vrais Positifs / (Vrais Positifs + Faux Négatifs)</w:t>
      </w:r>
    </w:p>
    <w:p>
      <w:pPr>
        <w:pStyle w:val="BodyText"/>
      </w:pPr>
      <w:r>
        <w:t xml:space="preserve">Se = 92% signifie que sur 100 patients infectés, le test en détecte 92 et en rate 8.</w:t>
      </w:r>
    </w:p>
    <w:p>
      <w:pPr>
        <w:pStyle w:val="BodyText"/>
      </w:pPr>
      <w:r>
        <w:rPr>
          <w:b/>
          <w:bCs/>
        </w:rPr>
        <w:t xml:space="preserve">Sp = Spécificité</w:t>
      </w:r>
      <w:r>
        <w:t xml:space="preserve"> </w:t>
      </w:r>
      <w:r>
        <w:t xml:space="preserve">— Capacité du test à identifier les</w:t>
      </w:r>
      <w:r>
        <w:t xml:space="preserve"> </w:t>
      </w:r>
      <w:r>
        <w:rPr>
          <w:b/>
          <w:bCs/>
        </w:rPr>
        <w:t xml:space="preserve">sains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 = Vrais Négatifs / (Vrais Négatifs + Faux Positifs)</w:t>
      </w:r>
    </w:p>
    <w:p>
      <w:pPr>
        <w:pStyle w:val="BodyText"/>
      </w:pPr>
      <w:r>
        <w:t xml:space="preserve">Sp = 85% signifie que sur 100 patients non infectés, le test est correctement négatif pour 85 et faussement positif pour 15.</w:t>
      </w:r>
    </w:p>
    <w:bookmarkStart w:id="45" w:name="résumé"/>
    <w:p>
      <w:pPr>
        <w:pStyle w:val="Heading3"/>
      </w:pPr>
      <w:r>
        <w:t xml:space="preserve">Résumé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 test répond bien chez…</w:t>
            </w:r>
          </w:p>
        </w:tc>
        <w:tc>
          <w:tcPr/>
          <w:p>
            <w:pPr>
              <w:pStyle w:val="Compact"/>
            </w:pPr>
            <w:r>
              <w:t xml:space="preserve">Erreur associée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 (sensibilité)</w:t>
            </w:r>
          </w:p>
        </w:tc>
        <w:tc>
          <w:tcPr/>
          <w:p>
            <w:pPr>
              <w:pStyle w:val="Compact"/>
            </w:pPr>
            <w:r>
              <w:t xml:space="preserve">les</w:t>
            </w:r>
            <w:r>
              <w:t xml:space="preserve"> </w:t>
            </w:r>
            <w:r>
              <w:rPr>
                <w:b/>
                <w:bCs/>
              </w:rPr>
              <w:t xml:space="preserve">malades</w:t>
            </w:r>
          </w:p>
        </w:tc>
        <w:tc>
          <w:tcPr/>
          <w:p>
            <w:pPr>
              <w:pStyle w:val="Compact"/>
            </w:pPr>
            <w:r>
              <w:t xml:space="preserve">Faux négatif (rate un malade)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 (spécificité)</w:t>
            </w:r>
          </w:p>
        </w:tc>
        <w:tc>
          <w:tcPr/>
          <w:p>
            <w:pPr>
              <w:pStyle w:val="Compact"/>
            </w:pPr>
            <w:r>
              <w:t xml:space="preserve">les</w:t>
            </w:r>
            <w:r>
              <w:t xml:space="preserve"> </w:t>
            </w:r>
            <w:r>
              <w:rPr>
                <w:b/>
                <w:bCs/>
              </w:rPr>
              <w:t xml:space="preserve">sains</w:t>
            </w:r>
          </w:p>
        </w:tc>
        <w:tc>
          <w:tcPr/>
          <w:p>
            <w:pPr>
              <w:pStyle w:val="Compact"/>
            </w:pPr>
            <w:r>
              <w:t xml:space="preserve">Faux positif (inquiète un sain)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 élevée</w:t>
      </w:r>
      <w:r>
        <w:t xml:space="preserve"> </w:t>
      </w:r>
      <w:r>
        <w:t xml:space="preserve">→ peu de malades ratés → bon pour</w:t>
      </w:r>
      <w:r>
        <w:t xml:space="preserve"> </w:t>
      </w:r>
      <w:r>
        <w:rPr>
          <w:b/>
          <w:bCs/>
        </w:rPr>
        <w:t xml:space="preserve">exclure</w:t>
      </w:r>
      <w:r>
        <w:t xml:space="preserve"> </w:t>
      </w:r>
      <w:r>
        <w:t xml:space="preserve">(si test ⊖ = rassurant)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 élevée</w:t>
      </w:r>
      <w:r>
        <w:t xml:space="preserve"> </w:t>
      </w:r>
      <w:r>
        <w:t xml:space="preserve">→ peu de faux positifs → bon pour</w:t>
      </w:r>
      <w:r>
        <w:t xml:space="preserve"> </w:t>
      </w:r>
      <w:r>
        <w:rPr>
          <w:b/>
          <w:bCs/>
        </w:rPr>
        <w:t xml:space="preserve">confirmer</w:t>
      </w:r>
      <w:r>
        <w:t xml:space="preserve"> </w:t>
      </w:r>
      <w:r>
        <w:t xml:space="preserve">(si test ⊕ = fiable)</w:t>
      </w:r>
    </w:p>
    <w:bookmarkEnd w:id="45"/>
    <w:bookmarkStart w:id="46" w:name="exemples-pratiques-se-et-sp"/>
    <w:p>
      <w:pPr>
        <w:pStyle w:val="Heading3"/>
      </w:pPr>
      <w:r>
        <w:t xml:space="preserve">Exemples pratiques — Se et Sp</w:t>
      </w:r>
    </w:p>
    <w:p>
      <w:pPr>
        <w:pStyle w:val="FirstParagraph"/>
      </w:pPr>
      <w:r>
        <w:rPr>
          <w:b/>
          <w:bCs/>
        </w:rPr>
        <w:t xml:space="preserve">Exemple 1 — Test très sensible mais peu spécifique : la scintigraphie Tc99m</w:t>
      </w:r>
      <w:r>
        <w:t xml:space="preserve"> </w:t>
      </w:r>
      <w:r>
        <w:t xml:space="preserve">&gt; Se = 95%, Sp = 40% → détecte quasi tous les infectés, mais beaucoup de faux positifs.</w:t>
      </w:r>
      <w:r>
        <w:t xml:space="preserve"> </w:t>
      </w:r>
      <w:r>
        <w:t xml:space="preserve">&gt; - 100 patients avec PTH douloureuse, dont 20 infectés :</w:t>
      </w:r>
      <w:r>
        <w:t xml:space="preserve"> </w:t>
      </w:r>
      <w:r>
        <w:t xml:space="preserve">&gt; - Scinti positive chez 19/20 infectés (vrais ⊕) + 48/80 non infectés (faux ⊕) = 67 positifs au total</w:t>
      </w:r>
      <w:r>
        <w:t xml:space="preserve"> </w:t>
      </w:r>
      <w:r>
        <w:t xml:space="preserve">&gt; - Le chirurgien ne sait pas distinguer les 19 vrais des 48 faux → la scinti seule est inutilisable pour confirmer</w:t>
      </w:r>
      <w:r>
        <w:t xml:space="preserve"> </w:t>
      </w:r>
      <w:r>
        <w:t xml:space="preserve">&gt; - MAIS : si la scinti est négative (seulement 1 infecté raté + 32 vrais négatifs) → quasi-exclusion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Usage</w:t>
      </w:r>
      <w:r>
        <w:t xml:space="preserve"> </w:t>
      </w:r>
      <w:r>
        <w:t xml:space="preserve">: test de</w:t>
      </w:r>
      <w:r>
        <w:t xml:space="preserve"> </w:t>
      </w:r>
      <w:r>
        <w:rPr>
          <w:b/>
          <w:bCs/>
        </w:rPr>
        <w:t xml:space="preserve">dépistage/exclusion</w:t>
      </w:r>
      <w:r>
        <w:t xml:space="preserve"> </w:t>
      </w:r>
      <w:r>
        <w:t xml:space="preserve">(SnNout : Sensitivity Negative rules OUT)</w:t>
      </w:r>
    </w:p>
    <w:p>
      <w:pPr>
        <w:pStyle w:val="BodyText"/>
      </w:pPr>
      <w:r>
        <w:rPr>
          <w:b/>
          <w:bCs/>
        </w:rPr>
        <w:t xml:space="preserve">Exemple 2 — Test très spécifique mais peu sensible : la fistule</w:t>
      </w:r>
      <w:r>
        <w:t xml:space="preserve"> </w:t>
      </w:r>
      <w:r>
        <w:t xml:space="preserve">&gt; Se = 15%, Sp = 100% → rare mais pathognomonique.</w:t>
      </w:r>
      <w:r>
        <w:t xml:space="preserve"> </w:t>
      </w:r>
      <w:r>
        <w:t xml:space="preserve">&gt; - Sur 100 patients infectés, seulement 15 ont une fistule. Mais si fistule présente → infection CERTAINE (aucun faux positif).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Usage</w:t>
      </w:r>
      <w:r>
        <w:t xml:space="preserve"> </w:t>
      </w:r>
      <w:r>
        <w:t xml:space="preserve">: test de</w:t>
      </w:r>
      <w:r>
        <w:t xml:space="preserve"> </w:t>
      </w:r>
      <w:r>
        <w:rPr>
          <w:b/>
          <w:bCs/>
        </w:rPr>
        <w:t xml:space="preserve">confirmation</w:t>
      </w:r>
      <w:r>
        <w:t xml:space="preserve"> </w:t>
      </w:r>
      <w:r>
        <w:t xml:space="preserve">(SpPin : Specificity Positive rules IN)</w:t>
      </w:r>
      <w:r>
        <w:t xml:space="preserve"> </w:t>
      </w:r>
      <w:r>
        <w:t xml:space="preserve">&gt; - C’est pourquoi la fistule est un critère MAJEUR dans les critères ICM 2018.</w:t>
      </w:r>
    </w:p>
    <w:p>
      <w:pPr>
        <w:pStyle w:val="BodyText"/>
      </w:pPr>
      <w:r>
        <w:rPr>
          <w:b/>
          <w:bCs/>
        </w:rPr>
        <w:t xml:space="preserve">Exemple 3 — Comment choisir entre Se et Sp en pratique</w:t>
      </w:r>
      <w:r>
        <w:t xml:space="preserve"> </w:t>
      </w:r>
      <w:r>
        <w:t xml:space="preserve">&gt; Aux urgences, face à un genou aigu fébrile :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1ère intention</w:t>
      </w:r>
      <w:r>
        <w:t xml:space="preserve"> </w:t>
      </w:r>
      <w:r>
        <w:t xml:space="preserve">: demander un test SENSIBLE (CRP, NFS) → EXCLURE l’infection si négatif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2ème intention</w:t>
      </w:r>
      <w:r>
        <w:t xml:space="preserve"> </w:t>
      </w:r>
      <w:r>
        <w:t xml:space="preserve">(si le test de dépistage est positif) : demander un test SPÉCIFIQUE (alpha-défensine, cultures) → CONFIRMER l’infection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Séquence logique</w:t>
      </w:r>
      <w:r>
        <w:t xml:space="preserve"> </w:t>
      </w:r>
      <w:r>
        <w:t xml:space="preserve">: Se d’abord (filet large) → Sp ensuite (tri fin)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6a6e5710dbab0a6d679742e992388fd5613ff19"/>
    <w:p>
      <w:pPr>
        <w:pStyle w:val="Heading2"/>
      </w:pPr>
      <w:r>
        <w:t xml:space="preserve">9. Performances diagnostiques par examen isolé</w:t>
      </w:r>
    </w:p>
    <w:bookmarkStart w:id="48" w:name="imagerie"/>
    <w:p>
      <w:pPr>
        <w:pStyle w:val="Heading3"/>
      </w:pPr>
      <w:r>
        <w:t xml:space="preserve">Imagerie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1584"/>
        <w:gridCol w:w="1584"/>
        <w:gridCol w:w="609"/>
        <w:gridCol w:w="609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Meilleure indication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Radiographie 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14-54%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70-85%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w:r>
              <w:t xml:space="preserve">Tardif : ostéolyse, descellement (&gt;2 sem)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 (TDM)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67-81%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70-80%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Séquestres, érosions corticales,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75-96%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~95%</w:t>
            </w:r>
          </w:p>
        </w:tc>
        <w:tc>
          <w:tcPr/>
          <w:p>
            <w:pPr>
              <w:pStyle w:val="Compact"/>
            </w:pPr>
            <w:r>
              <w:t xml:space="preserve">Gold standard imagerie : œdème médullaire, abcès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Scintigraphie osseuse (Tc99m)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~85%</w:t>
            </w:r>
          </w:p>
        </w:tc>
        <w:tc>
          <w:tcPr/>
          <w:p>
            <w:pPr>
              <w:pStyle w:val="Compact"/>
            </w:pPr>
            <w:r>
              <w:t xml:space="preserve">Très sensible mais peu spécifique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Scintigraphie leucocytes marqués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85-95%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~90%</w:t>
            </w:r>
          </w:p>
        </w:tc>
        <w:tc>
          <w:tcPr/>
          <w:p>
            <w:pPr>
              <w:pStyle w:val="Compact"/>
            </w:pPr>
            <w:r>
              <w:t xml:space="preserve">Différencie infectieux vs non-infectieux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TEP-FDG (PET-scan)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76-93%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~97%</w:t>
            </w:r>
          </w:p>
        </w:tc>
        <w:tc>
          <w:tcPr/>
          <w:p>
            <w:pPr>
              <w:pStyle w:val="Compact"/>
            </w:pPr>
            <w:r>
              <w:t xml:space="preserve">Excellent pour ostéomyélite chronique, rachis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TEP-FDG + TDM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~98%</w:t>
            </w:r>
          </w:p>
        </w:tc>
        <w:tc>
          <w:tcPr/>
          <w:p>
            <w:pPr>
              <w:pStyle w:val="Compact"/>
            </w:pPr>
            <w:r>
              <w:t xml:space="preserve">Meilleure combinaison imagerie nucléaire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Échographie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~75%</w:t>
            </w:r>
          </w:p>
        </w:tc>
        <w:tc>
          <w:tcPr/>
          <w:p>
            <w:pPr>
              <w:pStyle w:val="Compact"/>
            </w:pPr>
            <w:r>
              <w:t xml:space="preserve">Collections superficielles, épanchement articulaire</w:t>
            </w:r>
          </w:p>
        </w:tc>
      </w:tr>
    </w:tbl>
    <w:bookmarkEnd w:id="48"/>
    <w:bookmarkStart w:id="49" w:name="biologie-sanguine"/>
    <w:p>
      <w:pPr>
        <w:pStyle w:val="Heading3"/>
      </w:pPr>
      <w:r>
        <w:t xml:space="preserve">Biologie sanguine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492"/>
        <w:gridCol w:w="183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Marqueur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Seuil habituel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Délai de 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73-91%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60-86%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&gt;10 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6-12h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75-93%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&gt;30 mm/h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Lent (jours)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Leucocytes sanguins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45-68%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55-75%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&gt;10 000/mm³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PCT (procalcitonine)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53-76%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78-92%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&gt;0.5 ng/mL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Fibrinogène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63-80%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57-72%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&gt;4 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D-dimères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73-89%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55-79%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&gt;850 ng/mL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79-88%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&gt;10 pg/mL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2-4h</w:t>
            </w:r>
          </w:p>
        </w:tc>
      </w:tr>
    </w:tbl>
    <w:bookmarkEnd w:id="49"/>
    <w:bookmarkStart w:id="50" w:name="biologie-synoviale-articulation"/>
    <w:p>
      <w:pPr>
        <w:pStyle w:val="Heading3"/>
      </w:pPr>
      <w:r>
        <w:t xml:space="preserve">Biologie synoviale (articulation)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72"/>
        <w:gridCol w:w="1872"/>
        <w:gridCol w:w="1007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Marqueur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Seuil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Leucocytes synoviaux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88-96%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&gt;3000 (genou) &gt;4200 (hanche)</w:t>
            </w:r>
          </w:p>
        </w:tc>
        <w:tc>
          <w:tcPr/>
          <w:p>
            <w:pPr>
              <w:pStyle w:val="Compact"/>
            </w:pPr>
            <w:r>
              <w:t xml:space="preserve">Excellent à lui seul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PNN synoviaux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85-95%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&gt;65-80%</w:t>
            </w:r>
          </w:p>
        </w:tc>
        <w:tc>
          <w:tcPr/>
          <w:p>
            <w:pPr>
              <w:pStyle w:val="Compact"/>
            </w:pPr>
            <w:r>
              <w:t xml:space="preserve">Très performant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 (latéral flow)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Positif/Négatif</w:t>
            </w:r>
          </w:p>
        </w:tc>
        <w:tc>
          <w:tcPr/>
          <w:p>
            <w:pPr>
              <w:pStyle w:val="Compact"/>
            </w:pPr>
            <w:r>
              <w:t xml:space="preserve">Meilleur marqueur synovial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 (ELISA)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&gt;5.2 mg/L</w:t>
            </w:r>
          </w:p>
        </w:tc>
        <w:tc>
          <w:tcPr/>
          <w:p>
            <w:pPr>
              <w:pStyle w:val="Compact"/>
            </w:pPr>
            <w:r>
              <w:t xml:space="preserve">Gold standard synovial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Leukocyte esterase (bandelette)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81-93%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 ou +++</w:t>
            </w:r>
          </w:p>
        </w:tc>
        <w:tc>
          <w:tcPr/>
          <w:p>
            <w:pPr>
              <w:pStyle w:val="Compact"/>
            </w:pPr>
            <w:r>
              <w:t xml:space="preserve">Rapide, au bloc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synoviale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85-95%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&gt;6.9 mg/L</w:t>
            </w:r>
          </w:p>
        </w:tc>
        <w:tc>
          <w:tcPr/>
          <w:p>
            <w:pPr>
              <w:pStyle w:val="Compact"/>
            </w:pPr>
            <w:r>
              <w:t xml:space="preserve">Complément utile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X6d17f457d407872c5b6a67c0542932ff2d82161"/>
    <w:p>
      <w:pPr>
        <w:pStyle w:val="Heading2"/>
      </w:pPr>
      <w:r>
        <w:t xml:space="preserve">10. Performances des combinaisons diagnostiques</w:t>
      </w:r>
    </w:p>
    <w:bookmarkStart w:id="52" w:name="combinaisons-biologiques"/>
    <w:p>
      <w:pPr>
        <w:pStyle w:val="Heading3"/>
      </w:pPr>
      <w:r>
        <w:t xml:space="preserve">Combinaisons biologiques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7"/>
        <w:gridCol w:w="1107"/>
        <w:gridCol w:w="1107"/>
        <w:gridCol w:w="3576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Probabilité d’infection si tous positifs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seule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~55%</w:t>
            </w:r>
          </w:p>
        </w:tc>
        <w:tc>
          <w:tcPr/>
          <w:p>
            <w:pPr>
              <w:pStyle w:val="Compact"/>
            </w:pPr>
            <w:r>
              <w:t xml:space="preserve">Insuffisant isolément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w:r>
              <w:t xml:space="preserve">Sensible mais peu spécifique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VS + leucocytes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~58%</w:t>
            </w:r>
          </w:p>
        </w:tc>
        <w:tc>
          <w:tcPr/>
          <w:p>
            <w:pPr>
              <w:pStyle w:val="Compact"/>
            </w:pPr>
            <w:r>
              <w:t xml:space="preserve">Sensibilité ↑, spécificité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PCT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~72%</w:t>
            </w:r>
          </w:p>
        </w:tc>
        <w:tc>
          <w:tcPr/>
          <w:p>
            <w:pPr>
              <w:pStyle w:val="Compact"/>
            </w:pPr>
            <w:r>
              <w:t xml:space="preserve">Bonne combinaison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D-dimères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~65%</w:t>
            </w:r>
          </w:p>
        </w:tc>
        <w:tc>
          <w:tcPr/>
          <w:p>
            <w:pPr>
              <w:pStyle w:val="Compact"/>
            </w:pPr>
            <w:r>
              <w:t xml:space="preserve">Screening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VS + D-dimères + fibrinogène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~62%</w:t>
            </w:r>
          </w:p>
        </w:tc>
        <w:tc>
          <w:tcPr/>
          <w:p>
            <w:pPr>
              <w:pStyle w:val="Compact"/>
            </w:pPr>
            <w:r>
              <w:t xml:space="preserve">Très sensible, screening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IL-6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~78%</w:t>
            </w:r>
          </w:p>
        </w:tc>
        <w:tc>
          <w:tcPr/>
          <w:p>
            <w:pPr>
              <w:pStyle w:val="Compact"/>
            </w:pPr>
            <w:r>
              <w:t xml:space="preserve">Excellente combinaison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 seule (ELISA)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~95%</w:t>
            </w:r>
          </w:p>
        </w:tc>
        <w:tc>
          <w:tcPr/>
          <w:p>
            <w:pPr>
              <w:pStyle w:val="Compact"/>
            </w:pPr>
            <w:r>
              <w:t xml:space="preserve">Quasi-suffisant isolément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 + leucocytes synoviaux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~97%</w:t>
            </w:r>
          </w:p>
        </w:tc>
        <w:tc>
          <w:tcPr/>
          <w:p>
            <w:pPr>
              <w:pStyle w:val="Compact"/>
            </w:pPr>
            <w:r>
              <w:t xml:space="preserve">Quasi-certitude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 + 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~93%</w:t>
            </w:r>
          </w:p>
        </w:tc>
        <w:tc>
          <w:tcPr/>
          <w:p>
            <w:pPr>
              <w:pStyle w:val="Compact"/>
            </w:pPr>
            <w:r>
              <w:t xml:space="preserve">Redondance utile</w:t>
            </w:r>
          </w:p>
        </w:tc>
      </w:tr>
    </w:tbl>
    <w:bookmarkEnd w:id="52"/>
    <w:bookmarkStart w:id="53" w:name="combinaisons-imagerie-biologie"/>
    <w:p>
      <w:pPr>
        <w:pStyle w:val="Heading3"/>
      </w:pPr>
      <w:r>
        <w:t xml:space="preserve">Combinaisons imagerie + biologie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4"/>
        <w:gridCol w:w="774"/>
        <w:gridCol w:w="774"/>
        <w:gridCol w:w="2381"/>
        <w:gridCol w:w="2203"/>
        <w:gridCol w:w="10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Probabilité infection si concordants 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Probabilité infection si discordants</w:t>
            </w:r>
          </w:p>
        </w:tc>
        <w:tc>
          <w:tcPr/>
          <w:p>
            <w:pPr>
              <w:pStyle w:val="Compact"/>
            </w:pPr>
            <w:r>
              <w:t xml:space="preserve">Intérêt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~25%</w:t>
            </w:r>
          </w:p>
        </w:tc>
        <w:tc>
          <w:tcPr/>
          <w:p>
            <w:pPr>
              <w:pStyle w:val="Compact"/>
            </w:pPr>
            <w:r>
              <w:t xml:space="preserve">Screening initial, urgences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+ 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Bilan de 1ère intention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+ CRP + VS + PCT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~22%</w:t>
            </w:r>
          </w:p>
        </w:tc>
        <w:tc>
          <w:tcPr/>
          <w:p>
            <w:pPr>
              <w:pStyle w:val="Compact"/>
            </w:pPr>
            <w:r>
              <w:t xml:space="preserve">Bon screening rapide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Bilan séquestres + inflammation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 + 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~18%</w:t>
            </w:r>
          </w:p>
        </w:tc>
        <w:tc>
          <w:tcPr/>
          <w:p>
            <w:pPr>
              <w:pStyle w:val="Compact"/>
            </w:pPr>
            <w:r>
              <w:t xml:space="preserve">Bilan complet ostéomyélite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seule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t xml:space="preserve">Très bon isolément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~6%</w:t>
            </w:r>
          </w:p>
        </w:tc>
        <w:tc>
          <w:tcPr/>
          <w:p>
            <w:pPr>
              <w:pStyle w:val="Compact"/>
            </w:pPr>
            <w:r>
              <w:t xml:space="preserve">Excellente combinaison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+ 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Standard clinique habituel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+ CRP + PCT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~4%</w:t>
            </w:r>
          </w:p>
        </w:tc>
        <w:tc>
          <w:tcPr/>
          <w:p>
            <w:pPr>
              <w:pStyle w:val="Compact"/>
            </w:pPr>
            <w:r>
              <w:t xml:space="preserve">Très performant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+ CRP + VS + PCT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Complet mais redondant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+ alpha-défensine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~2%</w:t>
            </w:r>
          </w:p>
        </w:tc>
        <w:tc>
          <w:tcPr/>
          <w:p>
            <w:pPr>
              <w:pStyle w:val="Compact"/>
            </w:pPr>
            <w:r>
              <w:t xml:space="preserve">Quasi-certitude diagnostique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+ leucocytes synoviaux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Excellent en pratique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Scinti Tc99m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Sensible mais flou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Scinti leucocytes marqués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t xml:space="preserve">Bon si IRM non dispo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TEP-FDG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~4%</w:t>
            </w:r>
          </w:p>
        </w:tc>
        <w:tc>
          <w:tcPr/>
          <w:p>
            <w:pPr>
              <w:pStyle w:val="Compact"/>
            </w:pPr>
            <w:r>
              <w:t xml:space="preserve">Excellent, surtout rachis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TEP-FDG/TDM + 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Top combinaison nucléaire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TEP-FDG/TDM + 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~2%</w:t>
            </w:r>
          </w:p>
        </w:tc>
        <w:tc>
          <w:tcPr/>
          <w:p>
            <w:pPr>
              <w:pStyle w:val="Compact"/>
            </w:pPr>
            <w:r>
              <w:t xml:space="preserve">Très 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+ IRM + 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Bilan standard 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+ Scanner + 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Triple imagerie (rarement nécessaire)</w:t>
            </w:r>
          </w:p>
        </w:tc>
      </w:tr>
    </w:tbl>
    <w:bookmarkEnd w:id="53"/>
    <w:bookmarkStart w:id="54" w:name="X618e19b65fdd656fce756ac809c67e32f2b87b8"/>
    <w:p>
      <w:pPr>
        <w:pStyle w:val="Heading3"/>
      </w:pPr>
      <w:r>
        <w:t xml:space="preserve">Exemples pratiques — Stratégies diagnostiques combinées</w:t>
      </w:r>
    </w:p>
    <w:p>
      <w:pPr>
        <w:pStyle w:val="FirstParagraph"/>
      </w:pPr>
      <w:r>
        <w:rPr>
          <w:b/>
          <w:bCs/>
        </w:rPr>
        <w:t xml:space="preserve">Exemple 1 — Stratégie en escalade aux urgences</w:t>
      </w:r>
      <w:r>
        <w:t xml:space="preserve"> </w:t>
      </w:r>
      <w:r>
        <w:t xml:space="preserve">&gt; M. Dupuis, 55 ans, arrive aux urgences avec un genou droit chaud, gonflé depuis 48h. Fièvre 38.5°C. PTG il y a 2 ans.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Étape 1 (5 min)</w:t>
      </w:r>
      <w:r>
        <w:t xml:space="preserve"> </w:t>
      </w:r>
      <w:r>
        <w:t xml:space="preserve">: Biologie urgente → CRP = 145 mg/L ⊕, leucocytes = 14 500 ⊕</w:t>
      </w:r>
      <w:r>
        <w:t xml:space="preserve"> </w:t>
      </w:r>
      <w:r>
        <w:t xml:space="preserve">&gt; - Probabilité : ~60% → suspicion renforcée, mais insuffisant pour confirmer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Étape 2 (30 min)</w:t>
      </w:r>
      <w:r>
        <w:t xml:space="preserve"> </w:t>
      </w:r>
      <w:r>
        <w:t xml:space="preserve">: Radiographie → pas de descellement évident, pas d’ostéolyse → Rx seule peu utile</w:t>
      </w:r>
      <w:r>
        <w:t xml:space="preserve"> </w:t>
      </w:r>
      <w:r>
        <w:t xml:space="preserve">&gt; - CRP ⊕ + Rx normale : ne change pas la probabilité de façon significative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Étape 3 (même jour)</w:t>
      </w:r>
      <w:r>
        <w:t xml:space="preserve"> </w:t>
      </w:r>
      <w:r>
        <w:t xml:space="preserve">: Ponction articulaire en urgence → leucocytes synoviaux = 52 000/μL, 93% PNN</w:t>
      </w:r>
      <w:r>
        <w:t xml:space="preserve"> </w:t>
      </w:r>
      <w:r>
        <w:t xml:space="preserve">&gt; - CRP ⊕ + synoviale ⊕ : probabilité &gt; 95%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Étape 4 (J2)</w:t>
      </w:r>
      <w:r>
        <w:t xml:space="preserve"> </w:t>
      </w:r>
      <w:r>
        <w:t xml:space="preserve">: Cultures →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SASM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Conclusion</w:t>
      </w:r>
      <w:r>
        <w:t xml:space="preserve"> </w:t>
      </w:r>
      <w:r>
        <w:t xml:space="preserve">: inutile d’attendre une IRM quand la ponction est possible et contributive. L’IRM rallonge le délai sans changer la prise en charge aux urgences.</w:t>
      </w:r>
    </w:p>
    <w:p>
      <w:pPr>
        <w:pStyle w:val="BodyText"/>
      </w:pPr>
      <w:r>
        <w:rPr>
          <w:b/>
          <w:bCs/>
        </w:rPr>
        <w:t xml:space="preserve">Exemple 2 — Quand l’IRM est indispensable</w:t>
      </w:r>
      <w:r>
        <w:t xml:space="preserve"> </w:t>
      </w:r>
      <w:r>
        <w:t xml:space="preserve">&gt; Mme Perrin, 48 ans, rachialgie lombaire intense depuis 3 semaines. Fièvre intermittente 38.2°C. CRP = 85 mg/L.</w:t>
      </w:r>
      <w:r>
        <w:t xml:space="preserve"> </w:t>
      </w:r>
      <w:r>
        <w:t xml:space="preserve">&gt; - Radiographie rachidienne :</w:t>
      </w:r>
      <w:r>
        <w:t xml:space="preserve"> </w:t>
      </w:r>
      <w:r>
        <w:rPr>
          <w:b/>
          <w:bCs/>
        </w:rPr>
        <w:t xml:space="preserve">NORMALE</w:t>
      </w:r>
      <w:r>
        <w:t xml:space="preserve"> </w:t>
      </w:r>
      <w:r>
        <w:t xml:space="preserve">(les radiographies sont normales pendant les 2-4 premières semaines de spondylodiscite)</w:t>
      </w:r>
      <w:r>
        <w:t xml:space="preserve"> </w:t>
      </w:r>
      <w:r>
        <w:t xml:space="preserve">&gt; - Scanner : pincement discal suspect L3-L4, mais non spécifique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IRM rachidienne</w:t>
      </w:r>
      <w:r>
        <w:t xml:space="preserve"> </w:t>
      </w:r>
      <w:r>
        <w:t xml:space="preserve">: hypersignal T2 des plateaux vertébraux L3-L4, prise de contraste discale, collection pré-vertébrale de 2 cm</w:t>
      </w:r>
      <w:r>
        <w:t xml:space="preserve"> </w:t>
      </w:r>
      <w:r>
        <w:t xml:space="preserve">&gt; - Biopsie disco-vertébrale sous scanner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Ici l’IRM est irremplaçable</w:t>
      </w:r>
      <w:r>
        <w:t xml:space="preserve"> </w:t>
      </w:r>
      <w:r>
        <w:t xml:space="preserve">: c’est le seul examen capable de diagnostiquer une spondylodiscite au stade précoce. → Se = 92%, Sp = 85%.</w:t>
      </w:r>
    </w:p>
    <w:p>
      <w:pPr>
        <w:pStyle w:val="BodyText"/>
      </w:pPr>
      <w:r>
        <w:rPr>
          <w:b/>
          <w:bCs/>
        </w:rPr>
        <w:t xml:space="preserve">Exemple 3 — Résultats discordants : que faire ?</w:t>
      </w:r>
      <w:r>
        <w:t xml:space="preserve"> </w:t>
      </w:r>
      <w:r>
        <w:t xml:space="preserve">&gt; M. Costa, 70 ans, PTH douloureuse à 3 ans. Bilan au CRIOA :</w:t>
      </w:r>
      <w:r>
        <w:t xml:space="preserve"> </w:t>
      </w:r>
      <w:r>
        <w:t xml:space="preserve">&gt; - CRP = 22 mg/L →</w:t>
      </w:r>
      <w:r>
        <w:t xml:space="preserve"> </w:t>
      </w:r>
      <w:r>
        <w:rPr>
          <w:b/>
          <w:bCs/>
        </w:rPr>
        <w:t xml:space="preserve">élevée</w:t>
      </w:r>
      <w:r>
        <w:t xml:space="preserve"> </w:t>
      </w:r>
      <w:r>
        <w:t xml:space="preserve">⊕</w:t>
      </w:r>
      <w:r>
        <w:t xml:space="preserve"> </w:t>
      </w:r>
      <w:r>
        <w:t xml:space="preserve">&gt; - IRM hanche :</w:t>
      </w:r>
      <w:r>
        <w:t xml:space="preserve"> </w:t>
      </w:r>
      <w:r>
        <w:rPr>
          <w:b/>
          <w:bCs/>
        </w:rPr>
        <w:t xml:space="preserve">normale</w:t>
      </w:r>
      <w:r>
        <w:t xml:space="preserve"> </w:t>
      </w:r>
      <w:r>
        <w:t xml:space="preserve">⊖ (pas de collection, pas d’hypersignal)</w:t>
      </w:r>
      <w:r>
        <w:t xml:space="preserve"> </w:t>
      </w:r>
      <w:r>
        <w:t xml:space="preserve">&gt; - Ponction : leucocytes = 2 100/μL →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⊖</w:t>
      </w:r>
      <w:r>
        <w:t xml:space="preserve"> </w:t>
      </w:r>
      <w:r>
        <w:t xml:space="preserve">&gt; - Alpha-défensine :</w:t>
      </w:r>
      <w:r>
        <w:t xml:space="preserve"> </w:t>
      </w:r>
      <w:r>
        <w:rPr>
          <w:b/>
          <w:bCs/>
        </w:rPr>
        <w:t xml:space="preserve">négative</w:t>
      </w:r>
      <w:r>
        <w:t xml:space="preserve"> </w:t>
      </w:r>
      <w:r>
        <w:t xml:space="preserve">⊖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Résultats discordants</w:t>
      </w:r>
      <w:r>
        <w:t xml:space="preserve"> </w:t>
      </w:r>
      <w:r>
        <w:t xml:space="preserve">: CRP ⊕ / tout le reste ⊖</w:t>
      </w:r>
      <w:r>
        <w:t xml:space="preserve"> </w:t>
      </w:r>
      <w:r>
        <w:t xml:space="preserve">&gt; - Probabilité infection si discordants = ~5-8%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Chercher une autre cause de CRP élevée</w:t>
      </w:r>
      <w:r>
        <w:t xml:space="preserve"> </w:t>
      </w:r>
      <w:r>
        <w:t xml:space="preserve">: infection urinaire ? dentaire ? pathologie inflammatoire ? néoplasie ?</w:t>
      </w:r>
      <w:r>
        <w:t xml:space="preserve"> </w:t>
      </w:r>
      <w:r>
        <w:t xml:space="preserve">&gt; - Bilan complet :</w:t>
      </w:r>
      <w:r>
        <w:t xml:space="preserve"> </w:t>
      </w:r>
      <w:r>
        <w:rPr>
          <w:b/>
          <w:bCs/>
        </w:rPr>
        <w:t xml:space="preserve">infection urinaire à E. coli</w:t>
      </w:r>
      <w:r>
        <w:t xml:space="preserve"> </w:t>
      </w:r>
      <w:r>
        <w:t xml:space="preserve">traitée → CRP se normalise → la hanche n’était pas infectée.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la CRP est un marqueur systémique, pas spécifique de l’articulation. Résultats discordants → chercher ailleurs.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vpp-et-vpn-selon-le-contexte-clinique"/>
    <w:p>
      <w:pPr>
        <w:pStyle w:val="Heading2"/>
      </w:pPr>
      <w:r>
        <w:t xml:space="preserve">11. VPP et VPN selon le contexte clinique</w:t>
      </w:r>
    </w:p>
    <w:bookmarkStart w:id="56" w:name="Xe30b9e9aff4e8f90435b5edf8befcae911f894c"/>
    <w:p>
      <w:pPr>
        <w:pStyle w:val="Heading3"/>
      </w:pPr>
      <w:r>
        <w:t xml:space="preserve">Prévalence estimée de l’IOA selon le contexte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1"/>
        <w:gridCol w:w="2970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 clinique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Prévalence IOA estimée</w:t>
            </w:r>
          </w:p>
        </w:tc>
        <w:tc>
          <w:tcPr/>
          <w:p>
            <w:pPr>
              <w:pStyle w:val="Compact"/>
            </w:pPr>
            <w:r>
              <w:t xml:space="preserve">Profil patient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Médecine générale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0.1-1%</w:t>
            </w:r>
          </w:p>
        </w:tc>
        <w:tc>
          <w:tcPr/>
          <w:p>
            <w:pPr>
              <w:pStyle w:val="Compact"/>
            </w:pPr>
            <w:r>
              <w:t xml:space="preserve">Douleur articulaire banale, tout-venant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Urgences générales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1-5%</w:t>
            </w:r>
          </w:p>
        </w:tc>
        <w:tc>
          <w:tcPr/>
          <w:p>
            <w:pPr>
              <w:pStyle w:val="Compact"/>
            </w:pPr>
            <w:r>
              <w:t xml:space="preserve">Fièvre + douleur ostéoarticulaire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orthopédique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Douleur post-opératoire, prothèse douloureuse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spécialisée 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15-30%</w:t>
            </w:r>
          </w:p>
        </w:tc>
        <w:tc>
          <w:tcPr/>
          <w:p>
            <w:pPr>
              <w:pStyle w:val="Compact"/>
            </w:pPr>
            <w:r>
              <w:t xml:space="preserve">Adressé pour suspicion d’infection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Clinique orthopédique (post-op)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1-3%</w:t>
            </w:r>
          </w:p>
        </w:tc>
        <w:tc>
          <w:tcPr/>
          <w:p>
            <w:pPr>
              <w:pStyle w:val="Compact"/>
            </w:pPr>
            <w:r>
              <w:t xml:space="preserve">Surveillance post-chirurgicale systématique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Hôpital — service d’orthopédie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Patients hospitalisés, reprises chirurgicales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CRIOA / Centre de référence 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40-70%</w:t>
            </w:r>
          </w:p>
        </w:tc>
        <w:tc>
          <w:tcPr/>
          <w:p>
            <w:pPr>
              <w:pStyle w:val="Compact"/>
            </w:pPr>
            <w:r>
              <w:t xml:space="preserve">Patients adressés pour IOA probable/confirmée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 opératoire (révision prothétique)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Descellement à confirmer septique vs aseptique</w:t>
            </w:r>
          </w:p>
        </w:tc>
      </w:tr>
    </w:tbl>
    <w:bookmarkEnd w:id="56"/>
    <w:bookmarkStart w:id="57" w:name="crp-se85-sp70-selon-le-contexte"/>
    <w:p>
      <w:pPr>
        <w:pStyle w:val="Heading3"/>
      </w:pPr>
      <w:r>
        <w:t xml:space="preserve">CRP (Se=85%, Sp=70%) selon le contexte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1272"/>
        <w:gridCol w:w="127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Prévalence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Médecine générale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CRP ⊕ = faux positif dans 98.6% des 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99.3%</w:t>
            </w:r>
          </w:p>
        </w:tc>
        <w:tc>
          <w:tcPr/>
          <w:p>
            <w:pPr>
              <w:pStyle w:val="Compact"/>
            </w:pPr>
            <w:r>
              <w:t xml:space="preserve">CRP ⊕ quasi inutile pour diagnostiquer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ortho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98.4%</w:t>
            </w:r>
          </w:p>
        </w:tc>
        <w:tc>
          <w:tcPr/>
          <w:p>
            <w:pPr>
              <w:pStyle w:val="Compact"/>
            </w:pPr>
            <w:r>
              <w:t xml:space="preserve">CRP ⊕ = 1 chance sur 5 d’infection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IOA spécialisée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93.3%</w:t>
            </w:r>
          </w:p>
        </w:tc>
        <w:tc>
          <w:tcPr/>
          <w:p>
            <w:pPr>
              <w:pStyle w:val="Compact"/>
            </w:pPr>
            <w:r>
              <w:t xml:space="preserve">CRP ⊕ = 1 chance sur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Hôpital orthopédie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t xml:space="preserve">CRP ⊕ = 1 chance sur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73.9%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CRP ⊕ = 3 chances sur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(révision)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65.4%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CRP ⊕ = 2 chances sur 3</w:t>
            </w:r>
          </w:p>
        </w:tc>
      </w:tr>
    </w:tbl>
    <w:bookmarkEnd w:id="57"/>
    <w:bookmarkStart w:id="58" w:name="irm-se92-sp85-selon-le-contexte"/>
    <w:p>
      <w:pPr>
        <w:pStyle w:val="Heading3"/>
      </w:pPr>
      <w:r>
        <w:t xml:space="preserve">IRM (Se=92%, Sp=85%) selon le contexte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1272"/>
        <w:gridCol w:w="127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Prévalence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Médecine générale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IRM ⊕ = faux positif dans 97% des 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IRM ⊕ = 1 chance sur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ortho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99.3%</w:t>
            </w:r>
          </w:p>
        </w:tc>
        <w:tc>
          <w:tcPr/>
          <w:p>
            <w:pPr>
              <w:pStyle w:val="Compact"/>
            </w:pPr>
            <w:r>
              <w:t xml:space="preserve">IRM ⊕ = 1 chance sur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IOA spécialisée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67.2%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96.9%</w:t>
            </w:r>
          </w:p>
        </w:tc>
        <w:tc>
          <w:tcPr/>
          <w:p>
            <w:pPr>
              <w:pStyle w:val="Compact"/>
            </w:pPr>
            <w:r>
              <w:t xml:space="preserve">IRM ⊕ = 2 chances sur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Hôpital orthopédie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98.4%</w:t>
            </w:r>
          </w:p>
        </w:tc>
        <w:tc>
          <w:tcPr/>
          <w:p>
            <w:pPr>
              <w:pStyle w:val="Compact"/>
            </w:pPr>
            <w:r>
              <w:t xml:space="preserve">IRM ⊕ = 1 chance sur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86.0%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91.4%</w:t>
            </w:r>
          </w:p>
        </w:tc>
        <w:tc>
          <w:tcPr/>
          <w:p>
            <w:pPr>
              <w:pStyle w:val="Compact"/>
            </w:pPr>
            <w:r>
              <w:t xml:space="preserve">IRM ⊕ = très fiable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(révision)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94.1%</w:t>
            </w:r>
          </w:p>
        </w:tc>
        <w:tc>
          <w:tcPr/>
          <w:p>
            <w:pPr>
              <w:pStyle w:val="Compact"/>
            </w:pPr>
            <w:r>
              <w:t xml:space="preserve">IRM ⊕ = fiable</w:t>
            </w:r>
          </w:p>
        </w:tc>
      </w:tr>
    </w:tbl>
    <w:bookmarkEnd w:id="58"/>
    <w:bookmarkStart w:id="59" w:name="X319f390c0017aa57c209d8d87e4ddff191d8ed9"/>
    <w:p>
      <w:pPr>
        <w:pStyle w:val="Heading3"/>
      </w:pPr>
      <w:r>
        <w:t xml:space="preserve">Alpha-défensine ELISA (Se=97%, Sp=97%) selon le contexte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1272"/>
        <w:gridCol w:w="127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Prévalence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Médecine générale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99.98%</w:t>
            </w:r>
          </w:p>
        </w:tc>
        <w:tc>
          <w:tcPr/>
          <w:p>
            <w:pPr>
              <w:pStyle w:val="Compact"/>
            </w:pPr>
            <w:r>
              <w:t xml:space="preserve">Même un excellent test : faux ⊕ en prévalence basse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 chance sur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ortho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Bon mais pas suffisant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IOA spécialisée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Très fiable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Hôpital orthopédie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Très fiable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97.0%</w:t>
            </w:r>
          </w:p>
        </w:tc>
        <w:tc>
          <w:tcPr/>
          <w:p>
            <w:pPr>
              <w:pStyle w:val="Compact"/>
            </w:pPr>
            <w:r>
              <w:t xml:space="preserve">Quasi-certitude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(révision)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98.0%</w:t>
            </w:r>
          </w:p>
        </w:tc>
        <w:tc>
          <w:tcPr/>
          <w:p>
            <w:pPr>
              <w:pStyle w:val="Compact"/>
            </w:pPr>
            <w:r>
              <w:t xml:space="preserve">Quasi-certitude</w:t>
            </w:r>
          </w:p>
        </w:tc>
      </w:tr>
    </w:tbl>
    <w:bookmarkEnd w:id="59"/>
    <w:bookmarkStart w:id="60" w:name="crp-irm-se95-sp87-selon-le-contexte"/>
    <w:p>
      <w:pPr>
        <w:pStyle w:val="Heading3"/>
      </w:pPr>
      <w:r>
        <w:t xml:space="preserve">CRP + IRM (Se=95%, Sp=87%) selon le contexte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Prévalence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Médecine générale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Inutile en ville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Screening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ortho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99.6%</w:t>
            </w:r>
          </w:p>
        </w:tc>
        <w:tc>
          <w:tcPr/>
          <w:p>
            <w:pPr>
              <w:pStyle w:val="Compact"/>
            </w:pPr>
            <w:r>
              <w:t xml:space="preserve">1 chance sur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IOA spécialisée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98.1%</w:t>
            </w:r>
          </w:p>
        </w:tc>
        <w:tc>
          <w:tcPr/>
          <w:p>
            <w:pPr>
              <w:pStyle w:val="Compact"/>
            </w:pPr>
            <w:r>
              <w:t xml:space="preserve">Bon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Hôpital orthopédie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1 chance sur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94.6%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(révision)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83.7%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96.3%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</w:tbl>
    <w:bookmarkEnd w:id="60"/>
    <w:bookmarkStart w:id="61" w:name="X77a6399b599619d65c61909b7840787bd8a0d1e"/>
    <w:p>
      <w:pPr>
        <w:pStyle w:val="Heading3"/>
      </w:pPr>
      <w:r>
        <w:t xml:space="preserve">CRP + IRM + Alpha-défensine (Se=99%, Sp=96%) selon le contexte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1272"/>
        <w:gridCol w:w="127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Prévalence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Médecine générale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Exclusion quasi-parfaite si ⊖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VPN remarquable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ortho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65.1%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Bon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IOA spécialisée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Hôpital orthopédie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98.9%</w:t>
            </w:r>
          </w:p>
        </w:tc>
        <w:tc>
          <w:tcPr/>
          <w:p>
            <w:pPr>
              <w:pStyle w:val="Compact"/>
            </w:pPr>
            <w:r>
              <w:t xml:space="preserve">Quasi-certitude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(révision)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99.3%</w:t>
            </w:r>
          </w:p>
        </w:tc>
        <w:tc>
          <w:tcPr/>
          <w:p>
            <w:pPr>
              <w:pStyle w:val="Compact"/>
            </w:pPr>
            <w:r>
              <w:t xml:space="preserve">Quasi-certitude</w:t>
            </w:r>
          </w:p>
        </w:tc>
      </w:tr>
    </w:tbl>
    <w:bookmarkEnd w:id="61"/>
    <w:bookmarkStart w:id="62" w:name="X071de86e4dcc7de845642fcf70c7f7a6cf478c4"/>
    <w:p>
      <w:pPr>
        <w:pStyle w:val="Heading3"/>
      </w:pPr>
      <w:r>
        <w:t xml:space="preserve">Tableau synthèse — VPP par contexte et par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616"/>
        <w:gridCol w:w="1212"/>
        <w:gridCol w:w="969"/>
        <w:gridCol w:w="1777"/>
        <w:gridCol w:w="10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/ Contexte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Généraliste (0.5%)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Urgences (3%)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Ortho (7%)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Spécialiste IOA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CRIOA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seule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IRM seule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+ IRM + α-déf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 2018 complet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</w:tr>
    </w:tbl>
    <w:bookmarkEnd w:id="62"/>
    <w:bookmarkStart w:id="63" w:name="règle-dor"/>
    <w:p>
      <w:pPr>
        <w:pStyle w:val="Heading3"/>
      </w:pPr>
      <w:r>
        <w:t xml:space="preserve">Règle d’or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 médecine générale (prévalence &lt;1%)</w:t>
      </w:r>
      <w:r>
        <w:t xml:space="preserve"> </w:t>
      </w:r>
      <w:r>
        <w:t xml:space="preserve">: aucun test n’a de bonne VPP. Mais VPN excellente → si test normal = infection quasi-exclue. Rôle du test = EXCLURE, pas confirmer.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 centre spécialisé / CRIOA (prévalence 40-70%)</w:t>
      </w:r>
      <w:r>
        <w:t xml:space="preserve"> </w:t>
      </w:r>
      <w:r>
        <w:t xml:space="preserve">: VPP excellente → test ⊕ = infection quasi-certaine. C’est là que les tests CONFIRMENT le diagnostic.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 test positif chez le généraliste ≠ un test positif au CRIOA</w:t>
      </w:r>
    </w:p>
    <w:bookmarkEnd w:id="63"/>
    <w:bookmarkStart w:id="64" w:name="X6cac396df249428006f0f5c21221cbcd58f3b2c"/>
    <w:p>
      <w:pPr>
        <w:pStyle w:val="Heading3"/>
      </w:pPr>
      <w:r>
        <w:t xml:space="preserve">Exemples pratiques — VPP/VPN en situation réelle</w:t>
      </w:r>
    </w:p>
    <w:p>
      <w:pPr>
        <w:pStyle w:val="FirstParagraph"/>
      </w:pPr>
      <w:r>
        <w:rPr>
          <w:b/>
          <w:bCs/>
        </w:rPr>
        <w:t xml:space="preserve">Exemple 1 — Généraliste : CRP positive, que faire ?</w:t>
      </w:r>
      <w:r>
        <w:t xml:space="preserve"> </w:t>
      </w:r>
      <w:r>
        <w:t xml:space="preserve">&gt; Dr Martin, médecin généraliste. Son patient M. Robert, 60 ans, PTH à 1 an, se plaint de douleurs de hanche modérées. CRP = 18 mg/L.</w:t>
      </w:r>
      <w:r>
        <w:t xml:space="preserve"> </w:t>
      </w:r>
      <w:r>
        <w:t xml:space="preserve">&gt; - Prévalence en médecine générale : 0.5%</w:t>
      </w:r>
      <w:r>
        <w:t xml:space="preserve"> </w:t>
      </w:r>
      <w:r>
        <w:t xml:space="preserve">&gt; - VPP de la CRP =</w:t>
      </w:r>
      <w:r>
        <w:t xml:space="preserve"> </w:t>
      </w:r>
      <w:r>
        <w:rPr>
          <w:b/>
          <w:bCs/>
        </w:rPr>
        <w:t xml:space="preserve">1.4%</w:t>
      </w:r>
      <w:r>
        <w:t xml:space="preserve"> </w:t>
      </w:r>
      <w:r>
        <w:t xml:space="preserve">→ 98.6% de chances que ce soit un faux positif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 correcte</w:t>
      </w:r>
      <w:r>
        <w:t xml:space="preserve"> </w:t>
      </w:r>
      <w:r>
        <w:t xml:space="preserve">: ne PAS mettre sous antibiotiques ! Adresser au spécialiste orthopédiste pour avis. Demander une VS en complément.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Erreur fréquente</w:t>
      </w:r>
      <w:r>
        <w:t xml:space="preserve"> </w:t>
      </w:r>
      <w:r>
        <w:t xml:space="preserve">: « CRP élevée + prothèse douloureuse = infection → antibiotiques d’emblée ». C’est FAUX en ville.</w:t>
      </w:r>
    </w:p>
    <w:p>
      <w:pPr>
        <w:pStyle w:val="BodyText"/>
      </w:pPr>
      <w:r>
        <w:rPr>
          <w:b/>
          <w:bCs/>
        </w:rPr>
        <w:t xml:space="preserve">Exemple 2 — CRIOA : les mêmes résultats, stratégie opposée</w:t>
      </w:r>
      <w:r>
        <w:t xml:space="preserve"> </w:t>
      </w:r>
      <w:r>
        <w:t xml:space="preserve">&gt; Même patient, même CRP = 18 mg/L, mais vu au CRIOA (prévalence 50%).</w:t>
      </w:r>
      <w:r>
        <w:t xml:space="preserve"> </w:t>
      </w:r>
      <w:r>
        <w:t xml:space="preserve">&gt; - VPP de la CRP =</w:t>
      </w:r>
      <w:r>
        <w:t xml:space="preserve"> </w:t>
      </w:r>
      <w:r>
        <w:rPr>
          <w:b/>
          <w:bCs/>
        </w:rPr>
        <w:t xml:space="preserve">73.9%</w:t>
      </w:r>
      <w:r>
        <w:t xml:space="preserve"> </w:t>
      </w:r>
      <w:r>
        <w:t xml:space="preserve">→ 3 chances sur 4 d’infection réelle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ponction articulaire le jour même, bilan complet ICM 2018, hémocultures, mise en attente du bloc opératoire.</w:t>
      </w:r>
    </w:p>
    <w:p>
      <w:pPr>
        <w:pStyle w:val="BodyText"/>
      </w:pPr>
      <w:r>
        <w:rPr>
          <w:b/>
          <w:bCs/>
        </w:rPr>
        <w:t xml:space="preserve">Exemple 3 — Urgences : IRM positive chez un patient fébrile</w:t>
      </w:r>
      <w:r>
        <w:t xml:space="preserve"> </w:t>
      </w:r>
      <w:r>
        <w:t xml:space="preserve">&gt; Urgences, M. Petit, 45 ans, fièvre + douleur genou. IRM : épanchement articulaire avec prise de contraste synoviale (prévalence urgences : 3%).</w:t>
      </w:r>
      <w:r>
        <w:t xml:space="preserve"> </w:t>
      </w:r>
      <w:r>
        <w:t xml:space="preserve">&gt; - VPP de l’IRM =</w:t>
      </w:r>
      <w:r>
        <w:t xml:space="preserve"> </w:t>
      </w:r>
      <w:r>
        <w:rPr>
          <w:b/>
          <w:bCs/>
        </w:rPr>
        <w:t xml:space="preserve">15.9%</w:t>
      </w:r>
      <w:r>
        <w:t xml:space="preserve"> </w:t>
      </w:r>
      <w:r>
        <w:t xml:space="preserve">→ seulement 1 chance sur 6 d’infection</w:t>
      </w:r>
      <w:r>
        <w:t xml:space="preserve"> </w:t>
      </w:r>
      <w:r>
        <w:t xml:space="preserve">&gt; - Les autres causes possibles d’IRM positive : goutte, chondrocalcinose, arthrite réactionnelle, polyarthrite rhumatoïde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ponction articulaire systématique. L’IRM ne suffit jamais seule aux urgences pour conclure.</w:t>
      </w:r>
    </w:p>
    <w:p>
      <w:pPr>
        <w:pStyle w:val="BodyText"/>
      </w:pPr>
      <w:r>
        <w:rPr>
          <w:b/>
          <w:bCs/>
        </w:rPr>
        <w:t xml:space="preserve">Exemple 4 — Bloc opératoire : alpha-défensine positive en révision prothétique</w:t>
      </w:r>
      <w:r>
        <w:t xml:space="preserve"> </w:t>
      </w:r>
      <w:r>
        <w:t xml:space="preserve">&gt; Bloc opératoire, révision PTG, prévalence = 40%.</w:t>
      </w:r>
      <w:r>
        <w:t xml:space="preserve"> </w:t>
      </w:r>
      <w:r>
        <w:t xml:space="preserve">&gt; - Alpha-défensine Synovasure® positive au bloc</w:t>
      </w:r>
      <w:r>
        <w:t xml:space="preserve"> </w:t>
      </w:r>
      <w:r>
        <w:t xml:space="preserve">&gt; - VPP =</w:t>
      </w:r>
      <w:r>
        <w:t xml:space="preserve"> </w:t>
      </w:r>
      <w:r>
        <w:rPr>
          <w:b/>
          <w:bCs/>
        </w:rPr>
        <w:t xml:space="preserve">95.6%</w:t>
      </w:r>
      <w:r>
        <w:t xml:space="preserve"> </w:t>
      </w:r>
      <w:r>
        <w:t xml:space="preserve">→ quasi-certitude d’infection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modifier la stratégie chirurgicale immédiatement (spacer au lieu de nouveau implant)</w:t>
      </w:r>
      <w:r>
        <w:t xml:space="preserve"> </w:t>
      </w:r>
      <w:r>
        <w:t xml:space="preserve">&gt; - Le chirurgien peut prendre cette décision avec confiance car la VPP est &gt; 95% dans ce contexte.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lpha-défensine"/>
    <w:p>
      <w:pPr>
        <w:pStyle w:val="Heading2"/>
      </w:pPr>
      <w:r>
        <w:t xml:space="preserve">12. Alpha-défensine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alpha-défensine</w:t>
      </w:r>
      <w:r>
        <w:t xml:space="preserve"> </w:t>
      </w:r>
      <w:r>
        <w:t xml:space="preserve">est une</w:t>
      </w:r>
      <w:r>
        <w:t xml:space="preserve"> </w:t>
      </w:r>
      <w:r>
        <w:rPr>
          <w:b/>
          <w:bCs/>
        </w:rPr>
        <w:t xml:space="preserve">protéine antimicrobienne</w:t>
      </w:r>
      <w:r>
        <w:t xml:space="preserve"> </w:t>
      </w:r>
      <w:r>
        <w:t xml:space="preserve">produite par les</w:t>
      </w:r>
      <w:r>
        <w:t xml:space="preserve"> </w:t>
      </w:r>
      <w:r>
        <w:rPr>
          <w:b/>
          <w:bCs/>
        </w:rPr>
        <w:t xml:space="preserve">polynucléaires neutrophiles</w:t>
      </w:r>
      <w:r>
        <w:t xml:space="preserve"> </w:t>
      </w:r>
      <w:r>
        <w:t xml:space="preserve">(globules blancs) en réponse à une infection.</w:t>
      </w:r>
    </w:p>
    <w:bookmarkStart w:id="66" w:name="principe-3"/>
    <w:p>
      <w:pPr>
        <w:pStyle w:val="Heading3"/>
      </w:pPr>
      <w:r>
        <w:t xml:space="preserve">Principe</w:t>
      </w:r>
    </w:p>
    <w:p>
      <w:pPr>
        <w:pStyle w:val="Compact"/>
        <w:numPr>
          <w:ilvl w:val="0"/>
          <w:numId w:val="1017"/>
        </w:numPr>
      </w:pPr>
      <w:r>
        <w:t xml:space="preserve">Quand une articulation est infectée, les neutrophiles affluent et libèrent massivement de l’alpha-défensine dans le</w:t>
      </w:r>
      <w:r>
        <w:t xml:space="preserve"> </w:t>
      </w:r>
      <w:r>
        <w:rPr>
          <w:b/>
          <w:bCs/>
        </w:rPr>
        <w:t xml:space="preserve">liquide synovial</w:t>
      </w:r>
    </w:p>
    <w:p>
      <w:pPr>
        <w:pStyle w:val="Compact"/>
        <w:numPr>
          <w:ilvl w:val="0"/>
          <w:numId w:val="1017"/>
        </w:numPr>
      </w:pPr>
      <w:r>
        <w:t xml:space="preserve">En l’absence d’infection, le taux d’alpha-défensine est très bas</w:t>
      </w:r>
    </w:p>
    <w:p>
      <w:pPr>
        <w:pStyle w:val="Compact"/>
        <w:numPr>
          <w:ilvl w:val="0"/>
          <w:numId w:val="1017"/>
        </w:numPr>
      </w:pPr>
      <w:r>
        <w:t xml:space="preserve">C’est un</w:t>
      </w:r>
      <w:r>
        <w:t xml:space="preserve"> </w:t>
      </w:r>
      <w:r>
        <w:rPr>
          <w:b/>
          <w:bCs/>
        </w:rPr>
        <w:t xml:space="preserve">marqueur direct de l’activité immunitaire locale</w:t>
      </w:r>
      <w:r>
        <w:t xml:space="preserve"> </w:t>
      </w:r>
      <w:r>
        <w:t xml:space="preserve">contre un pathogène</w:t>
      </w:r>
    </w:p>
    <w:bookmarkEnd w:id="66"/>
    <w:bookmarkStart w:id="67" w:name="deux-formats-de-test"/>
    <w:p>
      <w:pPr>
        <w:pStyle w:val="Heading3"/>
      </w:pPr>
      <w:r>
        <w:t xml:space="preserve">Deux formats de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228"/>
        <w:gridCol w:w="1365"/>
        <w:gridCol w:w="1775"/>
        <w:gridCol w:w="1775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Délai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Lateral flow</w:t>
            </w:r>
            <w:r>
              <w:t xml:space="preserve"> </w:t>
            </w:r>
            <w:r>
              <w:t xml:space="preserve">(Synovasure®)</w:t>
            </w:r>
          </w:p>
        </w:tc>
        <w:tc>
          <w:tcPr/>
          <w:p>
            <w:pPr>
              <w:pStyle w:val="Compact"/>
            </w:pPr>
            <w:r>
              <w:t xml:space="preserve">Bandelette (comme un test de grossesse)</w:t>
            </w:r>
          </w:p>
        </w:tc>
        <w:tc>
          <w:tcPr/>
          <w:p>
            <w:pPr>
              <w:pStyle w:val="Compact"/>
            </w:pPr>
            <w:r>
              <w:t xml:space="preserve">Positif / Négatif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ELISA</w:t>
            </w:r>
            <w:r>
              <w:t xml:space="preserve"> </w:t>
            </w:r>
            <w:r>
              <w:t xml:space="preserve">(laboratoire)</w:t>
            </w:r>
          </w:p>
        </w:tc>
        <w:tc>
          <w:tcPr/>
          <w:p>
            <w:pPr>
              <w:pStyle w:val="Compact"/>
            </w:pPr>
            <w:r>
              <w:t xml:space="preserve">Dosage quantitatif</w:t>
            </w:r>
          </w:p>
        </w:tc>
        <w:tc>
          <w:tcPr/>
          <w:p>
            <w:pPr>
              <w:pStyle w:val="Compact"/>
            </w:pPr>
            <w:r>
              <w:t xml:space="preserve">Valeur en mg/L (seuil &gt;5.2)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24-48h</w:t>
            </w:r>
          </w:p>
        </w:tc>
      </w:tr>
    </w:tbl>
    <w:bookmarkEnd w:id="67"/>
    <w:bookmarkStart w:id="68" w:name="Xc4c6b71430740ed08c8a6a50e61627b50f1445f"/>
    <w:p>
      <w:pPr>
        <w:pStyle w:val="Heading3"/>
      </w:pPr>
      <w:r>
        <w:t xml:space="preserve">Pourquoi c’est le meilleur marqueur synovial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Non affecté</w:t>
      </w:r>
      <w:r>
        <w:t xml:space="preserve"> </w:t>
      </w:r>
      <w:r>
        <w:t xml:space="preserve">par les antibiotiques en cours (contrairement aux cultures)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Non affecté</w:t>
      </w:r>
      <w:r>
        <w:t xml:space="preserve"> </w:t>
      </w:r>
      <w:r>
        <w:t xml:space="preserve">par les pathologies inflammatoires (polyarthrite rhumatoïde, goutte) → très spécifique de l’infection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Fonctionne</w:t>
      </w:r>
      <w:r>
        <w:t xml:space="preserve"> </w:t>
      </w:r>
      <w:r>
        <w:t xml:space="preserve">même sur les germes à croissance lente (</w:t>
      </w:r>
      <w:r>
        <w:rPr>
          <w:i/>
          <w:iCs/>
        </w:rPr>
        <w:t xml:space="preserve">C. acnes</w:t>
      </w:r>
      <w:r>
        <w:t xml:space="preserve">,</w:t>
      </w:r>
      <w:r>
        <w:t xml:space="preserve"> </w:t>
      </w:r>
      <w:r>
        <w:rPr>
          <w:i/>
          <w:iCs/>
        </w:rPr>
        <w:t xml:space="preserve">S. epidermidis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Inclus</w:t>
      </w:r>
      <w:r>
        <w:t xml:space="preserve"> </w:t>
      </w:r>
      <w:r>
        <w:t xml:space="preserve">dans les critères ICM 2018 (Parvizi) comme critère majeur</w:t>
      </w:r>
    </w:p>
    <w:bookmarkEnd w:id="68"/>
    <w:bookmarkStart w:id="69" w:name="en-pratique"/>
    <w:p>
      <w:pPr>
        <w:pStyle w:val="Heading3"/>
      </w:pPr>
      <w:r>
        <w:t xml:space="preserve">En pratique</w:t>
      </w:r>
    </w:p>
    <w:p>
      <w:pPr>
        <w:pStyle w:val="Compact"/>
        <w:numPr>
          <w:ilvl w:val="0"/>
          <w:numId w:val="1019"/>
        </w:numPr>
      </w:pPr>
      <w:r>
        <w:t xml:space="preserve">Le chirurgien fait une</w:t>
      </w:r>
      <w:r>
        <w:t xml:space="preserve"> </w:t>
      </w:r>
      <w:r>
        <w:rPr>
          <w:b/>
          <w:bCs/>
        </w:rPr>
        <w:t xml:space="preserve">ponction articulaire</w:t>
      </w:r>
      <w:r>
        <w:t xml:space="preserve"> </w:t>
      </w:r>
      <w:r>
        <w:t xml:space="preserve">(genou, hanche, épaule)</w:t>
      </w:r>
    </w:p>
    <w:p>
      <w:pPr>
        <w:pStyle w:val="Compact"/>
        <w:numPr>
          <w:ilvl w:val="0"/>
          <w:numId w:val="1019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bloc opératoire</w:t>
      </w:r>
      <w:r>
        <w:t xml:space="preserve"> </w:t>
      </w:r>
      <w:r>
        <w:t xml:space="preserve">→ bandelette Synovasure® (résultat en 10 min)</w:t>
      </w:r>
    </w:p>
    <w:p>
      <w:pPr>
        <w:pStyle w:val="Compact"/>
        <w:numPr>
          <w:ilvl w:val="0"/>
          <w:numId w:val="1019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laboratoire</w:t>
      </w:r>
      <w:r>
        <w:t xml:space="preserve"> </w:t>
      </w:r>
      <w:r>
        <w:t xml:space="preserve">→ ELISA (résultat plus précis, 24-48h)</w:t>
      </w:r>
    </w:p>
    <w:p>
      <w:pPr>
        <w:pStyle w:val="Compact"/>
        <w:numPr>
          <w:ilvl w:val="0"/>
          <w:numId w:val="1019"/>
        </w:numPr>
      </w:pPr>
      <w:r>
        <w:t xml:space="preserve">Alpha-défensine positive = infection très probable (VPP &gt; 95% en contexte spécialisé)</w:t>
      </w:r>
    </w:p>
    <w:bookmarkEnd w:id="69"/>
    <w:bookmarkStart w:id="70" w:name="limite"/>
    <w:p>
      <w:pPr>
        <w:pStyle w:val="Heading3"/>
      </w:pPr>
      <w:r>
        <w:t xml:space="preserve">Limite</w:t>
      </w:r>
    </w:p>
    <w:p>
      <w:pPr>
        <w:pStyle w:val="Compact"/>
        <w:numPr>
          <w:ilvl w:val="0"/>
          <w:numId w:val="1020"/>
        </w:numPr>
      </w:pPr>
      <w:r>
        <w:t xml:space="preserve">Le test nécessite un</w:t>
      </w:r>
      <w:r>
        <w:t xml:space="preserve"> </w:t>
      </w:r>
      <w:r>
        <w:rPr>
          <w:b/>
          <w:bCs/>
        </w:rPr>
        <w:t xml:space="preserve">liquide synovial de qualité</w:t>
      </w:r>
      <w:r>
        <w:t xml:space="preserve"> </w:t>
      </w:r>
      <w:r>
        <w:t xml:space="preserve">(non contaminé par du sang → faux positifs possibles si ponction traumatique)</w:t>
      </w:r>
    </w:p>
    <w:p>
      <w:pPr>
        <w:pStyle w:val="Compact"/>
        <w:numPr>
          <w:ilvl w:val="0"/>
          <w:numId w:val="1020"/>
        </w:numPr>
      </w:pPr>
      <w:r>
        <w:t xml:space="preserve">Coût élevé du test Synovasure® (~150-200€ par bandelette)</w:t>
      </w:r>
    </w:p>
    <w:bookmarkEnd w:id="70"/>
    <w:bookmarkStart w:id="71" w:name="exemples-pratiques-alpha-défensine"/>
    <w:p>
      <w:pPr>
        <w:pStyle w:val="Heading3"/>
      </w:pPr>
      <w:r>
        <w:t xml:space="preserve">Exemples pratiques — Alpha-défensine</w:t>
      </w:r>
    </w:p>
    <w:p>
      <w:pPr>
        <w:pStyle w:val="FirstParagraph"/>
      </w:pPr>
      <w:r>
        <w:rPr>
          <w:b/>
          <w:bCs/>
        </w:rPr>
        <w:t xml:space="preserve">Exemple 1 — Alpha-défensine au bloc : décision peropératoire</w:t>
      </w:r>
      <w:r>
        <w:t xml:space="preserve"> </w:t>
      </w:r>
      <w:r>
        <w:t xml:space="preserve">&gt; M. Garcia, 62 ans, reprise de PTG pour descellement supposé « mécanique ». Pas de fièvre, CRP = 8 mg/L (limite), VS = 25 mm/h.</w:t>
      </w:r>
      <w:r>
        <w:t xml:space="preserve"> </w:t>
      </w:r>
      <w:r>
        <w:t xml:space="preserve">&gt; - Au bloc, le chirurgien ouvre l’articulation : liquide synovial un peu trouble, tissu légèrement inflammatoire mais pas de pus franc.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Test Synovasure® au bloc</w:t>
      </w:r>
      <w:r>
        <w:t xml:space="preserve"> </w:t>
      </w:r>
      <w:r>
        <w:t xml:space="preserve">(bandelette lateral flow) : résultat en 10 minutes →</w:t>
      </w:r>
      <w:r>
        <w:t xml:space="preserve"> </w:t>
      </w:r>
      <w:r>
        <w:rPr>
          <w:b/>
          <w:bCs/>
        </w:rPr>
        <w:t xml:space="preserve">POSITIF</w:t>
      </w:r>
      <w:r>
        <w:t xml:space="preserve"> </w:t>
      </w:r>
      <w:r>
        <w:t xml:space="preserve">&gt; - Le chirurgien modifie immédiatement sa stratégie : au lieu d’un simple changement de prothèse en 1 temps, il réalise une</w:t>
      </w:r>
      <w:r>
        <w:t xml:space="preserve"> </w:t>
      </w:r>
      <w:r>
        <w:rPr>
          <w:b/>
          <w:bCs/>
        </w:rPr>
        <w:t xml:space="preserve">explantation</w:t>
      </w:r>
      <w:r>
        <w:t xml:space="preserve"> </w:t>
      </w:r>
      <w:r>
        <w:t xml:space="preserve">+ mise en place d’un</w:t>
      </w:r>
      <w:r>
        <w:t xml:space="preserve"> </w:t>
      </w:r>
      <w:r>
        <w:rPr>
          <w:b/>
          <w:bCs/>
        </w:rPr>
        <w:t xml:space="preserve">spacer aux antibiotiques</w:t>
      </w:r>
      <w:r>
        <w:t xml:space="preserve"> </w:t>
      </w:r>
      <w:r>
        <w:t xml:space="preserve">(stratégie en 2 temps).</w:t>
      </w:r>
      <w:r>
        <w:t xml:space="preserve"> </w:t>
      </w:r>
      <w:r>
        <w:t xml:space="preserve">&gt; - Cultures peropératoires (résultat à J5) :</w:t>
      </w:r>
      <w:r>
        <w:t xml:space="preserve"> </w:t>
      </w:r>
      <w:r>
        <w:rPr>
          <w:i/>
          <w:iCs/>
        </w:rPr>
        <w:t xml:space="preserve">Staphylococcus epidermidis</w:t>
      </w:r>
      <w:r>
        <w:t xml:space="preserve"> </w:t>
      </w:r>
      <w:r>
        <w:t xml:space="preserve">sur 4/5 prélèvements → infection confirmée.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Sans la bandelette</w:t>
      </w:r>
      <w:r>
        <w:t xml:space="preserve"> </w:t>
      </w:r>
      <w:r>
        <w:t xml:space="preserve">: le chirurgien aurait posé une nouvelle prothèse dans un milieu infecté → échec quasi-certain.</w:t>
      </w:r>
    </w:p>
    <w:p>
      <w:pPr>
        <w:pStyle w:val="BodyText"/>
      </w:pPr>
      <w:r>
        <w:rPr>
          <w:b/>
          <w:bCs/>
        </w:rPr>
        <w:t xml:space="preserve">Exemple 2 — Alpha-défensine sous antibiotiques</w:t>
      </w:r>
      <w:r>
        <w:t xml:space="preserve"> </w:t>
      </w:r>
      <w:r>
        <w:t xml:space="preserve">&gt; Mme Nguyen, 58 ans, PTH gauche à 8 mois, déjà sous amoxicilline depuis 3 semaines (prescrite par son généraliste pour « suspicion d’infection »).</w:t>
      </w:r>
      <w:r>
        <w:t xml:space="preserve"> </w:t>
      </w:r>
      <w:r>
        <w:t xml:space="preserve">&gt; - Ponction au CRIOA sous échographie : liquide clair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Cultures</w:t>
      </w:r>
      <w:r>
        <w:t xml:space="preserve"> </w:t>
      </w:r>
      <w:r>
        <w:t xml:space="preserve">: toutes NÉGATIVES (stérilisées par les ATB)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Alpha-défensine ELISA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7.8 mg/L → POSITIF</w:t>
      </w:r>
      <w:r>
        <w:t xml:space="preserve"> </w:t>
      </w:r>
      <w:r>
        <w:t xml:space="preserve">(seuil &gt; 5.2 mg/L)</w:t>
      </w:r>
      <w:r>
        <w:t xml:space="preserve"> </w:t>
      </w:r>
      <w:r>
        <w:t xml:space="preserve">&gt; - Leucocytes synoviaux : 9 500/μL (élevé)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: l’alpha-défensine n’est PAS affectée par les antibiotiques (elle est produite par les neutrophiles, pas par les bactéries). Le diagnostic d’infection est confirmé malgré les cultures négatives.</w:t>
      </w:r>
      <w:r>
        <w:t xml:space="preserve"> </w:t>
      </w:r>
      <w:r>
        <w:t xml:space="preserve">&gt; - Décision : changement en 2 temps. Le germe sera finalement identifié par NGS :</w:t>
      </w:r>
      <w:r>
        <w:t xml:space="preserve"> </w:t>
      </w:r>
      <w:r>
        <w:rPr>
          <w:i/>
          <w:iCs/>
        </w:rPr>
        <w:t xml:space="preserve">Cutibacterium acnes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 3 — Faux positif lié à une ponction traumatique</w:t>
      </w:r>
      <w:r>
        <w:t xml:space="preserve"> </w:t>
      </w:r>
      <w:r>
        <w:t xml:space="preserve">&gt; M. Dubois, 72 ans, PTG à 5 ans, exploration pour douleur mécanique. Ponction en consultation.</w:t>
      </w:r>
      <w:r>
        <w:t xml:space="preserve"> </w:t>
      </w:r>
      <w:r>
        <w:t xml:space="preserve">&gt; - Liquide articulaire très</w:t>
      </w:r>
      <w:r>
        <w:t xml:space="preserve"> </w:t>
      </w:r>
      <w:r>
        <w:rPr>
          <w:b/>
          <w:bCs/>
        </w:rPr>
        <w:t xml:space="preserve">hémorragique</w:t>
      </w:r>
      <w:r>
        <w:t xml:space="preserve"> </w:t>
      </w:r>
      <w:r>
        <w:t xml:space="preserve">(ponction difficile, 3 tentatives)</w:t>
      </w:r>
      <w:r>
        <w:t xml:space="preserve"> </w:t>
      </w:r>
      <w:r>
        <w:t xml:space="preserve">&gt; - Alpha-défensine Synovasure® :</w:t>
      </w:r>
      <w:r>
        <w:t xml:space="preserve"> </w:t>
      </w:r>
      <w:r>
        <w:rPr>
          <w:b/>
          <w:bCs/>
        </w:rPr>
        <w:t xml:space="preserve">POSITIF</w:t>
      </w:r>
      <w:r>
        <w:t xml:space="preserve"> </w:t>
      </w:r>
      <w:r>
        <w:t xml:space="preserve">&gt; - Leucocytes synoviaux : 1 200/μL (normal)</w:t>
      </w:r>
      <w:r>
        <w:t xml:space="preserve"> </w:t>
      </w:r>
      <w:r>
        <w:t xml:space="preserve">&gt; - CRP = 4 mg/L (normal), cultures négatives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: FAUX POSITIF. Le sang contient de l’alpha-défensine (dans les neutrophiles circulants). Un liquide très hémorragique fausse le test.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nouvelle ponction à 2 semaines, liquide clair cette fois → alpha-défensine NÉGATIVE. Pas d’infection.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si le liquide est sanglant, l’alpha-défensine n’est pas fiable. Refaire la ponction ou utiliser l’ELISA (moins sensible à la contamination sanguine).</w:t>
      </w:r>
    </w:p>
    <w:p>
      <w:pPr>
        <w:pStyle w:val="BodyText"/>
      </w:pPr>
      <w:r>
        <w:rPr>
          <w:b/>
          <w:bCs/>
        </w:rPr>
        <w:t xml:space="preserve">Exemple 4 — Alpha-défensine et polyarthrite rhumatoïde</w:t>
      </w:r>
      <w:r>
        <w:t xml:space="preserve"> </w:t>
      </w:r>
      <w:r>
        <w:t xml:space="preserve">&gt; Mme Laurent, 55 ans, polyarthrite rhumatoïde active, PTG gauche à 3 ans. Genou gonflé, chaud.</w:t>
      </w:r>
      <w:r>
        <w:t xml:space="preserve"> </w:t>
      </w:r>
      <w:r>
        <w:t xml:space="preserve">&gt; - CRP = 60 mg/L → élevée, mais ininterprétable (la PR élève la CRP !)</w:t>
      </w:r>
      <w:r>
        <w:t xml:space="preserve"> </w:t>
      </w:r>
      <w:r>
        <w:t xml:space="preserve">&gt; - Leucocytes synoviaux = 18 000/μL → élevé, mais la PR aussi donne des leucocytes élevés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Alpha-défensine ELISA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1.8 mg/L → NÉGATIF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: la PR donne de faux positifs sur CRP et leucocytes synoviaux, mais PAS sur l’alpha-défensine. Alpha-défensine négative = pas d’infection surajoutée → poussée inflammatoire de la PR.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C’est pourquoi l’alpha-défensine est le marqueur de choix chez les patients avec maladies inflammatoires chroniques.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critères-icm-2018"/>
    <w:p>
      <w:pPr>
        <w:pStyle w:val="Heading2"/>
      </w:pPr>
      <w:r>
        <w:t xml:space="preserve">13. Critères ICM 2018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critères ICM 2018</w:t>
      </w:r>
      <w:r>
        <w:t xml:space="preserve"> </w:t>
      </w:r>
      <w:r>
        <w:t xml:space="preserve">(International Consensus Meeting 2018, Philadelphia) sont le</w:t>
      </w:r>
      <w:r>
        <w:t xml:space="preserve"> </w:t>
      </w:r>
      <w:r>
        <w:rPr>
          <w:b/>
          <w:bCs/>
        </w:rPr>
        <w:t xml:space="preserve">standard international</w:t>
      </w:r>
      <w:r>
        <w:t xml:space="preserve"> </w:t>
      </w:r>
      <w:r>
        <w:t xml:space="preserve">pour le diagnostic d’infection périprothétique (IPP), publiés par</w:t>
      </w:r>
      <w:r>
        <w:t xml:space="preserve"> </w:t>
      </w:r>
      <w:r>
        <w:rPr>
          <w:b/>
          <w:bCs/>
        </w:rPr>
        <w:t xml:space="preserve">Javad Parvizi et al.</w:t>
      </w:r>
    </w:p>
    <w:bookmarkStart w:id="73" w:name="X765c03212a2888bbaab695c13b619fa834a346b"/>
    <w:p>
      <w:pPr>
        <w:pStyle w:val="Heading3"/>
      </w:pPr>
      <w:r>
        <w:t xml:space="preserve">Critères MAJEURS (1 seul suffit = infection confirmée)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cultures peropératoires positives</w:t>
            </w:r>
          </w:p>
        </w:tc>
        <w:tc>
          <w:tcPr/>
          <w:p>
            <w:pPr>
              <w:pStyle w:val="Compact"/>
            </w:pPr>
            <w:r>
              <w:t xml:space="preserve">Même germe isolé sur ≥2 prélèvements distincts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Fistule</w:t>
            </w:r>
          </w:p>
        </w:tc>
        <w:tc>
          <w:tcPr/>
          <w:p>
            <w:pPr>
              <w:pStyle w:val="Compact"/>
            </w:pPr>
            <w:r>
              <w:t xml:space="preserve">Communication directe entre l’articulation et la peau</w:t>
            </w:r>
          </w:p>
        </w:tc>
      </w:tr>
    </w:tbl>
    <w:p>
      <w:pPr>
        <w:pStyle w:val="BodyText"/>
      </w:pPr>
      <w:r>
        <w:t xml:space="preserve">Si un seul critère majeur est présent =</w:t>
      </w:r>
      <w:r>
        <w:t xml:space="preserve"> </w:t>
      </w:r>
      <w:r>
        <w:rPr>
          <w:b/>
          <w:bCs/>
        </w:rPr>
        <w:t xml:space="preserve">infection confirmée</w:t>
      </w:r>
      <w:r>
        <w:t xml:space="preserve">, pas besoin d’aller plus loin.</w:t>
      </w:r>
    </w:p>
    <w:bookmarkEnd w:id="73"/>
    <w:bookmarkStart w:id="77" w:name="X34fb099704838066f354c449907b6eafa3d495d"/>
    <w:p>
      <w:pPr>
        <w:pStyle w:val="Heading3"/>
      </w:pPr>
      <w:r>
        <w:t xml:space="preserve">Critères MINEURS (système de score pondéré)</w:t>
      </w:r>
    </w:p>
    <w:p>
      <w:pPr>
        <w:pStyle w:val="FirstParagraph"/>
      </w:pPr>
      <w:r>
        <w:t xml:space="preserve">Si aucun critère majeur, on additionne les points :</w:t>
      </w:r>
    </w:p>
    <w:bookmarkStart w:id="74" w:name="critères-sériques-sang"/>
    <w:p>
      <w:pPr>
        <w:pStyle w:val="Heading4"/>
      </w:pPr>
      <w:r>
        <w:t xml:space="preserve">Critères sériques (sang)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Seuil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élevée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points</w:t>
            </w:r>
          </w:p>
        </w:tc>
        <w:tc>
          <w:tcPr/>
          <w:p>
            <w:pPr>
              <w:pStyle w:val="Compact"/>
            </w:pPr>
            <w:r>
              <w:t xml:space="preserve">&gt;10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D-dimères élevés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points</w:t>
            </w:r>
          </w:p>
        </w:tc>
        <w:tc>
          <w:tcPr/>
          <w:p>
            <w:pPr>
              <w:pStyle w:val="Compact"/>
            </w:pPr>
            <w:r>
              <w:t xml:space="preserve">&gt;860 ng/mL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élevée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point</w:t>
            </w:r>
          </w:p>
        </w:tc>
        <w:tc>
          <w:tcPr/>
          <w:p>
            <w:pPr>
              <w:pStyle w:val="Compact"/>
            </w:pPr>
            <w:r>
              <w:t xml:space="preserve">&gt;30 mm/h</w:t>
            </w:r>
          </w:p>
        </w:tc>
      </w:tr>
    </w:tbl>
    <w:bookmarkEnd w:id="74"/>
    <w:bookmarkStart w:id="75" w:name="critères-synoviaux-ponction-articulaire"/>
    <w:p>
      <w:pPr>
        <w:pStyle w:val="Heading4"/>
      </w:pPr>
      <w:r>
        <w:t xml:space="preserve">Critères synoviaux (ponction articulaire)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Seuil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Leucocytes synoviaux élevés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points</w:t>
            </w:r>
          </w:p>
        </w:tc>
        <w:tc>
          <w:tcPr/>
          <w:p>
            <w:pPr>
              <w:pStyle w:val="Compact"/>
            </w:pPr>
            <w:r>
              <w:t xml:space="preserve">&gt;3000/μL (chronique) ou &gt;10 000/μL (aiguë)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 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points</w:t>
            </w:r>
          </w:p>
        </w:tc>
        <w:tc>
          <w:tcPr/>
          <w:p>
            <w:pPr>
              <w:pStyle w:val="Compact"/>
            </w:pPr>
            <w:r>
              <w:t xml:space="preserve">Test lateral flow ou ELISA &gt;5.2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Leukocyte esterase 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points</w:t>
            </w:r>
          </w:p>
        </w:tc>
        <w:tc>
          <w:tcPr/>
          <w:p>
            <w:pPr>
              <w:pStyle w:val="Compact"/>
            </w:pPr>
            <w:r>
              <w:t xml:space="preserve">++ sur bandelette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PNN synoviaux élevé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points</w:t>
            </w:r>
          </w:p>
        </w:tc>
        <w:tc>
          <w:tcPr/>
          <w:p>
            <w:pPr>
              <w:pStyle w:val="Compact"/>
            </w:pPr>
            <w:r>
              <w:t xml:space="preserve">&gt;80% (chronique) ou &gt;90% (aiguë)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synoviale élevée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point</w:t>
            </w:r>
          </w:p>
        </w:tc>
        <w:tc>
          <w:tcPr/>
          <w:p>
            <w:pPr>
              <w:pStyle w:val="Compact"/>
            </w:pPr>
            <w:r>
              <w:t xml:space="preserve">&gt;6.9 mg/L</w:t>
            </w:r>
          </w:p>
        </w:tc>
      </w:tr>
    </w:tbl>
    <w:bookmarkEnd w:id="75"/>
    <w:bookmarkStart w:id="76" w:name="critères-peropératoires-au-bloc"/>
    <w:p>
      <w:pPr>
        <w:pStyle w:val="Heading4"/>
      </w:pPr>
      <w:r>
        <w:t xml:space="preserve">Critères peropératoires (au bloc)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Histologie 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points</w:t>
            </w:r>
          </w:p>
        </w:tc>
        <w:tc>
          <w:tcPr/>
          <w:p>
            <w:pPr>
              <w:pStyle w:val="Compact"/>
            </w:pPr>
            <w:r>
              <w:t xml:space="preserve">&gt;5 PNN/champ (×400) sur ≥5 champs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 purulent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points</w:t>
            </w:r>
          </w:p>
        </w:tc>
        <w:tc>
          <w:tcPr/>
          <w:p>
            <w:pPr>
              <w:pStyle w:val="Compact"/>
            </w:pPr>
            <w:r>
              <w:t xml:space="preserve">Pus macroscopique per-opératoire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culture peropératoire 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points</w:t>
            </w:r>
          </w:p>
        </w:tc>
        <w:tc>
          <w:tcPr/>
          <w:p>
            <w:pPr>
              <w:pStyle w:val="Compact"/>
            </w:pPr>
            <w:r>
              <w:t xml:space="preserve">1 seul prélèvement positif</w:t>
            </w:r>
          </w:p>
        </w:tc>
      </w:tr>
    </w:tbl>
    <w:bookmarkEnd w:id="76"/>
    <w:bookmarkEnd w:id="77"/>
    <w:bookmarkStart w:id="78" w:name="interprétation-du-score-total"/>
    <w:p>
      <w:pPr>
        <w:pStyle w:val="Heading3"/>
      </w:pPr>
      <w:r>
        <w:t xml:space="preserve">Interprétation du score total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Diagnostic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≥ 6 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Infecté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4-5 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Possiblement infecté</w:t>
            </w:r>
            <w:r>
              <w:t xml:space="preserve"> </w:t>
            </w:r>
            <w:r>
              <w:t xml:space="preserve">(investigation complémentaire)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≤ 3 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infecté</w:t>
            </w:r>
          </w:p>
        </w:tc>
      </w:tr>
    </w:tbl>
    <w:bookmarkEnd w:id="78"/>
    <w:bookmarkStart w:id="79" w:name="performances-des-critères-icm-2018"/>
    <w:p>
      <w:pPr>
        <w:pStyle w:val="Heading3"/>
      </w:pPr>
      <w:r>
        <w:t xml:space="preserve">Performances des critères ICM 2018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Spécificité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VPP (en centre spécialisé)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~99%</w:t>
            </w:r>
          </w:p>
        </w:tc>
      </w:tr>
    </w:tbl>
    <w:bookmarkEnd w:id="79"/>
    <w:bookmarkStart w:id="80" w:name="X4561942849a02e1140fc7407c9f5bddea9e5a33"/>
    <w:p>
      <w:pPr>
        <w:pStyle w:val="Heading3"/>
      </w:pPr>
      <w:r>
        <w:t xml:space="preserve">Différence avec les anciens critères MSIS 2011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MSIS 2011</w:t>
            </w:r>
          </w:p>
        </w:tc>
        <w:tc>
          <w:tcPr/>
          <w:p>
            <w:pPr>
              <w:pStyle w:val="Compact"/>
            </w:pPr>
            <w:r>
              <w:t xml:space="preserve">ICM 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Système</w:t>
            </w:r>
          </w:p>
        </w:tc>
        <w:tc>
          <w:tcPr/>
          <w:p>
            <w:pPr>
              <w:pStyle w:val="Compact"/>
            </w:pPr>
            <w:r>
              <w:t xml:space="preserve">Critères majeurs/mineurs binaires</w:t>
            </w:r>
          </w:p>
        </w:tc>
        <w:tc>
          <w:tcPr/>
          <w:p>
            <w:pPr>
              <w:pStyle w:val="Compact"/>
            </w:pPr>
            <w:r>
              <w:t xml:space="preserve">Score pondéré (points)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D-dimères</w:t>
            </w:r>
          </w:p>
        </w:tc>
        <w:tc>
          <w:tcPr/>
          <w:p>
            <w:pPr>
              <w:pStyle w:val="Compact"/>
            </w:pPr>
            <w:r>
              <w:t xml:space="preserve">Non inclus</w:t>
            </w:r>
          </w:p>
        </w:tc>
        <w:tc>
          <w:tcPr/>
          <w:p>
            <w:pPr>
              <w:pStyle w:val="Compact"/>
            </w:pPr>
            <w:r>
              <w:t xml:space="preserve">Inclus (2 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Alpha-défensine</w:t>
            </w:r>
          </w:p>
        </w:tc>
        <w:tc>
          <w:tcPr/>
          <w:p>
            <w:pPr>
              <w:pStyle w:val="Compact"/>
            </w:pPr>
            <w:r>
              <w:t xml:space="preserve">Non inclus</w:t>
            </w:r>
          </w:p>
        </w:tc>
        <w:tc>
          <w:tcPr/>
          <w:p>
            <w:pPr>
              <w:pStyle w:val="Compact"/>
            </w:pPr>
            <w:r>
              <w:t xml:space="preserve">Inclus (3 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 synoviale</w:t>
            </w:r>
          </w:p>
        </w:tc>
        <w:tc>
          <w:tcPr/>
          <w:p>
            <w:pPr>
              <w:pStyle w:val="Compact"/>
            </w:pPr>
            <w:r>
              <w:t xml:space="preserve">Non inclus</w:t>
            </w:r>
          </w:p>
        </w:tc>
        <w:tc>
          <w:tcPr/>
          <w:p>
            <w:pPr>
              <w:pStyle w:val="Compact"/>
            </w:pPr>
            <w:r>
              <w:t xml:space="preserve">Inclus (1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Leukocyte esterase</w:t>
            </w:r>
          </w:p>
        </w:tc>
        <w:tc>
          <w:tcPr/>
          <w:p>
            <w:pPr>
              <w:pStyle w:val="Compact"/>
            </w:pPr>
            <w:r>
              <w:t xml:space="preserve">Non inclus</w:t>
            </w:r>
          </w:p>
        </w:tc>
        <w:tc>
          <w:tcPr/>
          <w:p>
            <w:pPr>
              <w:pStyle w:val="Compact"/>
            </w:pPr>
            <w:r>
              <w:t xml:space="preserve">Inclus (3 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grise</w:t>
            </w:r>
          </w:p>
        </w:tc>
        <w:tc>
          <w:tcPr/>
          <w:p>
            <w:pPr>
              <w:pStyle w:val="Compact"/>
            </w:pPr>
            <w:r>
              <w:t xml:space="preserve">Oui/Non seulement</w:t>
            </w:r>
          </w:p>
        </w:tc>
        <w:tc>
          <w:tcPr/>
          <w:p>
            <w:pPr>
              <w:pStyle w:val="Compact"/>
            </w:pPr>
            <w:r>
              <w:t xml:space="preserve">Zone</w:t>
            </w:r>
            <w:r>
              <w:t xml:space="preserve"> </w:t>
            </w:r>
            <w:r>
              <w:t xml:space="preserve">“possiblement infecté”</w:t>
            </w:r>
            <w:r>
              <w:t xml:space="preserve"> </w:t>
            </w:r>
            <w:r>
              <w:t xml:space="preserve">(4-5 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Se 79-97%, Sp 78-99%</w:t>
            </w:r>
          </w:p>
        </w:tc>
        <w:tc>
          <w:tcPr/>
          <w:p>
            <w:pPr>
              <w:pStyle w:val="Compact"/>
            </w:pPr>
            <w:r>
              <w:t xml:space="preserve">Se 97.7%, Sp 99.5%</w:t>
            </w:r>
          </w:p>
        </w:tc>
      </w:tr>
    </w:tbl>
    <w:bookmarkEnd w:id="80"/>
    <w:bookmarkStart w:id="81" w:name="exemple-pratique"/>
    <w:p>
      <w:pPr>
        <w:pStyle w:val="Heading3"/>
      </w:pPr>
      <w:r>
        <w:t xml:space="preserve">Exemple pratique</w:t>
      </w:r>
    </w:p>
    <w:p>
      <w:pPr>
        <w:pStyle w:val="FirstParagraph"/>
      </w:pPr>
      <w:r>
        <w:t xml:space="preserve">Patient avec prothèse de genou douloureuse à 18 mois :</w:t>
      </w:r>
      <w:r>
        <w:t xml:space="preserve"> </w:t>
      </w:r>
      <w:r>
        <w:t xml:space="preserve">- CRP = 35 mg/L → 2 pts</w:t>
      </w:r>
      <w:r>
        <w:t xml:space="preserve"> </w:t>
      </w:r>
      <w:r>
        <w:t xml:space="preserve">- D-dimères = 1200 ng/mL → 2 pts</w:t>
      </w:r>
      <w:r>
        <w:t xml:space="preserve"> </w:t>
      </w:r>
      <w:r>
        <w:t xml:space="preserve">- Ponction : leucocytes synoviaux = 8500/μL → 3 pts</w:t>
      </w:r>
      <w:r>
        <w:t xml:space="preserve"> </w:t>
      </w:r>
      <w:r>
        <w:t xml:space="preserve">- Alpha-défensine positive → 3 pts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= 10 points → INFECTÉ</w:t>
      </w:r>
    </w:p>
    <w:bookmarkEnd w:id="81"/>
    <w:bookmarkStart w:id="82" w:name="X6ddfa68a8d3b894a7a27cd5216e8fb8030dce47"/>
    <w:p>
      <w:pPr>
        <w:pStyle w:val="Heading3"/>
      </w:pPr>
      <w:r>
        <w:t xml:space="preserve">Exemples pratiques — Application des critères ICM 2018</w:t>
      </w:r>
    </w:p>
    <w:p>
      <w:pPr>
        <w:pStyle w:val="FirstParagraph"/>
      </w:pPr>
      <w:r>
        <w:rPr>
          <w:b/>
          <w:bCs/>
        </w:rPr>
        <w:t xml:space="preserve">Exemple 1 — Diagnostic clair : infection aiguë post-opératoire</w:t>
      </w:r>
      <w:r>
        <w:t xml:space="preserve"> </w:t>
      </w:r>
      <w:r>
        <w:t xml:space="preserve">&gt; M. Faure, 60 ans, PTG droite à J10 post-opératoire. Fièvre 39°C, genou rouge, tendu, douloureux.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Critère majeur</w:t>
      </w:r>
      <w:r>
        <w:t xml:space="preserve"> </w:t>
      </w:r>
      <w:r>
        <w:t xml:space="preserve">: pas de fistule, pas encore de cultures peropératoires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Critères mineurs</w:t>
      </w:r>
      <w:r>
        <w:t xml:space="preserve"> </w:t>
      </w:r>
      <w:r>
        <w:t xml:space="preserve">:</w:t>
      </w:r>
      <w:r>
        <w:t xml:space="preserve"> </w:t>
      </w:r>
      <w:r>
        <w:t xml:space="preserve">&gt; - CRP = 210 mg/L → 2 pts</w:t>
      </w:r>
      <w:r>
        <w:t xml:space="preserve"> </w:t>
      </w:r>
      <w:r>
        <w:t xml:space="preserve">&gt; - D-dimères = 3500 ng/mL → 2 pts (attention : D-dimères élevés aussi en post-op récent, à interpréter avec prudence)</w:t>
      </w:r>
      <w:r>
        <w:t xml:space="preserve"> </w:t>
      </w:r>
      <w:r>
        <w:t xml:space="preserve">&gt; - VS = 85 mm/h → 1 pt</w:t>
      </w:r>
      <w:r>
        <w:t xml:space="preserve"> </w:t>
      </w:r>
      <w:r>
        <w:t xml:space="preserve">&gt; - Ponction : leucocytes synoviaux = 65 000/μL → 3 pts</w:t>
      </w:r>
      <w:r>
        <w:t xml:space="preserve"> </w:t>
      </w:r>
      <w:r>
        <w:t xml:space="preserve">&gt; - Alpha-défensine = positive → 3 pts</w:t>
      </w:r>
      <w:r>
        <w:t xml:space="preserve"> </w:t>
      </w:r>
      <w:r>
        <w:t xml:space="preserve">&gt; - % PNN synoviaux = 95% → 2 pts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Total = 13 points → INFECTÉ</w:t>
      </w:r>
      <w:r>
        <w:t xml:space="preserve"> </w:t>
      </w:r>
      <w:r>
        <w:t xml:space="preserve">(largement au-dessus du seuil de 6)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DAIR en urgence</w:t>
      </w:r>
    </w:p>
    <w:p>
      <w:pPr>
        <w:pStyle w:val="BodyText"/>
      </w:pPr>
      <w:r>
        <w:rPr>
          <w:b/>
          <w:bCs/>
        </w:rPr>
        <w:t xml:space="preserve">Exemple 2 — Zone grise diagnostique</w:t>
      </w:r>
      <w:r>
        <w:t xml:space="preserve"> </w:t>
      </w:r>
      <w:r>
        <w:t xml:space="preserve">&gt; Mme Collet, 68 ans, PTH gauche à 14 mois. Douleur à la marche, légère boiterie. Pas de fièvre, pas de rougeur.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Pas de critère majeur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Critères mineurs</w:t>
      </w:r>
      <w:r>
        <w:t xml:space="preserve"> </w:t>
      </w:r>
      <w:r>
        <w:t xml:space="preserve">:</w:t>
      </w:r>
      <w:r>
        <w:t xml:space="preserve"> </w:t>
      </w:r>
      <w:r>
        <w:t xml:space="preserve">&gt; - CRP = 12 mg/L → 2 pts (juste au-dessus du seuil)</w:t>
      </w:r>
      <w:r>
        <w:t xml:space="preserve"> </w:t>
      </w:r>
      <w:r>
        <w:t xml:space="preserve">&gt; - D-dimères = 750 ng/mL → 0 pt (&lt; 860)</w:t>
      </w:r>
      <w:r>
        <w:t xml:space="preserve"> </w:t>
      </w:r>
      <w:r>
        <w:t xml:space="preserve">&gt; - VS = 35 mm/h → 1 pt</w:t>
      </w:r>
      <w:r>
        <w:t xml:space="preserve"> </w:t>
      </w:r>
      <w:r>
        <w:t xml:space="preserve">&gt; - Ponction articulaire sèche (pas de liquide récupéré)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Total = 3 points → NON INFECTÉ</w:t>
      </w:r>
      <w:r>
        <w:t xml:space="preserve"> </w:t>
      </w:r>
      <w:r>
        <w:t xml:space="preserve">d’après le score</w:t>
      </w:r>
      <w:r>
        <w:t xml:space="preserve"> </w:t>
      </w:r>
      <w:r>
        <w:t xml:space="preserve">&gt; - MAIS la ponction était sèche → pas de marqueurs synoviaux disponibles → score potentiellement sous-estimé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nouvelle ponction écho-guidée, ou arthrographie + ponction. Si faisable :</w:t>
      </w:r>
      <w:r>
        <w:t xml:space="preserve"> </w:t>
      </w:r>
      <w:r>
        <w:t xml:space="preserve">&gt; - Leucocytes synoviaux = 5 200/μL → +3 pts → total passe à</w:t>
      </w:r>
      <w:r>
        <w:t xml:space="preserve"> </w:t>
      </w:r>
      <w:r>
        <w:rPr>
          <w:b/>
          <w:bCs/>
        </w:rPr>
        <w:t xml:space="preserve">6 → INFECTÉ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une ponction sèche est un piège. NE PAS conclure « non infecté » sans les marqueurs synoviaux.</w:t>
      </w:r>
    </w:p>
    <w:p>
      <w:pPr>
        <w:pStyle w:val="BodyText"/>
      </w:pPr>
      <w:r>
        <w:rPr>
          <w:b/>
          <w:bCs/>
        </w:rPr>
        <w:t xml:space="preserve">Exemple 3 — Critère majeur seul suffit</w:t>
      </w:r>
      <w:r>
        <w:t xml:space="preserve"> </w:t>
      </w:r>
      <w:r>
        <w:t xml:space="preserve">&gt; M. Benali, 75 ans, PTG à 3 ans. Fistule productive en regard du bord médial du genou depuis 2 mois. Écoulement clair, non purulent.</w:t>
      </w:r>
      <w:r>
        <w:t xml:space="preserve"> </w:t>
      </w:r>
      <w:r>
        <w:t xml:space="preserve">&gt; - CRP = 15 mg/L (modérément élevée)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Fistule = critère MAJEUR → infection CONFIRMÉE d’emblée</w:t>
      </w:r>
      <w:r>
        <w:t xml:space="preserve"> </w:t>
      </w:r>
      <w:r>
        <w:t xml:space="preserve">&gt; - Pas besoin de calculer le score mineur, pas besoin de ponction, pas besoin d’alpha-défensine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changement prothétique en 2 temps (fistule = facteur d’échec du DAIR)</w:t>
      </w:r>
    </w:p>
    <w:p>
      <w:pPr>
        <w:pStyle w:val="BodyText"/>
      </w:pPr>
      <w:r>
        <w:rPr>
          <w:b/>
          <w:bCs/>
        </w:rPr>
        <w:t xml:space="preserve">Exemple 4 — Infection à germe bas-grade : le diagnostic difficile</w:t>
      </w:r>
      <w:r>
        <w:t xml:space="preserve"> </w:t>
      </w:r>
      <w:r>
        <w:t xml:space="preserve">&gt; Mme Werner, 55 ans, PTH douloureuse à 2 ans. Douleur sourde, permanente, jamais de fièvre. Pas de rougeur, pas d’écoulement.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Critères mineurs</w:t>
      </w:r>
      <w:r>
        <w:t xml:space="preserve"> </w:t>
      </w:r>
      <w:r>
        <w:t xml:space="preserve">:</w:t>
      </w:r>
      <w:r>
        <w:t xml:space="preserve"> </w:t>
      </w:r>
      <w:r>
        <w:t xml:space="preserve">&gt; - CRP = 8 mg/L → 0 pt (&lt; 10 → sous le seuil !)</w:t>
      </w:r>
      <w:r>
        <w:t xml:space="preserve"> </w:t>
      </w:r>
      <w:r>
        <w:t xml:space="preserve">&gt; - D-dimères = 920 ng/mL → 2 pts</w:t>
      </w:r>
      <w:r>
        <w:t xml:space="preserve"> </w:t>
      </w:r>
      <w:r>
        <w:t xml:space="preserve">&gt; - VS = 28 mm/h → 0 pt (&lt; 30)</w:t>
      </w:r>
      <w:r>
        <w:t xml:space="preserve"> </w:t>
      </w:r>
      <w:r>
        <w:t xml:space="preserve">&gt; - Leucocytes synoviaux = 2 800/μL → 0 pt (&lt; 3000 — juste sous le seuil !)</w:t>
      </w:r>
      <w:r>
        <w:t xml:space="preserve"> </w:t>
      </w:r>
      <w:r>
        <w:t xml:space="preserve">&gt; - Alpha-défensine ELISA = 5.8 mg/L → 3 pts (&gt; 5.2 → positif)</w:t>
      </w:r>
      <w:r>
        <w:t xml:space="preserve"> </w:t>
      </w:r>
      <w:r>
        <w:t xml:space="preserve">&gt; - % PNN = 78% → 0 pt (&lt; 80)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Total = 5 points → POSSIBLEMENT INFECTÉ</w:t>
      </w:r>
      <w:r>
        <w:t xml:space="preserve"> </w:t>
      </w:r>
      <w:r>
        <w:t xml:space="preserve">(zone grise 4-5 pts)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prélèvements peropératoires indiqués. Biopsie synoviale sous arthroscopie.</w:t>
      </w:r>
      <w:r>
        <w:t xml:space="preserve"> </w:t>
      </w:r>
      <w:r>
        <w:t xml:space="preserve">&gt; - Histologie : 8 PNN/champ (&gt; 5) → +3 pts → total =</w:t>
      </w:r>
      <w:r>
        <w:t xml:space="preserve"> </w:t>
      </w:r>
      <w:r>
        <w:rPr>
          <w:b/>
          <w:bCs/>
        </w:rPr>
        <w:t xml:space="preserve">8 → INFECTÉ</w:t>
      </w:r>
      <w:r>
        <w:t xml:space="preserve"> </w:t>
      </w:r>
      <w:r>
        <w:t xml:space="preserve">&gt; - Cultures :</w:t>
      </w:r>
      <w:r>
        <w:t xml:space="preserve"> </w:t>
      </w:r>
      <w:r>
        <w:rPr>
          <w:i/>
          <w:iCs/>
        </w:rPr>
        <w:t xml:space="preserve">Cutibacterium acnes</w:t>
      </w:r>
      <w:r>
        <w:t xml:space="preserve"> </w:t>
      </w:r>
      <w:r>
        <w:t xml:space="preserve">(3/5 positives à J10) → critère majeur → confirmé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les infections chroniques bas-grade (C. acnes, S. epidermidis) sont en dessous des seuils biologiques classiques. L’alpha-défensine et l’histologie sont les meilleurs outils pour ces cas limites.</w:t>
      </w:r>
    </w:p>
    <w:p>
      <w:pPr>
        <w:pStyle w:val="BodyText"/>
      </w:pPr>
      <w:r>
        <w:rPr>
          <w:b/>
          <w:bCs/>
        </w:rPr>
        <w:t xml:space="preserve">Exemple 5 — Diagnostic rapide avec la bandelette au bloc</w:t>
      </w:r>
      <w:r>
        <w:t xml:space="preserve"> </w:t>
      </w:r>
      <w:r>
        <w:t xml:space="preserve">&gt; M. Torres, 70 ans, révision de PTG supposée « mécanique ». Le chirurgien suspecte une infection en peropératoire (tissus inflammatoires).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Chronologie au bloc</w:t>
      </w:r>
      <w:r>
        <w:t xml:space="preserve"> </w:t>
      </w:r>
      <w:r>
        <w:t xml:space="preserve">:</w:t>
      </w:r>
      <w:r>
        <w:t xml:space="preserve"> </w:t>
      </w:r>
      <w:r>
        <w:t xml:space="preserve">&gt; - 14h00 : ouverture articulaire → tissu inflammatoire, pas de pus</w:t>
      </w:r>
      <w:r>
        <w:t xml:space="preserve"> </w:t>
      </w:r>
      <w:r>
        <w:t xml:space="preserve">&gt; - 14h05 : prélèvement liquide synovial + 5 biopsies +</w:t>
      </w:r>
      <w:r>
        <w:t xml:space="preserve"> </w:t>
      </w:r>
      <w:r>
        <w:rPr>
          <w:b/>
          <w:bCs/>
        </w:rPr>
        <w:t xml:space="preserve">bandelette Synovasure®</w:t>
      </w:r>
      <w:r>
        <w:t xml:space="preserve"> </w:t>
      </w:r>
      <w:r>
        <w:t xml:space="preserve">&gt; - 14h15 :</w:t>
      </w:r>
      <w:r>
        <w:t xml:space="preserve"> </w:t>
      </w:r>
      <w:r>
        <w:rPr>
          <w:b/>
          <w:bCs/>
        </w:rPr>
        <w:t xml:space="preserve">Synovasure® = POSITIF</w:t>
      </w:r>
      <w:r>
        <w:t xml:space="preserve"> </w:t>
      </w:r>
      <w:r>
        <w:t xml:space="preserve">&gt; - 14h20 :</w:t>
      </w:r>
      <w:r>
        <w:t xml:space="preserve"> </w:t>
      </w:r>
      <w:r>
        <w:rPr>
          <w:b/>
          <w:bCs/>
        </w:rPr>
        <w:t xml:space="preserve">décision immédiate</w:t>
      </w:r>
      <w:r>
        <w:t xml:space="preserve"> </w:t>
      </w:r>
      <w:r>
        <w:t xml:space="preserve">→ changement en 2 temps au lieu de la révision simple prévue</w:t>
      </w:r>
      <w:r>
        <w:t xml:space="preserve"> </w:t>
      </w:r>
      <w:r>
        <w:t xml:space="preserve">&gt; - 14h30 : explantation de la prothèse, mise en place d’un spacer PMMA + vancomycine + gentamicine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J5</w:t>
      </w:r>
      <w:r>
        <w:t xml:space="preserve"> </w:t>
      </w:r>
      <w:r>
        <w:t xml:space="preserve">: cultures →</w:t>
      </w:r>
      <w:r>
        <w:t xml:space="preserve"> </w:t>
      </w:r>
      <w:r>
        <w:rPr>
          <w:i/>
          <w:iCs/>
        </w:rPr>
        <w:t xml:space="preserve">S. epidermidis</w:t>
      </w:r>
      <w:r>
        <w:t xml:space="preserve"> </w:t>
      </w:r>
      <w:r>
        <w:t xml:space="preserve">résistant à la méticilline sur 3/5 prélèvements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: le résultat de la bandelette en 10 minutes a modifié la stratégie chirurgicale en temps réel et évité un échec prévisible.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1"/>
        <w:gridCol w:w="1340"/>
        <w:gridCol w:w="1584"/>
        <w:gridCol w:w="1584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/ Critères</w:t>
            </w:r>
          </w:p>
        </w:tc>
        <w:tc>
          <w:tcPr/>
          <w:p>
            <w:pPr>
              <w:pStyle w:val="Compact"/>
            </w:pPr>
            <w:r>
              <w:t xml:space="preserve">Composants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MSIS 2011</w:t>
            </w:r>
          </w:p>
        </w:tc>
        <w:tc>
          <w:tcPr/>
          <w:p>
            <w:pPr>
              <w:pStyle w:val="Compact"/>
            </w:pPr>
            <w:r>
              <w:t xml:space="preserve">CRP, VS, leuco synovial, % PNN, culture, histologie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78-99%</w:t>
            </w:r>
          </w:p>
        </w:tc>
        <w:tc>
          <w:tcPr/>
          <w:p>
            <w:pPr>
              <w:pStyle w:val="Compact"/>
            </w:pPr>
            <w:r>
              <w:t xml:space="preserve">Parvizi et al. 2011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 2018</w:t>
            </w:r>
          </w:p>
        </w:tc>
        <w:tc>
          <w:tcPr/>
          <w:p>
            <w:pPr>
              <w:pStyle w:val="Compact"/>
            </w:pPr>
            <w:r>
              <w:t xml:space="preserve">CRP, D-dimères, VS, leuco synovial, alpha-défensine, leukocyte esterase, % PNN, culture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Parvizi et al. 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WAIOT 2019</w:t>
            </w:r>
          </w:p>
        </w:tc>
        <w:tc>
          <w:tcPr/>
          <w:p>
            <w:pPr>
              <w:pStyle w:val="Compact"/>
            </w:pPr>
            <w:r>
              <w:t xml:space="preserve">CRP + VS + imagerie + clinique + microbiologie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Romano et al. 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Tsukayama</w:t>
            </w:r>
          </w:p>
        </w:tc>
        <w:tc>
          <w:tcPr/>
          <w:p>
            <w:pPr>
              <w:pStyle w:val="Compact"/>
            </w:pPr>
            <w:r>
              <w:t xml:space="preserve">Clinique + délai + culture peropératoire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Classification pronostique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Tsukayama 1996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Critères de McPherson</w:t>
            </w:r>
          </w:p>
        </w:tc>
        <w:tc>
          <w:tcPr/>
          <w:p>
            <w:pPr>
              <w:pStyle w:val="Compact"/>
            </w:pPr>
            <w:r>
              <w:t xml:space="preserve">Terrain + type infection + état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pronostique chirurgical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McPherson 2002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9" w:name="small-colony-variants-scv"/>
    <w:p>
      <w:pPr>
        <w:pStyle w:val="Heading2"/>
      </w:pPr>
      <w:r>
        <w:t xml:space="preserve">14. Small Colony Variants (SCV)</w:t>
      </w:r>
    </w:p>
    <w:bookmarkStart w:id="84" w:name="définition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Small Colony Variants</w:t>
      </w:r>
      <w:r>
        <w:t xml:space="preserve"> </w:t>
      </w:r>
      <w:r>
        <w:t xml:space="preserve">sont des sous-populations bactériennes phénotypiquement modifiées, caractérisées par une croissance très lente et des colonies anormalement petites (environ 1/10 de la taille normale) sur milieu de culture standard.</w:t>
      </w:r>
    </w:p>
    <w:bookmarkEnd w:id="84"/>
    <w:bookmarkStart w:id="85" w:name="aspect-macroscopique-sur-la-gélose"/>
    <w:p>
      <w:pPr>
        <w:pStyle w:val="Heading3"/>
      </w:pPr>
      <w:r>
        <w:t xml:space="preserve">Aspect macroscopique (sur la gélose)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7"/>
        <w:gridCol w:w="3895"/>
        <w:gridCol w:w="19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Phénotype normal</w:t>
            </w:r>
            <w:r>
              <w:t xml:space="preserve"> </w:t>
            </w:r>
            <w:r>
              <w:rPr>
                <w:i/>
                <w:iCs/>
              </w:rPr>
              <w:t xml:space="preserve">S. aureus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Phénotype SCV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Taille des colonies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2-4 mm à 24h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&lt; 1 mm</w:t>
            </w:r>
            <w:r>
              <w:t xml:space="preserve"> </w:t>
            </w:r>
            <w:r>
              <w:t xml:space="preserve">(souvent 0.1-0.3 mm), même après 48-72h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Dorée (staphyloxanthine)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Blanche, grisâtre, non pigmentée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Hémolyse</w:t>
            </w:r>
            <w:r>
              <w:t xml:space="preserve"> </w:t>
            </w:r>
            <w:r>
              <w:t xml:space="preserve">(gélose au sang)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β-hémolyse franche (halo clair)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Absente ou très réduite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 de la colonie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Bombée, opaque, lisse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Plate, translucide, « fried egg »</w:t>
            </w:r>
            <w:r>
              <w:t xml:space="preserve"> </w:t>
            </w:r>
            <w:r>
              <w:t xml:space="preserve">(œuf au plat)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Absente ou modifiée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d’apparition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18-24h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48-72h</w:t>
            </w:r>
            <w:r>
              <w:t xml:space="preserve">, parfois</w:t>
            </w:r>
            <w:r>
              <w:t xml:space="preserve"> </w:t>
            </w:r>
            <w:r>
              <w:rPr>
                <w:b/>
                <w:bCs/>
              </w:rPr>
              <w:t xml:space="preserve">5-7 jours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Piège diagnostique majeur</w:t>
      </w:r>
      <w:r>
        <w:t xml:space="preserve"> </w:t>
      </w:r>
      <w:r>
        <w:t xml:space="preserve">: à 24h de culture, les SCV sont souvent</w:t>
      </w:r>
      <w:r>
        <w:t xml:space="preserve"> </w:t>
      </w:r>
      <w:r>
        <w:rPr>
          <w:b/>
          <w:bCs/>
        </w:rPr>
        <w:t xml:space="preserve">invisibles à l’œil nu</w:t>
      </w:r>
      <w:r>
        <w:t xml:space="preserve"> </w:t>
      </w:r>
      <w:r>
        <w:t xml:space="preserve">ou confondues avec des contaminants environnementaux.</w:t>
      </w:r>
    </w:p>
    <w:bookmarkEnd w:id="85"/>
    <w:bookmarkStart w:id="89" w:name="les-3-auxotrophies-classiques"/>
    <w:p>
      <w:pPr>
        <w:pStyle w:val="Heading3"/>
      </w:pPr>
      <w:r>
        <w:t xml:space="preserve">Les 3 auxotrophies classiques</w:t>
      </w:r>
    </w:p>
    <w:bookmarkStart w:id="86" w:name="scv-déficientes-en-ménadione-vitamine-k"/>
    <w:p>
      <w:pPr>
        <w:pStyle w:val="Heading4"/>
      </w:pPr>
      <w:r>
        <w:t xml:space="preserve">SCV déficientes en ménadione (vitamine 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Voie affectée</w:t>
            </w:r>
          </w:p>
        </w:tc>
        <w:tc>
          <w:tcPr/>
          <w:p>
            <w:pPr>
              <w:pStyle w:val="Compact"/>
            </w:pPr>
            <w:r>
              <w:t xml:space="preserve">Biosynthèse des ménaquinones (coenzyme de la chaîne respiratoire)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Conséquence</w:t>
            </w:r>
          </w:p>
        </w:tc>
        <w:tc>
          <w:tcPr/>
          <w:p>
            <w:pPr>
              <w:pStyle w:val="Compact"/>
            </w:pPr>
            <w:r>
              <w:t xml:space="preserve">↓↓ production d’ATP via la phosphorylation oxydative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Gènes mutés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menB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menC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menD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menE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menF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Réversion</w:t>
            </w:r>
          </w:p>
        </w:tc>
        <w:tc>
          <w:tcPr/>
          <w:p>
            <w:pPr>
              <w:pStyle w:val="Compact"/>
            </w:pPr>
            <w:r>
              <w:t xml:space="preserve">Croissance restaurée par ajout de</w:t>
            </w:r>
            <w:r>
              <w:t xml:space="preserve"> </w:t>
            </w:r>
            <w:r>
              <w:rPr>
                <w:b/>
                <w:bCs/>
              </w:rPr>
              <w:t xml:space="preserve">ménadione</w:t>
            </w:r>
            <w:r>
              <w:t xml:space="preserve"> </w:t>
            </w:r>
            <w:r>
              <w:t xml:space="preserve">au milieu de culture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diagnostique</w:t>
            </w:r>
          </w:p>
        </w:tc>
        <w:tc>
          <w:tcPr/>
          <w:p>
            <w:pPr>
              <w:pStyle w:val="Compact"/>
            </w:pPr>
            <w:r>
              <w:t xml:space="preserve">Stries croisées avec</w:t>
            </w:r>
            <w:r>
              <w:t xml:space="preserve"> </w:t>
            </w:r>
            <w:r>
              <w:rPr>
                <w:i/>
                <w:iCs/>
              </w:rPr>
              <w:t xml:space="preserve">S. aureus</w:t>
            </w:r>
            <w:r>
              <w:t xml:space="preserve"> </w:t>
            </w:r>
            <w:r>
              <w:t xml:space="preserve">producteur de ménadione → restauration de la croissance au croisement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La plus fréquente en clinique</w:t>
            </w:r>
          </w:p>
        </w:tc>
      </w:tr>
    </w:tbl>
    <w:bookmarkEnd w:id="86"/>
    <w:bookmarkStart w:id="87" w:name="scv-déficientes-en-hémine"/>
    <w:p>
      <w:pPr>
        <w:pStyle w:val="Heading4"/>
      </w:pPr>
      <w:r>
        <w:t xml:space="preserve">SCV déficientes en hémine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Voie affectée</w:t>
            </w:r>
          </w:p>
        </w:tc>
        <w:tc>
          <w:tcPr/>
          <w:p>
            <w:pPr>
              <w:pStyle w:val="Compact"/>
            </w:pPr>
            <w:r>
              <w:t xml:space="preserve">Biosynthèse de l’hème (cytochromes a et b de la chaîne respiratoire)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Conséquence</w:t>
            </w:r>
          </w:p>
        </w:tc>
        <w:tc>
          <w:tcPr/>
          <w:p>
            <w:pPr>
              <w:pStyle w:val="Compact"/>
            </w:pPr>
            <w:r>
              <w:t xml:space="preserve">↓↓ respiration aérobie, bascule vers fermentation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Gènes mutés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hemB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hemH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ctaA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Réversion</w:t>
            </w:r>
          </w:p>
        </w:tc>
        <w:tc>
          <w:tcPr/>
          <w:p>
            <w:pPr>
              <w:pStyle w:val="Compact"/>
            </w:pPr>
            <w:r>
              <w:t xml:space="preserve">Croissance restaurée par ajout d’</w:t>
            </w:r>
            <w:r>
              <w:rPr>
                <w:b/>
                <w:bCs/>
              </w:rPr>
              <w:t xml:space="preserve">hémine</w:t>
            </w:r>
            <w:r>
              <w:t xml:space="preserve"> </w:t>
            </w:r>
            <w:r>
              <w:t xml:space="preserve">ou de</w:t>
            </w:r>
            <w:r>
              <w:t xml:space="preserve"> </w:t>
            </w:r>
            <w:r>
              <w:rPr>
                <w:b/>
                <w:bCs/>
              </w:rPr>
              <w:t xml:space="preserve">sang</w:t>
            </w:r>
            <w:r>
              <w:t xml:space="preserve"> </w:t>
            </w:r>
            <w:r>
              <w:t xml:space="preserve">au milieu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Fréquente, souvent en association avec déficit en ménadione</w:t>
            </w:r>
          </w:p>
        </w:tc>
      </w:tr>
    </w:tbl>
    <w:bookmarkEnd w:id="87"/>
    <w:bookmarkStart w:id="88" w:name="scv-déficientes-en-thymidine"/>
    <w:p>
      <w:pPr>
        <w:pStyle w:val="Heading4"/>
      </w:pPr>
      <w:r>
        <w:t xml:space="preserve">SCV déficientes en thymidine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Voie affectée</w:t>
            </w:r>
          </w:p>
        </w:tc>
        <w:tc>
          <w:tcPr/>
          <w:p>
            <w:pPr>
              <w:pStyle w:val="Compact"/>
            </w:pPr>
            <w:r>
              <w:t xml:space="preserve">Synthèse de la thymidine (nucléotide pour l’ADN)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Conséquence</w:t>
            </w:r>
          </w:p>
        </w:tc>
        <w:tc>
          <w:tcPr/>
          <w:p>
            <w:pPr>
              <w:pStyle w:val="Compact"/>
            </w:pPr>
            <w:r>
              <w:t xml:space="preserve">↓↓ réplication de l’ADN, division cellulaire ralentie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Gènes mutés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thyA</w:t>
            </w:r>
            <w:r>
              <w:t xml:space="preserve"> </w:t>
            </w:r>
            <w:r>
              <w:t xml:space="preserve">(thymidylate synthase)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Réversion</w:t>
            </w:r>
          </w:p>
        </w:tc>
        <w:tc>
          <w:tcPr/>
          <w:p>
            <w:pPr>
              <w:pStyle w:val="Compact"/>
            </w:pPr>
            <w:r>
              <w:t xml:space="preserve">Croissance restaurée par ajout de</w:t>
            </w:r>
            <w:r>
              <w:t xml:space="preserve"> </w:t>
            </w:r>
            <w:r>
              <w:rPr>
                <w:b/>
                <w:bCs/>
              </w:rPr>
              <w:t xml:space="preserve">thymidine</w:t>
            </w:r>
            <w:r>
              <w:t xml:space="preserve"> </w:t>
            </w:r>
            <w:r>
              <w:t xml:space="preserve">au milieu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Sélection</w:t>
            </w:r>
          </w:p>
        </w:tc>
        <w:tc>
          <w:tcPr/>
          <w:p>
            <w:pPr>
              <w:pStyle w:val="Compact"/>
            </w:pPr>
            <w:r>
              <w:t xml:space="preserve">Fortement sélectionnées par le</w:t>
            </w:r>
            <w:r>
              <w:t xml:space="preserve"> </w:t>
            </w:r>
            <w:r>
              <w:rPr>
                <w:b/>
                <w:bCs/>
              </w:rPr>
              <w:t xml:space="preserve">cotrimoxazole</w:t>
            </w:r>
            <w:r>
              <w:t xml:space="preserve"> </w:t>
            </w:r>
            <w:r>
              <w:t xml:space="preserve">(TMP-SMX) qui bloque la voie des folates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Particularité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Résistance au cotrimoxazole</w:t>
            </w:r>
            <w:r>
              <w:t xml:space="preserve"> </w:t>
            </w:r>
            <w:r>
              <w:t xml:space="preserve">car la bactérie utilise la thymidine exogène (des tissus humains)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Piège</w:t>
            </w:r>
          </w:p>
        </w:tc>
        <w:tc>
          <w:tcPr/>
          <w:p>
            <w:pPr>
              <w:pStyle w:val="Compact"/>
            </w:pPr>
            <w:r>
              <w:t xml:space="preserve">In vitro sur milieu sans thymidine → « sensible » à TMP-SMX. In vivo →</w:t>
            </w:r>
            <w:r>
              <w:t xml:space="preserve"> </w:t>
            </w:r>
            <w:r>
              <w:rPr>
                <w:b/>
                <w:bCs/>
              </w:rPr>
              <w:t xml:space="preserve">résistante</w:t>
            </w:r>
            <w:r>
              <w:t xml:space="preserve"> </w:t>
            </w:r>
            <w:r>
              <w:t xml:space="preserve">(thymidine tissulaire disponible)</w:t>
            </w:r>
          </w:p>
        </w:tc>
      </w:tr>
    </w:tbl>
    <w:bookmarkEnd w:id="88"/>
    <w:bookmarkEnd w:id="89"/>
    <w:bookmarkStart w:id="90" w:name="X60eae13b6bf0922a933bb8d64156a0e7c5ed6cb"/>
    <w:p>
      <w:pPr>
        <w:pStyle w:val="Heading3"/>
      </w:pPr>
      <w:r>
        <w:t xml:space="preserve">Résistance aux antibiotiques (phénotypique, non génétique)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909"/>
        <w:gridCol w:w="808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Antibiotique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Phénotype normal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SCV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Aminosides</w:t>
            </w:r>
            <w:r>
              <w:t xml:space="preserve"> </w:t>
            </w:r>
            <w:r>
              <w:t xml:space="preserve">(gentamicine, tobramycine)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RÉSISTANT</w:t>
            </w:r>
          </w:p>
        </w:tc>
        <w:tc>
          <w:tcPr/>
          <w:p>
            <w:pPr>
              <w:pStyle w:val="Compact"/>
            </w:pPr>
            <w:r>
              <w:t xml:space="preserve">↓↓ potentiel de membrane → pas de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Bêta-lactamines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Sensible (si MSSA)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RÉDUIT</w:t>
            </w:r>
          </w:p>
        </w:tc>
        <w:tc>
          <w:tcPr/>
          <w:p>
            <w:pPr>
              <w:pStyle w:val="Compact"/>
            </w:pPr>
            <w:r>
              <w:t xml:space="preserve">↓ croissance = ↓ cibles PBP actives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Cotrimoxazole</w:t>
            </w:r>
            <w:r>
              <w:t xml:space="preserve"> </w:t>
            </w:r>
            <w:r>
              <w:t xml:space="preserve">(TMP-SMX)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RÉSISTANT</w:t>
            </w:r>
            <w:r>
              <w:t xml:space="preserve"> </w:t>
            </w:r>
            <w:r>
              <w:t xml:space="preserve">(SCV thyA)</w:t>
            </w:r>
          </w:p>
        </w:tc>
        <w:tc>
          <w:tcPr/>
          <w:p>
            <w:pPr>
              <w:pStyle w:val="Compact"/>
            </w:pPr>
            <w:r>
              <w:t xml:space="preserve">In vivo, thymidine tissulaire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Rifampicine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SENSIBLE ✓</w:t>
            </w:r>
          </w:p>
        </w:tc>
        <w:tc>
          <w:tcPr/>
          <w:p>
            <w:pPr>
              <w:pStyle w:val="Compact"/>
            </w:pPr>
            <w:r>
              <w:t xml:space="preserve">Actif même sur métabolisme 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Daptomycine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SENSIBLE ✓</w:t>
            </w:r>
          </w:p>
        </w:tc>
        <w:tc>
          <w:tcPr/>
          <w:p>
            <w:pPr>
              <w:pStyle w:val="Compact"/>
            </w:pPr>
            <w:r>
              <w:t xml:space="preserve">Membrane intacte, actif en intracellulaire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Linézolide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SENSIBLE ✓</w:t>
            </w:r>
          </w:p>
        </w:tc>
        <w:tc>
          <w:tcPr/>
          <w:p>
            <w:pPr>
              <w:pStyle w:val="Compact"/>
            </w:pPr>
            <w:r>
              <w:t xml:space="preserve">Actif sur ribosome 50S, bonne pénétration intracellulaire</w:t>
            </w:r>
          </w:p>
        </w:tc>
      </w:tr>
    </w:tbl>
    <w:bookmarkEnd w:id="90"/>
    <w:bookmarkStart w:id="91" w:name="facteurs-de-virulence"/>
    <w:p>
      <w:pPr>
        <w:pStyle w:val="Heading3"/>
      </w:pPr>
      <w:r>
        <w:t xml:space="preserve">Facteurs de virulence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4455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Phénotype normal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α-toxine</w:t>
            </w:r>
            <w:r>
              <w:t xml:space="preserve"> </w:t>
            </w:r>
            <w:r>
              <w:t xml:space="preserve">(hémolysine)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</w:t>
            </w:r>
            <w:r>
              <w:t xml:space="preserve"> </w:t>
            </w:r>
            <w:r>
              <w:t xml:space="preserve">ou traces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Protéine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Coagulase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↓</w:t>
            </w:r>
            <w:r>
              <w:t xml:space="preserve"> </w:t>
            </w:r>
            <w:r>
              <w:t xml:space="preserve">(test en tube peut être retardé)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Staphyloxanthine</w:t>
            </w:r>
            <w:r>
              <w:t xml:space="preserve"> </w:t>
            </w:r>
            <w:r>
              <w:t xml:space="preserve">(pigment)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+++ (colonies dorées)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</w:t>
            </w:r>
            <w:r>
              <w:t xml:space="preserve"> </w:t>
            </w:r>
            <w:r>
              <w:t xml:space="preserve">(colonies blanches)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Biofilm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  <w:r>
              <w:t xml:space="preserve"> </w:t>
            </w:r>
            <w:r>
              <w:t xml:space="preserve">(formation accrue 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Protéines d’adhésion</w:t>
            </w:r>
            <w:r>
              <w:t xml:space="preserve"> </w:t>
            </w:r>
            <w:r>
              <w:t xml:space="preserve">(FnBP)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  <w:r>
              <w:t xml:space="preserve"> </w:t>
            </w:r>
            <w:r>
              <w:t xml:space="preserve">(adhérence accrue)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Invasion cellulaire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(faible)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  <w:r>
              <w:t xml:space="preserve"> </w:t>
            </w:r>
            <w:r>
              <w:t xml:space="preserve">(invasion massive des ostéoblastes)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Paradoxe des SCV</w:t>
      </w:r>
      <w:r>
        <w:t xml:space="preserve"> </w:t>
      </w:r>
      <w:r>
        <w:t xml:space="preserve">: virulence extracellulaire réduite (moins de toxines → infection « silencieuse ») MAIS capacité d’invasion et de persistance intracellulaire considérablement augmentée.</w:t>
      </w:r>
    </w:p>
    <w:bookmarkEnd w:id="91"/>
    <w:bookmarkStart w:id="92" w:name="invasion-et-persistance-intracellulaire"/>
    <w:p>
      <w:pPr>
        <w:pStyle w:val="Heading3"/>
      </w:pPr>
      <w:r>
        <w:t xml:space="preserve">Invasion et persistance intracellulaire</w:t>
      </w:r>
    </w:p>
    <w:p>
      <w:pPr>
        <w:pStyle w:val="FirstParagraph"/>
      </w:pPr>
      <w:r>
        <w:t xml:space="preserve">Les SCV se réfugient</w:t>
      </w:r>
      <w:r>
        <w:t xml:space="preserve"> </w:t>
      </w:r>
      <w:r>
        <w:rPr>
          <w:b/>
          <w:bCs/>
        </w:rPr>
        <w:t xml:space="preserve">à l’intérieur des ostéoblastes, ostéocytes et cellules endothéliales</w:t>
      </w:r>
      <w:r>
        <w:t xml:space="preserve"> </w:t>
      </w:r>
      <w:r>
        <w:t xml:space="preserve">via la liaison FnBP-A/B → intégrine α5β1. Elles survivent dans le phagosome sans produire de toxines lytiques, échappant ainsi au système immunitaire et à la plupart des antibiotiques extracellulaires. Seuls la rifampicine, le linézolide et la daptomycine pénètrent suffisamment pour atteindre les SCV intracellulaires.</w:t>
      </w:r>
    </w:p>
    <w:bookmarkEnd w:id="92"/>
    <w:bookmarkStart w:id="93" w:name="germes-les-plus-fréquemment-en-scv"/>
    <w:p>
      <w:pPr>
        <w:pStyle w:val="Heading3"/>
      </w:pPr>
      <w:r>
        <w:t xml:space="preserve">Germes les plus fréquemment en SCV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Bactérie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Fréquence SCV en IOA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Le plus fréquent</w:t>
            </w:r>
            <w:r>
              <w:t xml:space="preserve"> </w:t>
            </w:r>
            <w:r>
              <w:t xml:space="preserve">— modèle de référence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S. epidermidis</w:t>
            </w:r>
            <w:r>
              <w:t xml:space="preserve"> </w:t>
            </w:r>
            <w:r>
              <w:t xml:space="preserve">/ SCN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Fréquent sur matériel prothétique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Pseudomonas aeruginosa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Rare, décrit dans l’ostéomyélite chronique</w:t>
            </w:r>
          </w:p>
        </w:tc>
      </w:tr>
    </w:tbl>
    <w:bookmarkEnd w:id="93"/>
    <w:bookmarkStart w:id="94" w:name="implications-cliniques-en-ioa"/>
    <w:p>
      <w:pPr>
        <w:pStyle w:val="Heading3"/>
      </w:pPr>
      <w:r>
        <w:t xml:space="preserve">Implications cliniques en IOA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Impact des SCV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IOA chronique avec cultures négatives</w:t>
            </w:r>
          </w:p>
        </w:tc>
        <w:tc>
          <w:tcPr/>
          <w:p>
            <w:pPr>
              <w:pStyle w:val="Compact"/>
            </w:pPr>
            <w:r>
              <w:t xml:space="preserve">Penser aux SCV ! Prolonger les cultures à</w:t>
            </w:r>
            <w:r>
              <w:t xml:space="preserve"> </w:t>
            </w:r>
            <w:r>
              <w:rPr>
                <w:b/>
                <w:bCs/>
              </w:rPr>
              <w:t xml:space="preserve">14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Rechute après traitement bien conduit</w:t>
            </w:r>
          </w:p>
        </w:tc>
        <w:tc>
          <w:tcPr/>
          <w:p>
            <w:pPr>
              <w:pStyle w:val="Compact"/>
            </w:pPr>
            <w:r>
              <w:t xml:space="preserve">SCV intracellulaires libérées après arrêt des antibiotiques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Guérison » apparente puis récidive à distance</w:t>
            </w:r>
          </w:p>
        </w:tc>
        <w:tc>
          <w:tcPr/>
          <w:p>
            <w:pPr>
              <w:pStyle w:val="Compact"/>
            </w:pPr>
            <w:r>
              <w:t xml:space="preserve">Réversion phénotypique : SCV → phénotype normal virulent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Échec du DAIR</w:t>
            </w:r>
          </w:p>
        </w:tc>
        <w:tc>
          <w:tcPr/>
          <w:p>
            <w:pPr>
              <w:pStyle w:val="Compact"/>
            </w:pPr>
            <w:r>
              <w:t xml:space="preserve">SCV dans le biofilm résiduel, non éradiquées</w:t>
            </w:r>
          </w:p>
        </w:tc>
      </w:tr>
    </w:tbl>
    <w:bookmarkEnd w:id="94"/>
    <w:bookmarkStart w:id="95" w:name="X6c1dc1062da241a0e2ef27d4d0275de8f802a29"/>
    <w:p>
      <w:pPr>
        <w:pStyle w:val="Heading3"/>
      </w:pPr>
      <w:r>
        <w:t xml:space="preserve">Réversion phénotypique — Le danger clinique</w:t>
      </w:r>
    </w:p>
    <w:p>
      <w:pPr>
        <w:pStyle w:val="FirstParagraph"/>
      </w:pPr>
      <w:r>
        <w:t xml:space="preserve">Le phénotype SCV est</w:t>
      </w:r>
      <w:r>
        <w:t xml:space="preserve"> </w:t>
      </w:r>
      <w:r>
        <w:rPr>
          <w:b/>
          <w:bCs/>
        </w:rPr>
        <w:t xml:space="preserve">réversible</w:t>
      </w:r>
      <w:r>
        <w:t xml:space="preserve"> </w:t>
      </w:r>
      <w:r>
        <w:t xml:space="preserve">: en retirant la pression de sélection (arrêt des antibiotiques), la bactérie peut reverter au phénotype normal et redevenir pleinement virulente, provoquant une</w:t>
      </w:r>
      <w:r>
        <w:t xml:space="preserve"> </w:t>
      </w:r>
      <w:r>
        <w:rPr>
          <w:b/>
          <w:bCs/>
        </w:rPr>
        <w:t xml:space="preserve">rechute clinique</w:t>
      </w:r>
      <w:r>
        <w:t xml:space="preserve"> </w:t>
      </w:r>
      <w:r>
        <w:t xml:space="preserve">à 3, 6, 12 mois après une « guérison » apparente.</w:t>
      </w:r>
    </w:p>
    <w:bookmarkEnd w:id="95"/>
    <w:bookmarkStart w:id="97" w:name="identification-au-laboratoire"/>
    <w:p>
      <w:pPr>
        <w:pStyle w:val="Heading3"/>
      </w:pPr>
      <w:r>
        <w:t xml:space="preserve">Identification au laboratoire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4364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Capacité de détection SCV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 standard 24h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FAIBLE</w:t>
            </w:r>
            <w:r>
              <w:t xml:space="preserve"> </w:t>
            </w:r>
            <w:r>
              <w:t xml:space="preserve">— souvent ratées</w:t>
            </w:r>
          </w:p>
        </w:tc>
        <w:tc>
          <w:tcPr/>
          <w:p>
            <w:pPr>
              <w:pStyle w:val="Compact"/>
            </w:pPr>
            <w:r>
              <w:t xml:space="preserve">Colonies trop petites pour être vues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 prolongée 5-14 jours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BONNE</w:t>
            </w:r>
          </w:p>
        </w:tc>
        <w:tc>
          <w:tcPr/>
          <w:p>
            <w:pPr>
              <w:pStyle w:val="Compact"/>
            </w:pPr>
            <w:r>
              <w:t xml:space="preserve">Protocole recommandé en IOA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Milieu enrichi</w:t>
            </w:r>
            <w:r>
              <w:t xml:space="preserve"> </w:t>
            </w:r>
            <w:r>
              <w:t xml:space="preserve">(hémine + ménadione)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EXCELLENTE</w:t>
            </w:r>
          </w:p>
        </w:tc>
        <w:tc>
          <w:tcPr/>
          <w:p>
            <w:pPr>
              <w:pStyle w:val="Compact"/>
            </w:pPr>
            <w:r>
              <w:t xml:space="preserve">Restaure la croissance normale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MALDI-TOF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Spectre altéré, base de données parfois insuffisante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PCR universelle 16S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EXCELLENTE</w:t>
            </w:r>
          </w:p>
        </w:tc>
        <w:tc>
          <w:tcPr/>
          <w:p>
            <w:pPr>
              <w:pStyle w:val="Compact"/>
            </w:pPr>
            <w:r>
              <w:t xml:space="preserve">Détecte l’ADN bactérien indépendamment du phénotype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Sonication du matériel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TRÈS BONNE</w:t>
            </w:r>
          </w:p>
        </w:tc>
        <w:tc>
          <w:tcPr/>
          <w:p>
            <w:pPr>
              <w:pStyle w:val="Compact"/>
            </w:pPr>
            <w:r>
              <w:t xml:space="preserve">Détache les SCV du biofilm → augmente la sensibilité</w:t>
            </w:r>
          </w:p>
        </w:tc>
      </w:tr>
    </w:tbl>
    <w:bookmarkStart w:id="96" w:name="X8238e5f41481499d198d70fad7e966a8b8d265b"/>
    <w:p>
      <w:pPr>
        <w:pStyle w:val="Heading4"/>
      </w:pPr>
      <w:r>
        <w:t xml:space="preserve">Test d’auxotrophie (identification du sous-type SCV)</w:t>
      </w:r>
    </w:p>
    <w:p>
      <w:pPr>
        <w:pStyle w:val="FirstParagraph"/>
      </w:pPr>
      <w:r>
        <w:t xml:space="preserve">Sur une gélose Mueller-Hinton, déposer 3 disques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Hémine</w:t>
      </w:r>
      <w:r>
        <w:t xml:space="preserve"> </w:t>
      </w:r>
      <w:r>
        <w:t xml:space="preserve">→ si croissance autour = SCV hémine-dépendante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Ménadione</w:t>
      </w:r>
      <w:r>
        <w:t xml:space="preserve"> </w:t>
      </w:r>
      <w:r>
        <w:t xml:space="preserve">→ si croissance autour = SCV ménadione-dépendante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Thymidine</w:t>
      </w:r>
      <w:r>
        <w:t xml:space="preserve"> </w:t>
      </w:r>
      <w:r>
        <w:t xml:space="preserve">→ si croissance autour = SCV thymidine-dépendante</w:t>
      </w:r>
    </w:p>
    <w:bookmarkEnd w:id="96"/>
    <w:bookmarkEnd w:id="97"/>
    <w:bookmarkStart w:id="98" w:name="X0fa9a3c5ff06f9474ced162f5941adfdb5acd19"/>
    <w:p>
      <w:pPr>
        <w:pStyle w:val="Heading3"/>
      </w:pPr>
      <w:r>
        <w:t xml:space="preserve">Exemples pratiques — SCV en situation clinique</w:t>
      </w:r>
    </w:p>
    <w:p>
      <w:pPr>
        <w:pStyle w:val="FirstParagraph"/>
      </w:pPr>
      <w:r>
        <w:rPr>
          <w:b/>
          <w:bCs/>
        </w:rPr>
        <w:t xml:space="preserve">Exemple 1 — Cultures négatives malgré une infection évidente</w:t>
      </w:r>
      <w:r>
        <w:t xml:space="preserve"> </w:t>
      </w:r>
      <w:r>
        <w:t xml:space="preserve">&gt; Mme Laurent, 62 ans, PTH gauche à 18 mois. Douleur chronique, CRP fluctuante entre 8 et 15 mg/L. Ponction articulaire : leucocytes synoviaux = 4 200/μL, cultures standard négatives à 48h. Alpha-défensine ELISA = 6.1 mg/L (positive).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Problème</w:t>
      </w:r>
      <w:r>
        <w:t xml:space="preserve"> </w:t>
      </w:r>
      <w:r>
        <w:t xml:space="preserve">: cultures négatives mais alpha-défensine positive → discordance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reprise chirurgicale (changement en 2 temps). Prélèvements peropératoires mis en culture</w:t>
      </w:r>
      <w:r>
        <w:t xml:space="preserve"> </w:t>
      </w:r>
      <w:r>
        <w:rPr>
          <w:b/>
          <w:bCs/>
        </w:rPr>
        <w:t xml:space="preserve">14 jours</w:t>
      </w:r>
      <w:r>
        <w:t xml:space="preserve"> </w:t>
      </w:r>
      <w:r>
        <w:t xml:space="preserve">sur milieux enrichis.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J7</w:t>
      </w:r>
      <w:r>
        <w:t xml:space="preserve"> </w:t>
      </w:r>
      <w:r>
        <w:t xml:space="preserve">: apparition de colonies minuscules, non pigmentées sur un prélèvement. J10 : 3/5 prélèvements positifs.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Identification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phénotype SCV, déficit en ménadione confirmé par test d’auxotrophie.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Antibiogramme</w:t>
      </w:r>
      <w:r>
        <w:t xml:space="preserve"> </w:t>
      </w:r>
      <w:r>
        <w:t xml:space="preserve">: sensible rifampicine, résistant gentamicine (phénotypique, pas de gène de résistance).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Traitement</w:t>
      </w:r>
      <w:r>
        <w:t xml:space="preserve"> </w:t>
      </w:r>
      <w:r>
        <w:t xml:space="preserve">: rifampicine + daptomycine 6 semaines, puis rifampicine + lévofloxacine orale 3 mois.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sans la culture prolongée à 14 jours, cette infection serait restée « à cultures négatives ».</w:t>
      </w:r>
    </w:p>
    <w:p>
      <w:pPr>
        <w:pStyle w:val="BodyText"/>
      </w:pPr>
      <w:r>
        <w:rPr>
          <w:b/>
          <w:bCs/>
        </w:rPr>
        <w:t xml:space="preserve">Exemple 2 — Rechute tardive après DAIR réussi</w:t>
      </w:r>
      <w:r>
        <w:t xml:space="preserve"> </w:t>
      </w:r>
      <w:r>
        <w:t xml:space="preserve">&gt; M. Dupont, 58 ans, PTG infectée à 3 semaines post-opératoire. DAIR réalisé en urgence. Cultures peropératoires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MSSA. Traitement : oxacilline IV 2 semaines puis rifampicine + lévofloxacine 3 mois. Bonne évolution, CRP normalisée.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M+8</w:t>
      </w:r>
      <w:r>
        <w:t xml:space="preserve"> </w:t>
      </w:r>
      <w:r>
        <w:t xml:space="preserve">: douleur progressive du genou, CRP remonte à 18 mg/L.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Ponction</w:t>
      </w:r>
      <w:r>
        <w:t xml:space="preserve"> </w:t>
      </w:r>
      <w:r>
        <w:t xml:space="preserve">: leucocytes = 6 500/μL, cultures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SCV (thymidine-dépendant) → même souche (typage moléculaire).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Explication</w:t>
      </w:r>
      <w:r>
        <w:t xml:space="preserve"> </w:t>
      </w:r>
      <w:r>
        <w:t xml:space="preserve">: les SCV avaient persisté en intracellulaire et dans le biofilm résiduel pendant le DAIR. Après arrêt des antibiotiques, réversion vers le phénotype normal virulent.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Conduite</w:t>
      </w:r>
      <w:r>
        <w:t xml:space="preserve"> </w:t>
      </w:r>
      <w:r>
        <w:t xml:space="preserve">: changement en 2 temps (le DAIR a échoué).</w:t>
      </w:r>
    </w:p>
    <w:p>
      <w:pPr>
        <w:pStyle w:val="BodyText"/>
      </w:pPr>
      <w:r>
        <w:rPr>
          <w:b/>
          <w:bCs/>
        </w:rPr>
        <w:t xml:space="preserve">Exemple 3 — Piège du cotrimoxazole avec SCV thymidine-dépendantes</w:t>
      </w:r>
      <w:r>
        <w:t xml:space="preserve"> </w:t>
      </w:r>
      <w:r>
        <w:t xml:space="preserve">&gt; Mme Morel, 70 ans, IOA à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MSSA sur PTH. Changement en 2 temps en cours, spacer en place. Antibiogramme : sensible à tout, y compris cotrimoxazole. Traitement de relais oral : rifampicine + cotrimoxazole (choisi car bonne biodisponibilité orale et bonne diffusion osseuse).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M+4</w:t>
      </w:r>
      <w:r>
        <w:t xml:space="preserve"> </w:t>
      </w:r>
      <w:r>
        <w:t xml:space="preserve">: cultures de contrôle lors de la reimplantation :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SCV thymidine-dépendant sur 2/5 prélèvements.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Explication</w:t>
      </w:r>
      <w:r>
        <w:t xml:space="preserve"> </w:t>
      </w:r>
      <w:r>
        <w:t xml:space="preserve">: le cotrimoxazole bloque la voie des folates → sélection des mutants</w:t>
      </w:r>
      <w:r>
        <w:t xml:space="preserve"> </w:t>
      </w:r>
      <w:r>
        <w:rPr>
          <w:i/>
          <w:iCs/>
        </w:rPr>
        <w:t xml:space="preserve">thyA</w:t>
      </w:r>
      <w:r>
        <w:t xml:space="preserve"> </w:t>
      </w:r>
      <w:r>
        <w:t xml:space="preserve">→ SCV thymidine-dépendantes. In vivo, la thymidine des tissus humains nourrit ces SCV → le cotrimoxazole est</w:t>
      </w:r>
      <w:r>
        <w:t xml:space="preserve"> </w:t>
      </w:r>
      <w:r>
        <w:rPr>
          <w:b/>
          <w:bCs/>
        </w:rPr>
        <w:t xml:space="preserve">inefficace</w:t>
      </w:r>
      <w:r>
        <w:t xml:space="preserve">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Leçon</w:t>
      </w:r>
      <w:r>
        <w:t xml:space="preserve"> </w:t>
      </w:r>
      <w:r>
        <w:t xml:space="preserve">: le cotrimoxazole sélectionne les SCV thymidine-dépendantes. Préférer la lévofloxacine ou le linézolide en association avec la rifampicine si risque de SCV.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1"/>
        <w:gridCol w:w="1340"/>
        <w:gridCol w:w="1584"/>
        <w:gridCol w:w="1584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/ Critères</w:t>
            </w:r>
          </w:p>
        </w:tc>
        <w:tc>
          <w:tcPr/>
          <w:p>
            <w:pPr>
              <w:pStyle w:val="Compact"/>
            </w:pPr>
            <w:r>
              <w:t xml:space="preserve">Composants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Spécificité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MSIS 2011</w:t>
            </w:r>
          </w:p>
        </w:tc>
        <w:tc>
          <w:tcPr/>
          <w:p>
            <w:pPr>
              <w:pStyle w:val="Compact"/>
            </w:pPr>
            <w:r>
              <w:t xml:space="preserve">CRP, VS, leuco synovial, % PNN, culture, histologie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79-97%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78-99%</w:t>
            </w:r>
          </w:p>
        </w:tc>
        <w:tc>
          <w:tcPr/>
          <w:p>
            <w:pPr>
              <w:pStyle w:val="Compact"/>
            </w:pPr>
            <w:r>
              <w:t xml:space="preserve">Parvizi et al. 2011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 2018</w:t>
            </w:r>
          </w:p>
        </w:tc>
        <w:tc>
          <w:tcPr/>
          <w:p>
            <w:pPr>
              <w:pStyle w:val="Compact"/>
            </w:pPr>
            <w:r>
              <w:t xml:space="preserve">CRP, D-dimères, VS, leuco synovial, alpha-défensine, leukocyte esterase, % PNN, culture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Parvizi et al. 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WAIOT 2019</w:t>
            </w:r>
          </w:p>
        </w:tc>
        <w:tc>
          <w:tcPr/>
          <w:p>
            <w:pPr>
              <w:pStyle w:val="Compact"/>
            </w:pPr>
            <w:r>
              <w:t xml:space="preserve">CRP + VS + imagerie + clinique + microbiologie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Romano et al. 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Tsukayama</w:t>
            </w:r>
          </w:p>
        </w:tc>
        <w:tc>
          <w:tcPr/>
          <w:p>
            <w:pPr>
              <w:pStyle w:val="Compact"/>
            </w:pPr>
            <w:r>
              <w:t xml:space="preserve">Clinique + délai + culture peropératoire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Classification pronostique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Tsukayama 1996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Critères de McPherson</w:t>
            </w:r>
          </w:p>
        </w:tc>
        <w:tc>
          <w:tcPr/>
          <w:p>
            <w:pPr>
              <w:pStyle w:val="Compact"/>
            </w:pPr>
            <w:r>
              <w:t xml:space="preserve">Terrain + type infection + état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pronostique chirurgical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McPherson 2002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pour la Formation IOA — Plateforme VERTEX© — 8 mars 2026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2026-03-08T15:39:29Z</dcterms:created>
  <dcterms:modified xsi:type="dcterms:W3CDTF">2026-03-08T15:39:29Z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