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Akhir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Kelulusan &amp; Sertifikasi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Evaluasi Akhir Pelatihan, Uji Kompetensi Simulasian, &amp; Penutupan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dinyatakan memenuhi seluruh kriteria unjuk kerja unit kompetensi M.74DKV13.012.2 (Menciptakan Karya Desain) dan siap mengikuti Asesmen Kompetensi LSP.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Uji Praktik</w:t>
              <w:br/>
              <w:t>Evaluasi Teori</w:t>
              <w:br/>
              <w:t>Penutupan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&amp; Naskah Soal Ujian Komprehensif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Soal Ujian Akhir, Berita Acara Pelatihan, Form Evaluasi Program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 untuk Ujian Akhir</w:t>
              <w:br/>
              <w:t>3. Menjelaskan safety induction &amp; Aturan Ujian Praktik Mandiri</w:t>
              <w:br/>
              <w:t>4. Pengarahan teknis pengumpulan berkas ujian dan syarat kelulusan</w:t>
              <w:br/>
              <w:t>5. Menyampaikan tujuan ujian komprehensif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Pengarahan Uji Kompetensi &amp; Standar Asesmen LSP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Gambaran pelaksanaan Asesmen Sertifikasi Kompetensi BNSP/LSP</w:t>
              <w:br/>
              <w:t>- 3 Dimensi Kompetensi: Keterampilan (Skill), Pengetahuan (Knowledge), dan Sikap Kerja (Attitude)</w:t>
              <w:br/>
              <w:t>- Pengecekan akhir kelengkapan berkas administrasi peserta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BNSP Info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Pelaksanaan Ujian Teori Komprehensif</w:t>
            </w:r>
          </w:p>
        </w:tc>
        <w:tc>
          <w:tcPr>
            <w:tcW w:w="3543" w:type="dxa"/>
            <w:gridSpan w:val="2"/>
          </w:tcPr>
          <w:p>
            <w:r>
              <w:t>Peserta mengerjakan soal ujian teori komprehensif 30 soal (pilihan ganda &amp; esai) mengenai seluruh materi dari Pertemuan 1 s.d 23 secara mandiri dan jujur.</w:t>
            </w:r>
          </w:p>
        </w:tc>
        <w:tc>
          <w:tcPr>
            <w:tcW w:w="1796" w:type="dxa"/>
            <w:gridSpan w:val="3"/>
          </w:tcPr>
          <w:p>
            <w:r>
              <w:t>Ujian Online / Lembar Soal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Pelaksanaan Uji Praktik Mandiri (Desain Brief Akhir)</w:t>
            </w:r>
          </w:p>
        </w:tc>
        <w:tc>
          <w:tcPr>
            <w:tcW w:w="3543" w:type="dxa"/>
            <w:gridSpan w:val="2"/>
          </w:tcPr>
          <w:p>
            <w:r>
              <w:t>Peserta menyelesaikan 1 studi kasus desain lengkap (Analisis Brief, Sketsa Thumbnail, Desain Vektor, Finishing PDF Cetak &amp; PNG Digital) dalam alokasi waktu yang ditentukan.</w:t>
            </w:r>
          </w:p>
        </w:tc>
        <w:tc>
          <w:tcPr>
            <w:tcW w:w="1796" w:type="dxa"/>
            <w:gridSpan w:val="3"/>
          </w:tcPr>
          <w:p>
            <w:r>
              <w:t>Workstation / PC Lab (Naskah Soal)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merekapitulasi nilai keseluruhan dan mengumumkan hasil ketuntasan pelatihan peserta.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Pengisian kuesioner evaluasi penyelenggaraan pelatihan &amp; kinerja instruktur oleh peserta.</w:t>
            </w:r>
          </w:p>
        </w:tc>
        <w:tc>
          <w:tcPr>
            <w:tcW w:w="1796" w:type="dxa"/>
            <w:gridSpan w:val="3"/>
          </w:tcPr>
          <w:p>
            <w:r>
              <w:t>Form Evaluasi Pelatihan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Penilaian komprehensif hasil uji praktik dan portofolio akhir peserta untuk penentuan kelulusan.</w:t>
            </w:r>
          </w:p>
        </w:tc>
        <w:tc>
          <w:tcPr>
            <w:tcW w:w="1796" w:type="dxa"/>
            <w:gridSpan w:val="3"/>
          </w:tcPr>
          <w:p>
            <w:r>
              <w:t>Berita Acara &amp; Rubrik Kelulusan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Pemberesan akhir perangkat PC dan ruang laboratorium TIK (5R) serta foto bersama penutupan pelatihan.</w:t>
            </w:r>
          </w:p>
        </w:tc>
        <w:tc>
          <w:tcPr>
            <w:tcW w:w="1796" w:type="dxa"/>
            <w:gridSpan w:val="3"/>
          </w:tcPr>
          <w:p>
            <w:r>
              <w:t>Pemberesan akhir perangkat PC dan ruang laboratorium TIK (5R) serta foto bersama penutupan pelatihan.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