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11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Digital Advertising &amp; Banner Marketplace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Membuat banner promo yang efektif dengan Call to Action jelas.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Banner di Shopee/Tokopedia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Hierarchy Iklan Digital</w:t>
            </w:r>
          </w:p>
        </w:tc>
        <w:tc>
          <w:tcPr>
            <w:tcW w:w="3543" w:type="dxa"/>
            <w:gridSpan w:val="2"/>
          </w:tcPr>
          <w:p>
            <w:r>
              <w:t>Penempatan Promo Badge, Hero Image, dan tombol CTA yang mencolok.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Layout Header Toko</w:t>
            </w:r>
          </w:p>
        </w:tc>
        <w:tc>
          <w:tcPr>
            <w:tcW w:w="3543" w:type="dxa"/>
            <w:gridSpan w:val="2"/>
          </w:tcPr>
          <w:p>
            <w:r>
              <w:t>Membuat banner horizontal yang responsif dan komunikatif.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Banner Promo</w:t>
            </w:r>
          </w:p>
        </w:tc>
        <w:tc>
          <w:tcPr>
            <w:tcW w:w="3543" w:type="dxa"/>
            <w:gridSpan w:val="2"/>
          </w:tcPr>
          <w:p>
            <w:r>
              <w:t>Merancang banner diskon toko online dengan efek pencahayaan.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CTA yang jelas meningkatkan klik.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elemen banner.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11: Banner Marketplace.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