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Packaging Design &amp; Merchandise Mockup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desain kemasan dan merendernya ke mockup 3D.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Desain 2D jadi box 3D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Dieline &amp; Garis Lipat</w:t>
            </w:r>
          </w:p>
        </w:tc>
        <w:tc>
          <w:tcPr>
            <w:tcW w:w="3543" w:type="dxa"/>
            <w:gridSpan w:val="2"/>
          </w:tcPr>
          <w:p>
            <w:r>
              <w:t>Mengenal garis potong (cut) vs garis lipat (crease) pada kemasan.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Smart Object</w:t>
            </w:r>
          </w:p>
        </w:tc>
        <w:tc>
          <w:tcPr>
            <w:tcW w:w="3543" w:type="dxa"/>
            <w:gridSpan w:val="2"/>
          </w:tcPr>
          <w:p>
            <w:r>
              <w:t>Cara menempel desain 2D ke mockup botol/box agar realistis.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Desain Box</w:t>
            </w:r>
          </w:p>
        </w:tc>
        <w:tc>
          <w:tcPr>
            <w:tcW w:w="3543" w:type="dxa"/>
            <w:gridSpan w:val="2"/>
          </w:tcPr>
          <w:p>
            <w:r>
              <w:t>Merancang label kemasan box makanan pada template dieline.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Presisi dieline mencegah kesalahan produksi.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simbol dieline.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14: Desain Kemasan.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